
<file path=[Content_Types].xml><?xml version="1.0" encoding="utf-8"?>
<Types xmlns="http://schemas.openxmlformats.org/package/2006/content-types">
  <Default Extension="xml" ContentType="application/xml"/>
  <Default Extension="jpeg" ContentType="image/jpeg"/>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4"/>
      </w:pPr>
    </w:p>
    <w:p>
      <w:pPr>
        <w:pStyle w:val="34"/>
      </w:pPr>
    </w:p>
    <w:p>
      <w:pPr>
        <w:pStyle w:val="34"/>
      </w:pPr>
      <w:r>
        <w:rPr>
          <w:rFonts w:hint="eastAsia" w:ascii="黑体" w:eastAsia="黑体" w:cs="宋体"/>
          <w:b/>
          <w:bCs/>
          <w:kern w:val="0"/>
          <w:sz w:val="44"/>
          <w:szCs w:val="44"/>
        </w:rPr>
        <w:t>中国联通线路侧光纤配线架技术规范书（2020版）</w:t>
      </w:r>
    </w:p>
    <w:p>
      <w:pPr>
        <w:pStyle w:val="34"/>
      </w:pPr>
    </w:p>
    <w:p>
      <w:pPr>
        <w:rPr>
          <w:sz w:val="52"/>
          <w:szCs w:val="52"/>
        </w:rPr>
      </w:pPr>
    </w:p>
    <w:p>
      <w:pPr>
        <w:spacing w:line="240" w:lineRule="atLeast"/>
      </w:pPr>
    </w:p>
    <w:p>
      <w:pPr>
        <w:spacing w:line="240" w:lineRule="atLeast"/>
      </w:pPr>
    </w:p>
    <w:p>
      <w:pPr>
        <w:spacing w:line="240" w:lineRule="atLeast"/>
      </w:pPr>
    </w:p>
    <w:p>
      <w:pPr>
        <w:spacing w:line="240" w:lineRule="atLeast"/>
      </w:pPr>
    </w:p>
    <w:p>
      <w:pPr>
        <w:spacing w:line="240" w:lineRule="atLeast"/>
      </w:pPr>
    </w:p>
    <w:p>
      <w:pPr>
        <w:spacing w:line="240" w:lineRule="atLeast"/>
      </w:pPr>
    </w:p>
    <w:p>
      <w:pPr>
        <w:spacing w:line="240" w:lineRule="atLeast"/>
      </w:pPr>
    </w:p>
    <w:p>
      <w:pPr>
        <w:spacing w:line="240" w:lineRule="atLeast"/>
      </w:pPr>
    </w:p>
    <w:p>
      <w:pPr>
        <w:spacing w:line="240" w:lineRule="atLeast"/>
      </w:pPr>
    </w:p>
    <w:p>
      <w:pPr>
        <w:spacing w:line="240" w:lineRule="atLeast"/>
      </w:pPr>
    </w:p>
    <w:p>
      <w:pPr>
        <w:spacing w:line="360" w:lineRule="auto"/>
        <w:jc w:val="center"/>
        <w:rPr>
          <w:rFonts w:ascii="黑体" w:eastAsia="黑体" w:cs="宋体"/>
          <w:b/>
          <w:bCs/>
          <w:szCs w:val="44"/>
        </w:rPr>
      </w:pPr>
      <w:r>
        <w:rPr>
          <w:rFonts w:hint="eastAsia" w:ascii="黑体" w:eastAsia="黑体" w:cs="宋体"/>
          <w:b/>
          <w:bCs/>
          <w:szCs w:val="44"/>
        </w:rPr>
        <w:t>中国联合网络通信有限公司</w:t>
      </w:r>
    </w:p>
    <w:p>
      <w:pPr>
        <w:spacing w:line="360" w:lineRule="auto"/>
        <w:jc w:val="center"/>
        <w:rPr>
          <w:rFonts w:ascii="黑体" w:eastAsia="黑体" w:cs="宋体"/>
          <w:b/>
          <w:bCs/>
          <w:szCs w:val="44"/>
        </w:rPr>
      </w:pPr>
      <w:r>
        <w:rPr>
          <w:rFonts w:hint="eastAsia" w:ascii="黑体" w:eastAsia="黑体" w:cs="宋体"/>
          <w:b/>
          <w:bCs/>
          <w:szCs w:val="44"/>
        </w:rPr>
        <w:t>20</w:t>
      </w:r>
      <w:r>
        <w:rPr>
          <w:rFonts w:ascii="黑体" w:eastAsia="黑体" w:cs="宋体"/>
          <w:b/>
          <w:bCs/>
          <w:szCs w:val="44"/>
        </w:rPr>
        <w:t>21</w:t>
      </w:r>
      <w:r>
        <w:rPr>
          <w:rFonts w:hint="eastAsia" w:ascii="黑体" w:eastAsia="黑体" w:cs="宋体"/>
          <w:b/>
          <w:bCs/>
          <w:szCs w:val="44"/>
        </w:rPr>
        <w:t>.</w:t>
      </w:r>
      <w:r>
        <w:rPr>
          <w:rFonts w:ascii="黑体" w:eastAsia="黑体" w:cs="宋体"/>
          <w:b/>
          <w:bCs/>
          <w:szCs w:val="44"/>
        </w:rPr>
        <w:t>02</w:t>
      </w:r>
    </w:p>
    <w:p>
      <w:pPr>
        <w:pStyle w:val="32"/>
        <w:spacing w:line="560" w:lineRule="exact"/>
        <w:jc w:val="center"/>
        <w:rPr>
          <w:rFonts w:ascii="宋体" w:hAnsi="宋体"/>
          <w:sz w:val="32"/>
          <w:szCs w:val="32"/>
        </w:rPr>
      </w:pPr>
    </w:p>
    <w:p>
      <w:pPr>
        <w:pStyle w:val="32"/>
        <w:spacing w:line="560" w:lineRule="exact"/>
        <w:jc w:val="center"/>
        <w:rPr>
          <w:rFonts w:ascii="宋体" w:hAnsi="宋体"/>
          <w:sz w:val="32"/>
          <w:szCs w:val="32"/>
        </w:rPr>
        <w:sectPr>
          <w:footerReference r:id="rId3" w:type="default"/>
          <w:pgSz w:w="11906" w:h="16838"/>
          <w:pgMar w:top="1440" w:right="1287" w:bottom="1440" w:left="1797" w:header="720" w:footer="720" w:gutter="0"/>
          <w:pgNumType w:start="0"/>
          <w:cols w:space="720" w:num="1"/>
          <w:docGrid w:type="lines" w:linePitch="326" w:charSpace="-4916"/>
        </w:sectPr>
      </w:pPr>
    </w:p>
    <w:p>
      <w:pPr>
        <w:jc w:val="center"/>
        <w:rPr>
          <w:rFonts w:cs="Times New Roman" w:asciiTheme="minorEastAsia" w:hAnsiTheme="minorEastAsia" w:eastAsiaTheme="minorEastAsia"/>
          <w:kern w:val="2"/>
          <w:sz w:val="24"/>
          <w:szCs w:val="24"/>
          <w:lang w:val="en-US" w:eastAsia="zh-CN" w:bidi="ar-SA"/>
        </w:rPr>
      </w:pPr>
      <w:r>
        <w:rPr>
          <w:rFonts w:hint="eastAsia"/>
          <w:sz w:val="32"/>
          <w:szCs w:val="32"/>
        </w:rPr>
        <w:t xml:space="preserve">目  </w:t>
      </w:r>
      <w:bookmarkStart w:id="142" w:name="_GoBack"/>
      <w:bookmarkEnd w:id="142"/>
      <w:r>
        <w:rPr>
          <w:rFonts w:hint="eastAsia"/>
          <w:sz w:val="32"/>
          <w:szCs w:val="32"/>
        </w:rPr>
        <w:t xml:space="preserve">  录</w:t>
      </w: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TOC \o "1-1" \h \z \t "标题 2,2" </w:instrText>
      </w:r>
      <w:r>
        <w:rPr>
          <w:rFonts w:asciiTheme="minorEastAsia" w:hAnsiTheme="minorEastAsia" w:eastAsiaTheme="minorEastAsia"/>
          <w:szCs w:val="24"/>
        </w:rPr>
        <w:fldChar w:fldCharType="separate"/>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_Toc6982 </w:instrText>
      </w:r>
      <w:r>
        <w:rPr>
          <w:rFonts w:asciiTheme="minorEastAsia" w:hAnsiTheme="minorEastAsia" w:eastAsiaTheme="minorEastAsia"/>
          <w:szCs w:val="24"/>
        </w:rPr>
        <w:fldChar w:fldCharType="separate"/>
      </w:r>
      <w:r>
        <w:rPr>
          <w:rFonts w:ascii="Times New Roman" w:hAnsi="Times New Roman" w:eastAsia="宋体"/>
        </w:rPr>
        <w:t>1</w:t>
      </w:r>
      <w:r>
        <w:rPr>
          <w:rFonts w:hint="eastAsia" w:ascii="Times New Roman" w:hAnsi="Times New Roman" w:eastAsia="宋体"/>
        </w:rPr>
        <w:t xml:space="preserve"> 概述</w:t>
      </w:r>
      <w:r>
        <w:tab/>
      </w:r>
      <w:r>
        <w:fldChar w:fldCharType="begin"/>
      </w:r>
      <w:r>
        <w:instrText xml:space="preserve"> PAGEREF _Toc6982 </w:instrText>
      </w:r>
      <w:r>
        <w:fldChar w:fldCharType="separate"/>
      </w:r>
      <w:r>
        <w:t>1</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_Toc11148 </w:instrText>
      </w:r>
      <w:r>
        <w:rPr>
          <w:rFonts w:asciiTheme="minorEastAsia" w:hAnsiTheme="minorEastAsia" w:eastAsiaTheme="minorEastAsia"/>
          <w:szCs w:val="24"/>
        </w:rPr>
        <w:fldChar w:fldCharType="separate"/>
      </w:r>
      <w:r>
        <w:rPr>
          <w:rFonts w:ascii="Times New Roman" w:hAnsi="Times New Roman" w:eastAsia="宋体"/>
        </w:rPr>
        <w:t>2</w:t>
      </w:r>
      <w:r>
        <w:rPr>
          <w:rFonts w:hint="eastAsia" w:ascii="Times New Roman" w:hAnsi="Times New Roman" w:eastAsia="宋体"/>
        </w:rPr>
        <w:t xml:space="preserve"> 总体要求</w:t>
      </w:r>
      <w:r>
        <w:tab/>
      </w:r>
      <w:r>
        <w:fldChar w:fldCharType="begin"/>
      </w:r>
      <w:r>
        <w:instrText xml:space="preserve"> PAGEREF _Toc11148 </w:instrText>
      </w:r>
      <w:r>
        <w:fldChar w:fldCharType="separate"/>
      </w:r>
      <w:r>
        <w:t>3</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_Toc27194 </w:instrText>
      </w:r>
      <w:r>
        <w:rPr>
          <w:rFonts w:asciiTheme="minorEastAsia" w:hAnsiTheme="minorEastAsia" w:eastAsiaTheme="minorEastAsia"/>
          <w:szCs w:val="24"/>
        </w:rPr>
        <w:fldChar w:fldCharType="separate"/>
      </w:r>
      <w:r>
        <w:rPr>
          <w:rFonts w:ascii="Times New Roman" w:hAnsi="Times New Roman" w:eastAsia="宋体"/>
        </w:rPr>
        <w:t>2.1</w:t>
      </w:r>
      <w:r>
        <w:rPr>
          <w:rFonts w:hint="eastAsia" w:ascii="Times New Roman" w:hAnsi="Times New Roman" w:eastAsia="宋体"/>
        </w:rPr>
        <w:t xml:space="preserve"> 外观与结构</w:t>
      </w:r>
      <w:r>
        <w:tab/>
      </w:r>
      <w:r>
        <w:fldChar w:fldCharType="begin"/>
      </w:r>
      <w:r>
        <w:instrText xml:space="preserve"> PAGEREF _Toc27194 </w:instrText>
      </w:r>
      <w:r>
        <w:fldChar w:fldCharType="separate"/>
      </w:r>
      <w:r>
        <w:t>3</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_Toc29212 </w:instrText>
      </w:r>
      <w:r>
        <w:rPr>
          <w:rFonts w:asciiTheme="minorEastAsia" w:hAnsiTheme="minorEastAsia" w:eastAsiaTheme="minorEastAsia"/>
          <w:szCs w:val="24"/>
        </w:rPr>
        <w:fldChar w:fldCharType="separate"/>
      </w:r>
      <w:r>
        <w:rPr>
          <w:rFonts w:hint="eastAsia" w:ascii="Times New Roman" w:hAnsi="Times New Roman" w:eastAsia="宋体"/>
        </w:rPr>
        <w:t>2.2 产品规格</w:t>
      </w:r>
      <w:r>
        <w:tab/>
      </w:r>
      <w:r>
        <w:fldChar w:fldCharType="begin"/>
      </w:r>
      <w:r>
        <w:instrText xml:space="preserve"> PAGEREF _Toc29212 </w:instrText>
      </w:r>
      <w:r>
        <w:fldChar w:fldCharType="separate"/>
      </w:r>
      <w:r>
        <w:t>4</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_Toc5989 </w:instrText>
      </w:r>
      <w:r>
        <w:rPr>
          <w:rFonts w:asciiTheme="minorEastAsia" w:hAnsiTheme="minorEastAsia" w:eastAsiaTheme="minorEastAsia"/>
          <w:szCs w:val="24"/>
        </w:rPr>
        <w:fldChar w:fldCharType="separate"/>
      </w:r>
      <w:r>
        <w:rPr>
          <w:rFonts w:hint="eastAsia" w:ascii="Times New Roman" w:hAnsi="Times New Roman" w:eastAsia="宋体"/>
        </w:rPr>
        <w:t>3 外观结构要求</w:t>
      </w:r>
      <w:r>
        <w:tab/>
      </w:r>
      <w:r>
        <w:fldChar w:fldCharType="begin"/>
      </w:r>
      <w:r>
        <w:instrText xml:space="preserve"> PAGEREF _Toc5989 </w:instrText>
      </w:r>
      <w:r>
        <w:fldChar w:fldCharType="separate"/>
      </w:r>
      <w:r>
        <w:t>9</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_Toc5801 </w:instrText>
      </w:r>
      <w:r>
        <w:rPr>
          <w:rFonts w:asciiTheme="minorEastAsia" w:hAnsiTheme="minorEastAsia" w:eastAsiaTheme="minorEastAsia"/>
          <w:szCs w:val="24"/>
        </w:rPr>
        <w:fldChar w:fldCharType="separate"/>
      </w:r>
      <w:r>
        <w:rPr>
          <w:rFonts w:hint="eastAsia" w:ascii="Times New Roman" w:hAnsi="Times New Roman" w:eastAsia="宋体"/>
        </w:rPr>
        <w:t>3.1 总体描述</w:t>
      </w:r>
      <w:r>
        <w:tab/>
      </w:r>
      <w:r>
        <w:fldChar w:fldCharType="begin"/>
      </w:r>
      <w:r>
        <w:instrText xml:space="preserve"> PAGEREF _Toc5801 </w:instrText>
      </w:r>
      <w:r>
        <w:fldChar w:fldCharType="separate"/>
      </w:r>
      <w:r>
        <w:t>9</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_Toc6580 </w:instrText>
      </w:r>
      <w:r>
        <w:rPr>
          <w:rFonts w:asciiTheme="minorEastAsia" w:hAnsiTheme="minorEastAsia" w:eastAsiaTheme="minorEastAsia"/>
          <w:szCs w:val="24"/>
        </w:rPr>
        <w:fldChar w:fldCharType="separate"/>
      </w:r>
      <w:r>
        <w:rPr>
          <w:rFonts w:hint="eastAsia" w:ascii="Times New Roman" w:hAnsi="Times New Roman" w:eastAsia="宋体"/>
        </w:rPr>
        <w:t>3.2 840×300mm机架</w:t>
      </w:r>
      <w:r>
        <w:tab/>
      </w:r>
      <w:r>
        <w:fldChar w:fldCharType="begin"/>
      </w:r>
      <w:r>
        <w:instrText xml:space="preserve"> PAGEREF _Toc6580 </w:instrText>
      </w:r>
      <w:r>
        <w:fldChar w:fldCharType="separate"/>
      </w:r>
      <w:r>
        <w:t>10</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_Toc25470 </w:instrText>
      </w:r>
      <w:r>
        <w:rPr>
          <w:rFonts w:asciiTheme="minorEastAsia" w:hAnsiTheme="minorEastAsia" w:eastAsiaTheme="minorEastAsia"/>
          <w:szCs w:val="24"/>
        </w:rPr>
        <w:fldChar w:fldCharType="separate"/>
      </w:r>
      <w:r>
        <w:rPr>
          <w:rFonts w:hint="eastAsia" w:ascii="Times New Roman" w:hAnsi="Times New Roman" w:eastAsia="宋体"/>
        </w:rPr>
        <w:t>3.3 600×300mm机架</w:t>
      </w:r>
      <w:r>
        <w:tab/>
      </w:r>
      <w:r>
        <w:fldChar w:fldCharType="begin"/>
      </w:r>
      <w:r>
        <w:instrText xml:space="preserve"> PAGEREF _Toc25470 </w:instrText>
      </w:r>
      <w:r>
        <w:fldChar w:fldCharType="separate"/>
      </w:r>
      <w:r>
        <w:t>14</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_Toc19725 </w:instrText>
      </w:r>
      <w:r>
        <w:rPr>
          <w:rFonts w:asciiTheme="minorEastAsia" w:hAnsiTheme="minorEastAsia" w:eastAsiaTheme="minorEastAsia"/>
          <w:szCs w:val="24"/>
        </w:rPr>
        <w:fldChar w:fldCharType="separate"/>
      </w:r>
      <w:r>
        <w:rPr>
          <w:rFonts w:hint="eastAsia" w:ascii="Times New Roman" w:hAnsi="Times New Roman" w:eastAsia="宋体"/>
        </w:rPr>
        <w:t>3.4 绕纤轮</w:t>
      </w:r>
      <w:r>
        <w:tab/>
      </w:r>
      <w:r>
        <w:fldChar w:fldCharType="begin"/>
      </w:r>
      <w:r>
        <w:instrText xml:space="preserve"> PAGEREF _Toc19725 </w:instrText>
      </w:r>
      <w:r>
        <w:fldChar w:fldCharType="separate"/>
      </w:r>
      <w:r>
        <w:t>18</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_Toc15501 </w:instrText>
      </w:r>
      <w:r>
        <w:rPr>
          <w:rFonts w:asciiTheme="minorEastAsia" w:hAnsiTheme="minorEastAsia" w:eastAsiaTheme="minorEastAsia"/>
          <w:szCs w:val="24"/>
        </w:rPr>
        <w:fldChar w:fldCharType="separate"/>
      </w:r>
      <w:r>
        <w:rPr>
          <w:rFonts w:ascii="Times New Roman" w:hAnsi="Times New Roman" w:eastAsia="宋体"/>
        </w:rPr>
        <w:t xml:space="preserve">4 </w:t>
      </w:r>
      <w:r>
        <w:rPr>
          <w:rFonts w:hint="eastAsia" w:ascii="Times New Roman" w:hAnsi="Times New Roman" w:eastAsia="宋体"/>
        </w:rPr>
        <w:t>技术要求</w:t>
      </w:r>
      <w:r>
        <w:tab/>
      </w:r>
      <w:r>
        <w:fldChar w:fldCharType="begin"/>
      </w:r>
      <w:r>
        <w:instrText xml:space="preserve"> PAGEREF _Toc15501 </w:instrText>
      </w:r>
      <w:r>
        <w:fldChar w:fldCharType="separate"/>
      </w:r>
      <w:r>
        <w:t>18</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_Toc9909 </w:instrText>
      </w:r>
      <w:r>
        <w:rPr>
          <w:rFonts w:asciiTheme="minorEastAsia" w:hAnsiTheme="minorEastAsia" w:eastAsiaTheme="minorEastAsia"/>
          <w:szCs w:val="24"/>
        </w:rPr>
        <w:fldChar w:fldCharType="separate"/>
      </w:r>
      <w:r>
        <w:rPr>
          <w:rFonts w:ascii="Times New Roman" w:hAnsi="Times New Roman" w:eastAsia="宋体"/>
        </w:rPr>
        <w:t>4.1</w:t>
      </w:r>
      <w:r>
        <w:rPr>
          <w:rFonts w:hint="eastAsia" w:ascii="Times New Roman" w:hAnsi="Times New Roman" w:eastAsia="宋体"/>
        </w:rPr>
        <w:t>光纤连接器型号</w:t>
      </w:r>
      <w:r>
        <w:tab/>
      </w:r>
      <w:r>
        <w:fldChar w:fldCharType="begin"/>
      </w:r>
      <w:r>
        <w:instrText xml:space="preserve"> PAGEREF _Toc9909 </w:instrText>
      </w:r>
      <w:r>
        <w:fldChar w:fldCharType="separate"/>
      </w:r>
      <w:r>
        <w:t>18</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_Toc18104 </w:instrText>
      </w:r>
      <w:r>
        <w:rPr>
          <w:rFonts w:asciiTheme="minorEastAsia" w:hAnsiTheme="minorEastAsia" w:eastAsiaTheme="minorEastAsia"/>
          <w:szCs w:val="24"/>
        </w:rPr>
        <w:fldChar w:fldCharType="separate"/>
      </w:r>
      <w:r>
        <w:rPr>
          <w:rFonts w:ascii="Times New Roman" w:hAnsi="Times New Roman" w:eastAsia="宋体"/>
        </w:rPr>
        <w:t>4.</w:t>
      </w:r>
      <w:r>
        <w:rPr>
          <w:rFonts w:hint="eastAsia" w:ascii="Times New Roman" w:hAnsi="Times New Roman" w:eastAsia="宋体"/>
        </w:rPr>
        <w:t>2 光纤活动连接器、尾纤光学性能及外观要求</w:t>
      </w:r>
      <w:r>
        <w:tab/>
      </w:r>
      <w:r>
        <w:fldChar w:fldCharType="begin"/>
      </w:r>
      <w:r>
        <w:instrText xml:space="preserve"> PAGEREF _Toc18104 </w:instrText>
      </w:r>
      <w:r>
        <w:fldChar w:fldCharType="separate"/>
      </w:r>
      <w:r>
        <w:t>18</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_Toc29169 </w:instrText>
      </w:r>
      <w:r>
        <w:rPr>
          <w:rFonts w:asciiTheme="minorEastAsia" w:hAnsiTheme="minorEastAsia" w:eastAsiaTheme="minorEastAsia"/>
          <w:szCs w:val="24"/>
        </w:rPr>
        <w:fldChar w:fldCharType="separate"/>
      </w:r>
      <w:r>
        <w:rPr>
          <w:rFonts w:ascii="Times New Roman" w:hAnsi="Times New Roman" w:eastAsia="宋体"/>
        </w:rPr>
        <w:t>4.</w:t>
      </w:r>
      <w:r>
        <w:rPr>
          <w:rFonts w:hint="eastAsia" w:ascii="Times New Roman" w:hAnsi="Times New Roman" w:eastAsia="宋体"/>
        </w:rPr>
        <w:t>3 光纤连接器几何尺寸指标</w:t>
      </w:r>
      <w:r>
        <w:tab/>
      </w:r>
      <w:r>
        <w:fldChar w:fldCharType="begin"/>
      </w:r>
      <w:r>
        <w:instrText xml:space="preserve"> PAGEREF _Toc29169 </w:instrText>
      </w:r>
      <w:r>
        <w:fldChar w:fldCharType="separate"/>
      </w:r>
      <w:r>
        <w:t>20</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_Toc6767 </w:instrText>
      </w:r>
      <w:r>
        <w:rPr>
          <w:rFonts w:asciiTheme="minorEastAsia" w:hAnsiTheme="minorEastAsia" w:eastAsiaTheme="minorEastAsia"/>
          <w:szCs w:val="24"/>
        </w:rPr>
        <w:fldChar w:fldCharType="separate"/>
      </w:r>
      <w:r>
        <w:rPr>
          <w:rFonts w:hint="eastAsia" w:ascii="Times New Roman" w:hAnsi="Times New Roman" w:eastAsia="宋体"/>
        </w:rPr>
        <w:t>4.4</w:t>
      </w:r>
      <w:r>
        <w:rPr>
          <w:rFonts w:ascii="Times New Roman" w:hAnsi="Times New Roman" w:eastAsia="宋体"/>
        </w:rPr>
        <w:t xml:space="preserve"> </w:t>
      </w:r>
      <w:r>
        <w:rPr>
          <w:rFonts w:hint="eastAsia" w:ascii="Times New Roman" w:hAnsi="Times New Roman" w:eastAsia="宋体"/>
        </w:rPr>
        <w:t>尾纤及软光纤性能</w:t>
      </w:r>
      <w:r>
        <w:tab/>
      </w:r>
      <w:r>
        <w:fldChar w:fldCharType="begin"/>
      </w:r>
      <w:r>
        <w:instrText xml:space="preserve"> PAGEREF _Toc6767 </w:instrText>
      </w:r>
      <w:r>
        <w:fldChar w:fldCharType="separate"/>
      </w:r>
      <w:r>
        <w:t>20</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_Toc32424 </w:instrText>
      </w:r>
      <w:r>
        <w:rPr>
          <w:rFonts w:asciiTheme="minorEastAsia" w:hAnsiTheme="minorEastAsia" w:eastAsiaTheme="minorEastAsia"/>
          <w:szCs w:val="24"/>
        </w:rPr>
        <w:fldChar w:fldCharType="separate"/>
      </w:r>
      <w:r>
        <w:rPr>
          <w:rFonts w:ascii="宋体" w:eastAsia="宋体" w:cs="宋体"/>
        </w:rPr>
        <w:t>4.</w:t>
      </w:r>
      <w:r>
        <w:rPr>
          <w:rFonts w:hint="eastAsia" w:ascii="宋体" w:eastAsia="宋体" w:cs="宋体"/>
        </w:rPr>
        <w:t>5试验条件</w:t>
      </w:r>
      <w:r>
        <w:tab/>
      </w:r>
      <w:r>
        <w:fldChar w:fldCharType="begin"/>
      </w:r>
      <w:r>
        <w:instrText xml:space="preserve"> PAGEREF _Toc32424 </w:instrText>
      </w:r>
      <w:r>
        <w:fldChar w:fldCharType="separate"/>
      </w:r>
      <w:r>
        <w:t>21</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_Toc25680 </w:instrText>
      </w:r>
      <w:r>
        <w:rPr>
          <w:rFonts w:asciiTheme="minorEastAsia" w:hAnsiTheme="minorEastAsia" w:eastAsiaTheme="minorEastAsia"/>
          <w:szCs w:val="24"/>
        </w:rPr>
        <w:fldChar w:fldCharType="separate"/>
      </w:r>
      <w:r>
        <w:rPr>
          <w:rFonts w:hint="eastAsia" w:ascii="Times New Roman" w:hAnsi="Times New Roman" w:eastAsia="宋体"/>
        </w:rPr>
        <w:t>4.6 高压防护接地装置</w:t>
      </w:r>
      <w:r>
        <w:tab/>
      </w:r>
      <w:r>
        <w:fldChar w:fldCharType="begin"/>
      </w:r>
      <w:r>
        <w:instrText xml:space="preserve"> PAGEREF _Toc25680 </w:instrText>
      </w:r>
      <w:r>
        <w:fldChar w:fldCharType="separate"/>
      </w:r>
      <w:r>
        <w:t>21</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_Toc14862 </w:instrText>
      </w:r>
      <w:r>
        <w:rPr>
          <w:rFonts w:asciiTheme="minorEastAsia" w:hAnsiTheme="minorEastAsia" w:eastAsiaTheme="minorEastAsia"/>
          <w:szCs w:val="24"/>
        </w:rPr>
        <w:fldChar w:fldCharType="separate"/>
      </w:r>
      <w:r>
        <w:rPr>
          <w:rFonts w:hint="eastAsia" w:ascii="Times New Roman" w:hAnsi="Times New Roman" w:eastAsia="宋体"/>
        </w:rPr>
        <w:t>4.7光纤连接器寿命</w:t>
      </w:r>
      <w:r>
        <w:tab/>
      </w:r>
      <w:r>
        <w:fldChar w:fldCharType="begin"/>
      </w:r>
      <w:r>
        <w:instrText xml:space="preserve"> PAGEREF _Toc14862 </w:instrText>
      </w:r>
      <w:r>
        <w:fldChar w:fldCharType="separate"/>
      </w:r>
      <w:r>
        <w:t>22</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_Toc11174 </w:instrText>
      </w:r>
      <w:r>
        <w:rPr>
          <w:rFonts w:asciiTheme="minorEastAsia" w:hAnsiTheme="minorEastAsia" w:eastAsiaTheme="minorEastAsia"/>
          <w:szCs w:val="24"/>
        </w:rPr>
        <w:fldChar w:fldCharType="separate"/>
      </w:r>
      <w:r>
        <w:rPr>
          <w:rFonts w:hint="eastAsia" w:ascii="Times New Roman" w:hAnsi="Times New Roman" w:eastAsia="宋体"/>
        </w:rPr>
        <w:t>5 材料要求</w:t>
      </w:r>
      <w:r>
        <w:tab/>
      </w:r>
      <w:r>
        <w:fldChar w:fldCharType="begin"/>
      </w:r>
      <w:r>
        <w:instrText xml:space="preserve"> PAGEREF _Toc11174 </w:instrText>
      </w:r>
      <w:r>
        <w:fldChar w:fldCharType="separate"/>
      </w:r>
      <w:r>
        <w:t>22</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_Toc10650 </w:instrText>
      </w:r>
      <w:r>
        <w:rPr>
          <w:rFonts w:asciiTheme="minorEastAsia" w:hAnsiTheme="minorEastAsia" w:eastAsiaTheme="minorEastAsia"/>
          <w:szCs w:val="24"/>
        </w:rPr>
        <w:fldChar w:fldCharType="separate"/>
      </w:r>
      <w:r>
        <w:rPr>
          <w:rFonts w:hint="eastAsia" w:ascii="Times New Roman" w:hAnsi="Times New Roman" w:eastAsia="宋体"/>
        </w:rPr>
        <w:t>5.1 机架</w:t>
      </w:r>
      <w:r>
        <w:tab/>
      </w:r>
      <w:r>
        <w:fldChar w:fldCharType="begin"/>
      </w:r>
      <w:r>
        <w:instrText xml:space="preserve"> PAGEREF _Toc10650 </w:instrText>
      </w:r>
      <w:r>
        <w:fldChar w:fldCharType="separate"/>
      </w:r>
      <w:r>
        <w:t>22</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_Toc30200 </w:instrText>
      </w:r>
      <w:r>
        <w:rPr>
          <w:rFonts w:asciiTheme="minorEastAsia" w:hAnsiTheme="minorEastAsia" w:eastAsiaTheme="minorEastAsia"/>
          <w:szCs w:val="24"/>
        </w:rPr>
        <w:fldChar w:fldCharType="separate"/>
      </w:r>
      <w:r>
        <w:rPr>
          <w:rFonts w:hint="eastAsia" w:cs="宋体"/>
          <w:kern w:val="0"/>
          <w:szCs w:val="18"/>
          <w:highlight w:val="yellow"/>
        </w:rPr>
        <w:t>★</w:t>
      </w:r>
      <w:r>
        <w:rPr>
          <w:rFonts w:hint="eastAsia" w:ascii="Times New Roman" w:hAnsi="Times New Roman" w:eastAsia="宋体"/>
        </w:rPr>
        <w:t>5.2 塑料材料</w:t>
      </w:r>
      <w:r>
        <w:tab/>
      </w:r>
      <w:r>
        <w:fldChar w:fldCharType="begin"/>
      </w:r>
      <w:r>
        <w:instrText xml:space="preserve"> PAGEREF _Toc30200 </w:instrText>
      </w:r>
      <w:r>
        <w:fldChar w:fldCharType="separate"/>
      </w:r>
      <w:r>
        <w:t>22</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_Toc17120 </w:instrText>
      </w:r>
      <w:r>
        <w:rPr>
          <w:rFonts w:asciiTheme="minorEastAsia" w:hAnsiTheme="minorEastAsia" w:eastAsiaTheme="minorEastAsia"/>
          <w:szCs w:val="24"/>
        </w:rPr>
        <w:fldChar w:fldCharType="separate"/>
      </w:r>
      <w:r>
        <w:rPr>
          <w:rFonts w:hint="eastAsia" w:ascii="Times New Roman" w:hAnsi="Times New Roman" w:eastAsia="宋体"/>
        </w:rPr>
        <w:t>5.3非金属件的燃烧性能</w:t>
      </w:r>
      <w:r>
        <w:tab/>
      </w:r>
      <w:r>
        <w:fldChar w:fldCharType="begin"/>
      </w:r>
      <w:r>
        <w:instrText xml:space="preserve"> PAGEREF _Toc17120 </w:instrText>
      </w:r>
      <w:r>
        <w:fldChar w:fldCharType="separate"/>
      </w:r>
      <w:r>
        <w:t>22</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_Toc30735 </w:instrText>
      </w:r>
      <w:r>
        <w:rPr>
          <w:rFonts w:asciiTheme="minorEastAsia" w:hAnsiTheme="minorEastAsia" w:eastAsiaTheme="minorEastAsia"/>
          <w:szCs w:val="24"/>
        </w:rPr>
        <w:fldChar w:fldCharType="separate"/>
      </w:r>
      <w:r>
        <w:rPr>
          <w:rFonts w:hint="eastAsia" w:cs="宋体"/>
          <w:kern w:val="0"/>
          <w:szCs w:val="18"/>
          <w:highlight w:val="yellow"/>
        </w:rPr>
        <w:t>★</w:t>
      </w:r>
      <w:r>
        <w:rPr>
          <w:rFonts w:hint="eastAsia" w:ascii="Times New Roman" w:hAnsi="Times New Roman" w:eastAsia="宋体"/>
        </w:rPr>
        <w:t>5.4 光纤连接器</w:t>
      </w:r>
      <w:r>
        <w:tab/>
      </w:r>
      <w:r>
        <w:fldChar w:fldCharType="begin"/>
      </w:r>
      <w:r>
        <w:instrText xml:space="preserve"> PAGEREF _Toc30735 </w:instrText>
      </w:r>
      <w:r>
        <w:fldChar w:fldCharType="separate"/>
      </w:r>
      <w:r>
        <w:t>22</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_Toc12035 </w:instrText>
      </w:r>
      <w:r>
        <w:rPr>
          <w:rFonts w:asciiTheme="minorEastAsia" w:hAnsiTheme="minorEastAsia" w:eastAsiaTheme="minorEastAsia"/>
          <w:szCs w:val="24"/>
        </w:rPr>
        <w:fldChar w:fldCharType="separate"/>
      </w:r>
      <w:r>
        <w:rPr>
          <w:rFonts w:hint="eastAsia" w:ascii="Times New Roman" w:hAnsi="Times New Roman" w:eastAsia="宋体"/>
        </w:rPr>
        <w:t>6 环境要求</w:t>
      </w:r>
      <w:r>
        <w:tab/>
      </w:r>
      <w:r>
        <w:fldChar w:fldCharType="begin"/>
      </w:r>
      <w:r>
        <w:instrText xml:space="preserve"> PAGEREF _Toc12035 </w:instrText>
      </w:r>
      <w:r>
        <w:fldChar w:fldCharType="separate"/>
      </w:r>
      <w:r>
        <w:t>22</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_Toc18449 </w:instrText>
      </w:r>
      <w:r>
        <w:rPr>
          <w:rFonts w:asciiTheme="minorEastAsia" w:hAnsiTheme="minorEastAsia" w:eastAsiaTheme="minorEastAsia"/>
          <w:szCs w:val="24"/>
        </w:rPr>
        <w:fldChar w:fldCharType="separate"/>
      </w:r>
      <w:r>
        <w:rPr>
          <w:rFonts w:hint="eastAsia" w:ascii="Times New Roman" w:hAnsi="Times New Roman" w:eastAsia="宋体"/>
        </w:rPr>
        <w:t>6.1 使用环境条件</w:t>
      </w:r>
      <w:r>
        <w:tab/>
      </w:r>
      <w:r>
        <w:fldChar w:fldCharType="begin"/>
      </w:r>
      <w:r>
        <w:instrText xml:space="preserve"> PAGEREF _Toc18449 </w:instrText>
      </w:r>
      <w:r>
        <w:fldChar w:fldCharType="separate"/>
      </w:r>
      <w:r>
        <w:t>22</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_Toc16085 </w:instrText>
      </w:r>
      <w:r>
        <w:rPr>
          <w:rFonts w:asciiTheme="minorEastAsia" w:hAnsiTheme="minorEastAsia" w:eastAsiaTheme="minorEastAsia"/>
          <w:szCs w:val="24"/>
        </w:rPr>
        <w:fldChar w:fldCharType="separate"/>
      </w:r>
      <w:r>
        <w:rPr>
          <w:rFonts w:hint="eastAsia" w:ascii="Times New Roman" w:hAnsi="Times New Roman" w:eastAsia="宋体"/>
        </w:rPr>
        <w:t>6.2 检验环境条件</w:t>
      </w:r>
      <w:r>
        <w:tab/>
      </w:r>
      <w:r>
        <w:fldChar w:fldCharType="begin"/>
      </w:r>
      <w:r>
        <w:instrText xml:space="preserve"> PAGEREF _Toc16085 </w:instrText>
      </w:r>
      <w:r>
        <w:fldChar w:fldCharType="separate"/>
      </w:r>
      <w:r>
        <w:t>23</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_Toc25007 </w:instrText>
      </w:r>
      <w:r>
        <w:rPr>
          <w:rFonts w:asciiTheme="minorEastAsia" w:hAnsiTheme="minorEastAsia" w:eastAsiaTheme="minorEastAsia"/>
          <w:szCs w:val="24"/>
        </w:rPr>
        <w:fldChar w:fldCharType="separate"/>
      </w:r>
      <w:r>
        <w:rPr>
          <w:rFonts w:hint="eastAsia" w:ascii="Times New Roman" w:hAnsi="Times New Roman" w:eastAsia="宋体"/>
        </w:rPr>
        <w:t>7 包装、运输和贮存</w:t>
      </w:r>
      <w:r>
        <w:tab/>
      </w:r>
      <w:r>
        <w:fldChar w:fldCharType="begin"/>
      </w:r>
      <w:r>
        <w:instrText xml:space="preserve"> PAGEREF _Toc25007 </w:instrText>
      </w:r>
      <w:r>
        <w:fldChar w:fldCharType="separate"/>
      </w:r>
      <w:r>
        <w:t>23</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_Toc15587 </w:instrText>
      </w:r>
      <w:r>
        <w:rPr>
          <w:rFonts w:asciiTheme="minorEastAsia" w:hAnsiTheme="minorEastAsia" w:eastAsiaTheme="minorEastAsia"/>
          <w:szCs w:val="24"/>
        </w:rPr>
        <w:fldChar w:fldCharType="separate"/>
      </w:r>
      <w:r>
        <w:rPr>
          <w:rFonts w:hint="eastAsia" w:ascii="Times New Roman" w:hAnsi="Times New Roman" w:eastAsia="宋体"/>
        </w:rPr>
        <w:t>7.1 包装</w:t>
      </w:r>
      <w:r>
        <w:tab/>
      </w:r>
      <w:r>
        <w:fldChar w:fldCharType="begin"/>
      </w:r>
      <w:r>
        <w:instrText xml:space="preserve"> PAGEREF _Toc15587 </w:instrText>
      </w:r>
      <w:r>
        <w:fldChar w:fldCharType="separate"/>
      </w:r>
      <w:r>
        <w:t>23</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_Toc5231 </w:instrText>
      </w:r>
      <w:r>
        <w:rPr>
          <w:rFonts w:asciiTheme="minorEastAsia" w:hAnsiTheme="minorEastAsia" w:eastAsiaTheme="minorEastAsia"/>
          <w:szCs w:val="24"/>
        </w:rPr>
        <w:fldChar w:fldCharType="separate"/>
      </w:r>
      <w:r>
        <w:rPr>
          <w:rFonts w:hint="eastAsia" w:ascii="Times New Roman" w:hAnsi="Times New Roman" w:eastAsia="宋体"/>
        </w:rPr>
        <w:t>7.2 运输</w:t>
      </w:r>
      <w:r>
        <w:tab/>
      </w:r>
      <w:r>
        <w:fldChar w:fldCharType="begin"/>
      </w:r>
      <w:r>
        <w:instrText xml:space="preserve"> PAGEREF _Toc5231 </w:instrText>
      </w:r>
      <w:r>
        <w:fldChar w:fldCharType="separate"/>
      </w:r>
      <w:r>
        <w:t>23</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_Toc29954 </w:instrText>
      </w:r>
      <w:r>
        <w:rPr>
          <w:rFonts w:asciiTheme="minorEastAsia" w:hAnsiTheme="minorEastAsia" w:eastAsiaTheme="minorEastAsia"/>
          <w:szCs w:val="24"/>
        </w:rPr>
        <w:fldChar w:fldCharType="separate"/>
      </w:r>
      <w:r>
        <w:rPr>
          <w:rFonts w:hint="eastAsia" w:ascii="Times New Roman" w:hAnsi="Times New Roman" w:eastAsia="宋体"/>
        </w:rPr>
        <w:t>7.3 贮存</w:t>
      </w:r>
      <w:r>
        <w:tab/>
      </w:r>
      <w:r>
        <w:fldChar w:fldCharType="begin"/>
      </w:r>
      <w:r>
        <w:instrText xml:space="preserve"> PAGEREF _Toc29954 </w:instrText>
      </w:r>
      <w:r>
        <w:fldChar w:fldCharType="separate"/>
      </w:r>
      <w:r>
        <w:t>23</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_Toc30105 </w:instrText>
      </w:r>
      <w:r>
        <w:rPr>
          <w:rFonts w:asciiTheme="minorEastAsia" w:hAnsiTheme="minorEastAsia" w:eastAsiaTheme="minorEastAsia"/>
          <w:szCs w:val="24"/>
        </w:rPr>
        <w:fldChar w:fldCharType="separate"/>
      </w:r>
      <w:r>
        <w:rPr>
          <w:rFonts w:hint="eastAsia" w:ascii="Times New Roman" w:hAnsi="Times New Roman" w:eastAsia="宋体"/>
        </w:rPr>
        <w:t>8</w:t>
      </w:r>
      <w:r>
        <w:rPr>
          <w:rFonts w:ascii="Times New Roman" w:hAnsi="Times New Roman" w:eastAsia="宋体"/>
        </w:rPr>
        <w:t>.</w:t>
      </w:r>
      <w:r>
        <w:rPr>
          <w:rFonts w:hint="eastAsia" w:ascii="Times New Roman" w:hAnsi="Times New Roman" w:eastAsia="宋体"/>
        </w:rPr>
        <w:t>抗震要求</w:t>
      </w:r>
      <w:r>
        <w:tab/>
      </w:r>
      <w:r>
        <w:fldChar w:fldCharType="begin"/>
      </w:r>
      <w:r>
        <w:instrText xml:space="preserve"> PAGEREF _Toc30105 </w:instrText>
      </w:r>
      <w:r>
        <w:fldChar w:fldCharType="separate"/>
      </w:r>
      <w:r>
        <w:t>23</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_Toc17681 </w:instrText>
      </w:r>
      <w:r>
        <w:rPr>
          <w:rFonts w:asciiTheme="minorEastAsia" w:hAnsiTheme="minorEastAsia" w:eastAsiaTheme="minorEastAsia"/>
          <w:szCs w:val="24"/>
        </w:rPr>
        <w:fldChar w:fldCharType="separate"/>
      </w:r>
      <w:r>
        <w:rPr>
          <w:rFonts w:hint="eastAsia" w:ascii="Times New Roman" w:hAnsi="Times New Roman" w:eastAsia="宋体"/>
        </w:rPr>
        <w:t>9</w:t>
      </w:r>
      <w:r>
        <w:rPr>
          <w:rFonts w:ascii="Times New Roman" w:hAnsi="Times New Roman" w:eastAsia="宋体"/>
        </w:rPr>
        <w:t>.</w:t>
      </w:r>
      <w:r>
        <w:rPr>
          <w:rFonts w:hint="eastAsia" w:ascii="Times New Roman" w:hAnsi="Times New Roman" w:eastAsia="宋体"/>
        </w:rPr>
        <w:t>质量保证体系</w:t>
      </w:r>
      <w:r>
        <w:tab/>
      </w:r>
      <w:r>
        <w:fldChar w:fldCharType="begin"/>
      </w:r>
      <w:r>
        <w:instrText xml:space="preserve"> PAGEREF _Toc17681 </w:instrText>
      </w:r>
      <w:r>
        <w:fldChar w:fldCharType="separate"/>
      </w:r>
      <w:r>
        <w:t>23</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_Toc31324 </w:instrText>
      </w:r>
      <w:r>
        <w:rPr>
          <w:rFonts w:asciiTheme="minorEastAsia" w:hAnsiTheme="minorEastAsia" w:eastAsiaTheme="minorEastAsia"/>
          <w:szCs w:val="24"/>
        </w:rPr>
        <w:fldChar w:fldCharType="separate"/>
      </w:r>
      <w:r>
        <w:rPr>
          <w:rFonts w:hint="eastAsia" w:ascii="Times New Roman" w:hAnsi="Times New Roman" w:eastAsia="宋体"/>
        </w:rPr>
        <w:t>9.1　概述</w:t>
      </w:r>
      <w:r>
        <w:tab/>
      </w:r>
      <w:r>
        <w:fldChar w:fldCharType="begin"/>
      </w:r>
      <w:r>
        <w:instrText xml:space="preserve"> PAGEREF _Toc31324 </w:instrText>
      </w:r>
      <w:r>
        <w:fldChar w:fldCharType="separate"/>
      </w:r>
      <w:r>
        <w:t>24</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_Toc26900 </w:instrText>
      </w:r>
      <w:r>
        <w:rPr>
          <w:rFonts w:asciiTheme="minorEastAsia" w:hAnsiTheme="minorEastAsia" w:eastAsiaTheme="minorEastAsia"/>
          <w:szCs w:val="24"/>
        </w:rPr>
        <w:fldChar w:fldCharType="separate"/>
      </w:r>
      <w:r>
        <w:rPr>
          <w:rFonts w:hint="eastAsia" w:ascii="Times New Roman" w:hAnsi="Times New Roman" w:eastAsia="宋体"/>
        </w:rPr>
        <w:t>9.2　质量保证系统和要求</w:t>
      </w:r>
      <w:r>
        <w:tab/>
      </w:r>
      <w:r>
        <w:fldChar w:fldCharType="begin"/>
      </w:r>
      <w:r>
        <w:instrText xml:space="preserve"> PAGEREF _Toc26900 </w:instrText>
      </w:r>
      <w:r>
        <w:fldChar w:fldCharType="separate"/>
      </w:r>
      <w:r>
        <w:t>24</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_Toc17426 </w:instrText>
      </w:r>
      <w:r>
        <w:rPr>
          <w:rFonts w:asciiTheme="minorEastAsia" w:hAnsiTheme="minorEastAsia" w:eastAsiaTheme="minorEastAsia"/>
          <w:szCs w:val="24"/>
        </w:rPr>
        <w:fldChar w:fldCharType="separate"/>
      </w:r>
      <w:r>
        <w:rPr>
          <w:rFonts w:hint="eastAsia" w:ascii="Times New Roman" w:hAnsi="Times New Roman" w:eastAsia="宋体"/>
        </w:rPr>
        <w:t>9.3　附加质量保证要求</w:t>
      </w:r>
      <w:r>
        <w:tab/>
      </w:r>
      <w:r>
        <w:fldChar w:fldCharType="begin"/>
      </w:r>
      <w:r>
        <w:instrText xml:space="preserve"> PAGEREF _Toc17426 </w:instrText>
      </w:r>
      <w:r>
        <w:fldChar w:fldCharType="separate"/>
      </w:r>
      <w:r>
        <w:t>24</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_Toc1232 </w:instrText>
      </w:r>
      <w:r>
        <w:rPr>
          <w:rFonts w:asciiTheme="minorEastAsia" w:hAnsiTheme="minorEastAsia" w:eastAsiaTheme="minorEastAsia"/>
          <w:szCs w:val="24"/>
        </w:rPr>
        <w:fldChar w:fldCharType="separate"/>
      </w:r>
      <w:r>
        <w:rPr>
          <w:rFonts w:hint="eastAsia" w:ascii="Times New Roman" w:hAnsi="Times New Roman" w:eastAsia="宋体"/>
        </w:rPr>
        <w:t>9.4　生产能力及规模</w:t>
      </w:r>
      <w:r>
        <w:tab/>
      </w:r>
      <w:r>
        <w:fldChar w:fldCharType="begin"/>
      </w:r>
      <w:r>
        <w:instrText xml:space="preserve"> PAGEREF _Toc1232 </w:instrText>
      </w:r>
      <w:r>
        <w:fldChar w:fldCharType="separate"/>
      </w:r>
      <w:r>
        <w:t>24</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_Toc14303 </w:instrText>
      </w:r>
      <w:r>
        <w:rPr>
          <w:rFonts w:asciiTheme="minorEastAsia" w:hAnsiTheme="minorEastAsia" w:eastAsiaTheme="minorEastAsia"/>
          <w:szCs w:val="24"/>
        </w:rPr>
        <w:fldChar w:fldCharType="separate"/>
      </w:r>
      <w:r>
        <w:rPr>
          <w:rFonts w:hint="eastAsia" w:ascii="Times New Roman" w:hAnsi="Times New Roman" w:eastAsia="宋体"/>
        </w:rPr>
        <w:t>10保修期</w:t>
      </w:r>
      <w:r>
        <w:tab/>
      </w:r>
      <w:r>
        <w:fldChar w:fldCharType="begin"/>
      </w:r>
      <w:r>
        <w:instrText xml:space="preserve"> PAGEREF _Toc14303 </w:instrText>
      </w:r>
      <w:r>
        <w:fldChar w:fldCharType="separate"/>
      </w:r>
      <w:r>
        <w:t>25</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_Toc16266 </w:instrText>
      </w:r>
      <w:r>
        <w:rPr>
          <w:rFonts w:asciiTheme="minorEastAsia" w:hAnsiTheme="minorEastAsia" w:eastAsiaTheme="minorEastAsia"/>
          <w:szCs w:val="24"/>
        </w:rPr>
        <w:fldChar w:fldCharType="separate"/>
      </w:r>
      <w:r>
        <w:rPr>
          <w:rFonts w:ascii="Times New Roman" w:hAnsi="Times New Roman" w:eastAsia="宋体"/>
        </w:rPr>
        <w:t>1</w:t>
      </w:r>
      <w:r>
        <w:rPr>
          <w:rFonts w:hint="eastAsia" w:ascii="Times New Roman" w:hAnsi="Times New Roman" w:eastAsia="宋体"/>
        </w:rPr>
        <w:t>1技术文件</w:t>
      </w:r>
      <w:r>
        <w:tab/>
      </w:r>
      <w:r>
        <w:fldChar w:fldCharType="begin"/>
      </w:r>
      <w:r>
        <w:instrText xml:space="preserve"> PAGEREF _Toc16266 </w:instrText>
      </w:r>
      <w:r>
        <w:fldChar w:fldCharType="separate"/>
      </w:r>
      <w:r>
        <w:t>25</w:t>
      </w:r>
      <w:r>
        <w:fldChar w:fldCharType="end"/>
      </w:r>
      <w:r>
        <w:rPr>
          <w:rFonts w:asciiTheme="minorEastAsia" w:hAnsiTheme="minorEastAsia" w:eastAsiaTheme="minorEastAsia"/>
          <w:szCs w:val="24"/>
        </w:rPr>
        <w:fldChar w:fldCharType="end"/>
      </w:r>
    </w:p>
    <w:p>
      <w:pPr>
        <w:pStyle w:val="13"/>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_Toc1012 </w:instrText>
      </w:r>
      <w:r>
        <w:rPr>
          <w:rFonts w:asciiTheme="minorEastAsia" w:hAnsiTheme="minorEastAsia" w:eastAsiaTheme="minorEastAsia"/>
          <w:szCs w:val="24"/>
        </w:rPr>
        <w:fldChar w:fldCharType="separate"/>
      </w:r>
      <w:r>
        <w:rPr>
          <w:rFonts w:ascii="Times New Roman" w:hAnsi="Times New Roman" w:eastAsia="宋体"/>
        </w:rPr>
        <w:t>1</w:t>
      </w:r>
      <w:r>
        <w:rPr>
          <w:rFonts w:hint="eastAsia" w:ascii="Times New Roman" w:hAnsi="Times New Roman" w:eastAsia="宋体"/>
        </w:rPr>
        <w:t>2 技术建议</w:t>
      </w:r>
      <w:r>
        <w:tab/>
      </w:r>
      <w:r>
        <w:fldChar w:fldCharType="begin"/>
      </w:r>
      <w:r>
        <w:instrText xml:space="preserve"> PAGEREF _Toc1012 </w:instrText>
      </w:r>
      <w:r>
        <w:fldChar w:fldCharType="separate"/>
      </w:r>
      <w:r>
        <w:t>26</w:t>
      </w:r>
      <w:r>
        <w:fldChar w:fldCharType="end"/>
      </w:r>
      <w:r>
        <w:rPr>
          <w:rFonts w:asciiTheme="minorEastAsia" w:hAnsiTheme="minorEastAsia" w:eastAsiaTheme="minorEastAsia"/>
          <w:szCs w:val="24"/>
        </w:rPr>
        <w:fldChar w:fldCharType="end"/>
      </w:r>
    </w:p>
    <w:p>
      <w:pPr>
        <w:jc w:val="center"/>
        <w:rPr>
          <w:sz w:val="32"/>
          <w:szCs w:val="32"/>
        </w:rPr>
        <w:sectPr>
          <w:headerReference r:id="rId4" w:type="default"/>
          <w:footerReference r:id="rId5" w:type="default"/>
          <w:pgSz w:w="11906" w:h="16838"/>
          <w:pgMar w:top="1440" w:right="1287" w:bottom="1440" w:left="1797" w:header="720" w:footer="794" w:gutter="0"/>
          <w:pgNumType w:fmt="lowerRoman" w:start="1"/>
          <w:cols w:space="720" w:num="1"/>
          <w:docGrid w:type="lines" w:linePitch="326" w:charSpace="-4916"/>
        </w:sectPr>
      </w:pPr>
      <w:r>
        <w:rPr>
          <w:rFonts w:asciiTheme="minorEastAsia" w:hAnsiTheme="minorEastAsia" w:eastAsiaTheme="minorEastAsia"/>
          <w:szCs w:val="24"/>
        </w:rPr>
        <w:fldChar w:fldCharType="end"/>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0" w:name="_Toc6982"/>
      <w:r>
        <w:rPr>
          <w:rFonts w:ascii="Times New Roman" w:hAnsi="Times New Roman" w:eastAsia="宋体"/>
          <w:b w:val="0"/>
          <w:sz w:val="24"/>
        </w:rPr>
        <w:t>1</w:t>
      </w:r>
      <w:r>
        <w:rPr>
          <w:rFonts w:hint="eastAsia" w:ascii="Times New Roman" w:hAnsi="Times New Roman" w:eastAsia="宋体"/>
          <w:b w:val="0"/>
          <w:sz w:val="24"/>
        </w:rPr>
        <w:t xml:space="preserve"> 概述</w:t>
      </w:r>
      <w:bookmarkEnd w:id="0"/>
    </w:p>
    <w:p>
      <w:pPr>
        <w:pStyle w:val="32"/>
        <w:spacing w:line="560" w:lineRule="exact"/>
        <w:rPr>
          <w:sz w:val="24"/>
        </w:rPr>
      </w:pPr>
      <w:r>
        <w:rPr>
          <w:sz w:val="24"/>
        </w:rPr>
        <w:t>1.1</w:t>
      </w:r>
      <w:r>
        <w:rPr>
          <w:rFonts w:hint="eastAsia"/>
          <w:sz w:val="24"/>
        </w:rPr>
        <w:t>本文件为中国联通线路侧光纤配线架技术规范书（2020版）</w:t>
      </w:r>
      <w:r>
        <w:rPr>
          <w:sz w:val="24"/>
        </w:rPr>
        <w:t>，同时作为中国联合网络通信有限公司及其所属企业（以下简称“中国联通”或“招标人”）进行网络业务功能及供货、安装、调测、验收的要求</w:t>
      </w:r>
      <w:r>
        <w:rPr>
          <w:rFonts w:hint="eastAsia"/>
          <w:sz w:val="24"/>
        </w:rPr>
        <w:t>。</w:t>
      </w:r>
    </w:p>
    <w:p>
      <w:pPr>
        <w:pStyle w:val="32"/>
        <w:spacing w:line="560" w:lineRule="exact"/>
        <w:rPr>
          <w:sz w:val="24"/>
        </w:rPr>
      </w:pPr>
      <w:r>
        <w:rPr>
          <w:sz w:val="24"/>
        </w:rPr>
        <w:t>1.2</w:t>
      </w:r>
      <w:r>
        <w:rPr>
          <w:rFonts w:hint="eastAsia"/>
          <w:sz w:val="24"/>
        </w:rPr>
        <w:t>本规范应用范围为中心局机房、接入局点机房等需要在一个架体内进行分光、熔纤、配纤等工作的场景。本标准对光纤配线架中的分光、熔纤、配线各种性能、技术指标等方面提出了具体的要求。</w:t>
      </w:r>
    </w:p>
    <w:p>
      <w:pPr>
        <w:spacing w:line="560" w:lineRule="exact"/>
      </w:pPr>
      <w:r>
        <w:rPr>
          <w:rFonts w:hint="eastAsia"/>
        </w:rPr>
        <w:t>1.3 本规范对线路侧光纤配线架的机架尺寸、机架容量、机架内部布局、12芯熔配一体化托盘</w:t>
      </w:r>
      <w:r>
        <w:rPr>
          <w:rFonts w:hint="eastAsia"/>
          <w:szCs w:val="28"/>
        </w:rPr>
        <w:t>、6位导轨板、72芯终端子框结构尺寸提出具体要求，可实现多厂家设备互换。</w:t>
      </w:r>
    </w:p>
    <w:p>
      <w:pPr>
        <w:pStyle w:val="32"/>
        <w:spacing w:line="560" w:lineRule="exact"/>
        <w:rPr>
          <w:sz w:val="24"/>
        </w:rPr>
      </w:pPr>
      <w:r>
        <w:rPr>
          <w:sz w:val="24"/>
        </w:rPr>
        <w:t>1.</w:t>
      </w:r>
      <w:r>
        <w:rPr>
          <w:rFonts w:hint="eastAsia"/>
          <w:sz w:val="24"/>
        </w:rPr>
        <w:t>4 本规范依据中华人民共和国通信行业标准</w:t>
      </w:r>
      <w:r>
        <w:rPr>
          <w:sz w:val="24"/>
        </w:rPr>
        <w:t>YD/T778-2011</w:t>
      </w:r>
      <w:r>
        <w:rPr>
          <w:rFonts w:hint="eastAsia"/>
          <w:sz w:val="24"/>
        </w:rPr>
        <w:t>《光纤配线架》和泰尔认证中心《配线设备认证实施规则》编制而成，设备厂商提供的产品应符合其规定。随着标准的修订，设备厂商提供的产品应符合最新标准的要求。</w:t>
      </w:r>
    </w:p>
    <w:p>
      <w:pPr>
        <w:pStyle w:val="32"/>
        <w:spacing w:line="560" w:lineRule="exact"/>
        <w:rPr>
          <w:sz w:val="24"/>
        </w:rPr>
      </w:pPr>
      <w:r>
        <w:rPr>
          <w:sz w:val="24"/>
        </w:rPr>
        <w:t>1.</w:t>
      </w:r>
      <w:r>
        <w:rPr>
          <w:rFonts w:hint="eastAsia"/>
          <w:sz w:val="24"/>
        </w:rPr>
        <w:t>5本技术规范书未规定的其它技术要求应不劣于相关的中国国家标准及通信行业标准的要求。</w:t>
      </w:r>
    </w:p>
    <w:p>
      <w:pPr>
        <w:pStyle w:val="32"/>
        <w:spacing w:line="560" w:lineRule="exact"/>
        <w:rPr>
          <w:sz w:val="24"/>
        </w:rPr>
      </w:pPr>
      <w:r>
        <w:rPr>
          <w:sz w:val="24"/>
        </w:rPr>
        <w:t>1.6</w:t>
      </w:r>
      <w:r>
        <w:rPr>
          <w:rFonts w:hint="eastAsia"/>
          <w:sz w:val="24"/>
        </w:rPr>
        <w:t>中国联通集团公司依据本规范的要求对产品实施抽样检验。</w:t>
      </w:r>
    </w:p>
    <w:p>
      <w:pPr>
        <w:pStyle w:val="32"/>
        <w:spacing w:line="560" w:lineRule="exact"/>
        <w:rPr>
          <w:sz w:val="24"/>
        </w:rPr>
      </w:pPr>
      <w:r>
        <w:rPr>
          <w:sz w:val="24"/>
        </w:rPr>
        <w:t>1.7</w:t>
      </w:r>
      <w:r>
        <w:rPr>
          <w:rFonts w:hint="eastAsia"/>
          <w:sz w:val="24"/>
        </w:rPr>
        <w:t>入围中国联通集团公司设备采购的设备厂商，按照本规范向中国联通集团提供设备时，应具备设备制造合法权力，不存在专利技术、授权等方面的争议。</w:t>
      </w:r>
    </w:p>
    <w:p>
      <w:pPr>
        <w:pStyle w:val="32"/>
        <w:spacing w:line="560" w:lineRule="exact"/>
        <w:rPr>
          <w:sz w:val="24"/>
        </w:rPr>
      </w:pPr>
      <w:r>
        <w:rPr>
          <w:sz w:val="24"/>
        </w:rPr>
        <w:t xml:space="preserve">1.8 </w:t>
      </w:r>
      <w:r>
        <w:rPr>
          <w:rFonts w:hint="eastAsia"/>
          <w:sz w:val="24"/>
        </w:rPr>
        <w:t xml:space="preserve"> 投标方应对本文件的技术规范所提出的各项条款进行逐条答复、说明和解释，并写出具体技术数据和指标。首先对实现或满足程度明确做出“满足”、“部分满足”、“不满足”等应答。对于规范书中要求列举的条款，必须在点对点应答书中进行列举，不得简单答复“满足”等，否则视该条款的应答为“不满足”。如果回答“部分满足”，需要详细说明哪些部分满足，哪些部分不满足，并说明原因。</w:t>
      </w:r>
    </w:p>
    <w:p>
      <w:pPr>
        <w:pStyle w:val="32"/>
        <w:spacing w:line="560" w:lineRule="exact"/>
        <w:rPr>
          <w:sz w:val="24"/>
        </w:rPr>
      </w:pPr>
      <w:r>
        <w:rPr>
          <w:rFonts w:hint="eastAsia"/>
          <w:sz w:val="24"/>
        </w:rPr>
        <w:t xml:space="preserve">    请投标方特别注意：在答复中，凡采用“详见”、“参见”等方式说明的条款，应指明参见文档的具体章节或页码，同时必须在点对点应答书中注有适当的总结性文字，简洁、明了地回答相应的条款。</w:t>
      </w:r>
    </w:p>
    <w:p>
      <w:pPr>
        <w:pStyle w:val="32"/>
        <w:spacing w:line="560" w:lineRule="exact"/>
        <w:rPr>
          <w:sz w:val="24"/>
        </w:rPr>
      </w:pPr>
      <w:r>
        <w:rPr>
          <w:rFonts w:hint="eastAsia"/>
          <w:sz w:val="24"/>
        </w:rPr>
        <w:t>1.</w:t>
      </w:r>
      <w:r>
        <w:rPr>
          <w:sz w:val="24"/>
        </w:rPr>
        <w:t>9</w:t>
      </w:r>
      <w:r>
        <w:rPr>
          <w:rFonts w:hint="eastAsia"/>
          <w:sz w:val="24"/>
        </w:rPr>
        <w:t xml:space="preserve"> 本文件中未提出而厂商认为有必要说明的部分，以及更加合理的技术性能，厂商应在应标书中提供详细的资料和说明。</w:t>
      </w:r>
    </w:p>
    <w:p>
      <w:pPr>
        <w:spacing w:line="360" w:lineRule="auto"/>
      </w:pPr>
      <w:r>
        <w:rPr>
          <w:rFonts w:hint="eastAsia" w:ascii="Times New Roman" w:hAnsi="Times New Roman"/>
          <w:kern w:val="21"/>
        </w:rPr>
        <w:t>1.</w:t>
      </w:r>
      <w:r>
        <w:rPr>
          <w:rFonts w:ascii="Times New Roman" w:hAnsi="Times New Roman"/>
          <w:kern w:val="21"/>
        </w:rPr>
        <w:t>10</w:t>
      </w:r>
      <w:r>
        <w:t>对于</w:t>
      </w:r>
      <w:r>
        <w:rPr>
          <w:rFonts w:hint="eastAsia"/>
        </w:rPr>
        <w:t>本次招标中的各规格型号产品，投标方不能生产的，在报价表中对应的备注栏填写“不能提供该型号产品”。评标时，该类产品按所有投标方中该类产品的最高价进行评标。</w:t>
      </w:r>
    </w:p>
    <w:p>
      <w:pPr>
        <w:spacing w:line="360" w:lineRule="auto"/>
      </w:pPr>
      <w:r>
        <w:rPr>
          <w:rFonts w:ascii="Times New Roman" w:hAnsi="Times New Roman"/>
          <w:kern w:val="21"/>
        </w:rPr>
        <w:t>1.</w:t>
      </w:r>
      <w:r>
        <w:rPr>
          <w:rFonts w:hint="eastAsia" w:ascii="Times New Roman" w:hAnsi="Times New Roman"/>
          <w:kern w:val="21"/>
        </w:rPr>
        <w:t>1</w:t>
      </w:r>
      <w:r>
        <w:rPr>
          <w:rFonts w:ascii="Times New Roman" w:hAnsi="Times New Roman"/>
          <w:kern w:val="21"/>
        </w:rPr>
        <w:t>1</w:t>
      </w:r>
      <w:r>
        <w:rPr>
          <w:rFonts w:hint="eastAsia" w:ascii="Times New Roman" w:hAnsi="Times New Roman"/>
          <w:kern w:val="21"/>
        </w:rPr>
        <w:t xml:space="preserve"> </w:t>
      </w:r>
      <w:r>
        <w:rPr>
          <w:rFonts w:hint="eastAsia"/>
        </w:rPr>
        <w:t>ODF设备使用经验</w:t>
      </w:r>
    </w:p>
    <w:p>
      <w:pPr>
        <w:spacing w:line="360" w:lineRule="auto"/>
        <w:ind w:firstLine="480" w:firstLineChars="200"/>
      </w:pPr>
      <w:r>
        <w:rPr>
          <w:rFonts w:hint="eastAsia"/>
        </w:rPr>
        <w:t>为本项目提供的ODF设备类型必须是经过工程实际使用并通过竣工验收、同时必须是为两个以上电信运营商提供一年以上满意服务的设备类型。</w:t>
      </w:r>
    </w:p>
    <w:p>
      <w:pPr>
        <w:spacing w:line="360" w:lineRule="auto"/>
      </w:pPr>
      <w:r>
        <w:rPr>
          <w:rFonts w:ascii="Times New Roman" w:hAnsi="Times New Roman"/>
          <w:kern w:val="21"/>
        </w:rPr>
        <w:t>1.</w:t>
      </w:r>
      <w:r>
        <w:rPr>
          <w:rFonts w:hint="eastAsia" w:ascii="Times New Roman" w:hAnsi="Times New Roman"/>
          <w:kern w:val="21"/>
        </w:rPr>
        <w:t>1</w:t>
      </w:r>
      <w:r>
        <w:rPr>
          <w:rFonts w:ascii="Times New Roman" w:hAnsi="Times New Roman"/>
          <w:kern w:val="21"/>
        </w:rPr>
        <w:t>2</w:t>
      </w:r>
      <w:r>
        <w:rPr>
          <w:rFonts w:hint="eastAsia" w:ascii="Times New Roman" w:hAnsi="Times New Roman"/>
          <w:kern w:val="21"/>
        </w:rPr>
        <w:t xml:space="preserve"> </w:t>
      </w:r>
      <w:r>
        <w:rPr>
          <w:rFonts w:hint="eastAsia"/>
        </w:rPr>
        <w:t>投方应如实、严格填写下表，招标方保留核实的权力。</w:t>
      </w:r>
    </w:p>
    <w:p>
      <w:pPr>
        <w:pStyle w:val="51"/>
        <w:jc w:val="center"/>
        <w:rPr>
          <w:rFonts w:hAnsi="宋体"/>
          <w:sz w:val="21"/>
        </w:rPr>
      </w:pPr>
      <w:r>
        <w:rPr>
          <w:rFonts w:hint="eastAsia" w:hAnsi="宋体"/>
          <w:sz w:val="21"/>
        </w:rPr>
        <w:t>表1.</w:t>
      </w:r>
      <w:r>
        <w:rPr>
          <w:rFonts w:hAnsi="宋体"/>
          <w:sz w:val="21"/>
        </w:rPr>
        <w:t>1</w:t>
      </w:r>
      <w:r>
        <w:rPr>
          <w:rFonts w:hint="eastAsia" w:hAnsi="宋体"/>
          <w:sz w:val="21"/>
        </w:rPr>
        <w:t xml:space="preserve">     201</w:t>
      </w:r>
      <w:r>
        <w:rPr>
          <w:rFonts w:hAnsi="宋体"/>
          <w:sz w:val="21"/>
        </w:rPr>
        <w:t>9</w:t>
      </w:r>
      <w:r>
        <w:rPr>
          <w:rFonts w:hint="eastAsia" w:hAnsi="宋体"/>
          <w:sz w:val="21"/>
        </w:rPr>
        <w:t>-</w:t>
      </w:r>
      <w:r>
        <w:rPr>
          <w:rFonts w:hAnsi="宋体"/>
          <w:sz w:val="21"/>
        </w:rPr>
        <w:t>2020</w:t>
      </w:r>
      <w:r>
        <w:rPr>
          <w:rFonts w:hint="eastAsia" w:hAnsi="宋体"/>
          <w:sz w:val="21"/>
        </w:rPr>
        <w:t>年（对中国联通）光纤分配架供货记录</w:t>
      </w:r>
    </w:p>
    <w:tbl>
      <w:tblPr>
        <w:tblStyle w:val="17"/>
        <w:tblW w:w="89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200"/>
        <w:gridCol w:w="1200"/>
        <w:gridCol w:w="1080"/>
        <w:gridCol w:w="144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188" w:type="dxa"/>
            <w:vMerge w:val="restart"/>
            <w:shd w:val="clear" w:color="auto" w:fill="auto"/>
            <w:vAlign w:val="center"/>
          </w:tcPr>
          <w:p>
            <w:pPr>
              <w:pStyle w:val="51"/>
              <w:ind w:left="105" w:hanging="105" w:hangingChars="50"/>
              <w:jc w:val="center"/>
              <w:rPr>
                <w:rFonts w:hAnsi="宋体"/>
                <w:sz w:val="21"/>
              </w:rPr>
            </w:pPr>
            <w:r>
              <w:rPr>
                <w:rFonts w:hint="eastAsia" w:hAnsi="宋体"/>
                <w:sz w:val="21"/>
              </w:rPr>
              <w:t>省市公司</w:t>
            </w:r>
          </w:p>
        </w:tc>
        <w:tc>
          <w:tcPr>
            <w:tcW w:w="1200" w:type="dxa"/>
            <w:vMerge w:val="restart"/>
            <w:vAlign w:val="center"/>
          </w:tcPr>
          <w:p>
            <w:pPr>
              <w:pStyle w:val="51"/>
              <w:jc w:val="center"/>
              <w:rPr>
                <w:rFonts w:hAnsi="宋体"/>
                <w:sz w:val="21"/>
              </w:rPr>
            </w:pPr>
            <w:r>
              <w:rPr>
                <w:rFonts w:hint="eastAsia" w:hAnsi="宋体"/>
                <w:sz w:val="21"/>
              </w:rPr>
              <w:t>生产厂家</w:t>
            </w:r>
          </w:p>
        </w:tc>
        <w:tc>
          <w:tcPr>
            <w:tcW w:w="1200" w:type="dxa"/>
            <w:vMerge w:val="restart"/>
            <w:vAlign w:val="center"/>
          </w:tcPr>
          <w:p>
            <w:pPr>
              <w:pStyle w:val="51"/>
              <w:jc w:val="center"/>
              <w:rPr>
                <w:rFonts w:hAnsi="宋体"/>
                <w:sz w:val="21"/>
              </w:rPr>
            </w:pPr>
            <w:r>
              <w:rPr>
                <w:rFonts w:hint="eastAsia" w:hAnsi="宋体"/>
                <w:sz w:val="21"/>
              </w:rPr>
              <w:t>ODF型号</w:t>
            </w:r>
          </w:p>
        </w:tc>
        <w:tc>
          <w:tcPr>
            <w:tcW w:w="2520" w:type="dxa"/>
            <w:gridSpan w:val="2"/>
            <w:vAlign w:val="center"/>
          </w:tcPr>
          <w:p>
            <w:pPr>
              <w:pStyle w:val="51"/>
              <w:jc w:val="center"/>
              <w:rPr>
                <w:rFonts w:hAnsi="宋体"/>
                <w:sz w:val="21"/>
              </w:rPr>
            </w:pPr>
            <w:r>
              <w:rPr>
                <w:rFonts w:hint="eastAsia" w:hAnsi="宋体"/>
                <w:sz w:val="21"/>
              </w:rPr>
              <w:t>供货数量</w:t>
            </w:r>
          </w:p>
        </w:tc>
        <w:tc>
          <w:tcPr>
            <w:tcW w:w="1440" w:type="dxa"/>
            <w:vMerge w:val="restart"/>
            <w:vAlign w:val="center"/>
          </w:tcPr>
          <w:p>
            <w:pPr>
              <w:pStyle w:val="51"/>
              <w:jc w:val="center"/>
              <w:rPr>
                <w:rFonts w:hAnsi="宋体"/>
                <w:sz w:val="21"/>
              </w:rPr>
            </w:pPr>
            <w:r>
              <w:rPr>
                <w:rFonts w:hint="eastAsia" w:hAnsi="宋体"/>
                <w:sz w:val="21"/>
              </w:rPr>
              <w:t>供货时间</w:t>
            </w:r>
          </w:p>
        </w:tc>
        <w:tc>
          <w:tcPr>
            <w:tcW w:w="1440" w:type="dxa"/>
            <w:vMerge w:val="restart"/>
            <w:shd w:val="clear" w:color="auto" w:fill="auto"/>
            <w:vAlign w:val="center"/>
          </w:tcPr>
          <w:p>
            <w:pPr>
              <w:pStyle w:val="51"/>
              <w:jc w:val="center"/>
              <w:rPr>
                <w:rFonts w:hAnsi="宋体"/>
                <w:sz w:val="21"/>
              </w:rPr>
            </w:pPr>
            <w:r>
              <w:rPr>
                <w:rFonts w:hint="eastAsia" w:hAnsi="宋体"/>
                <w:sz w:val="21"/>
              </w:rPr>
              <w:t>工程联系人及电话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Merge w:val="continue"/>
            <w:vAlign w:val="center"/>
          </w:tcPr>
          <w:p>
            <w:pPr>
              <w:pStyle w:val="51"/>
              <w:jc w:val="center"/>
              <w:rPr>
                <w:rFonts w:hAnsi="宋体"/>
                <w:sz w:val="21"/>
              </w:rPr>
            </w:pPr>
          </w:p>
        </w:tc>
        <w:tc>
          <w:tcPr>
            <w:tcW w:w="1200" w:type="dxa"/>
            <w:vMerge w:val="continue"/>
          </w:tcPr>
          <w:p>
            <w:pPr>
              <w:pStyle w:val="51"/>
              <w:jc w:val="center"/>
              <w:rPr>
                <w:rFonts w:hAnsi="宋体"/>
                <w:sz w:val="21"/>
              </w:rPr>
            </w:pPr>
          </w:p>
        </w:tc>
        <w:tc>
          <w:tcPr>
            <w:tcW w:w="1200" w:type="dxa"/>
            <w:vMerge w:val="continue"/>
          </w:tcPr>
          <w:p>
            <w:pPr>
              <w:pStyle w:val="51"/>
              <w:jc w:val="center"/>
              <w:rPr>
                <w:rFonts w:hAnsi="宋体"/>
                <w:sz w:val="21"/>
              </w:rPr>
            </w:pPr>
          </w:p>
        </w:tc>
        <w:tc>
          <w:tcPr>
            <w:tcW w:w="1080" w:type="dxa"/>
          </w:tcPr>
          <w:p>
            <w:pPr>
              <w:pStyle w:val="51"/>
              <w:jc w:val="center"/>
              <w:rPr>
                <w:rFonts w:hAnsi="宋体"/>
                <w:sz w:val="21"/>
              </w:rPr>
            </w:pPr>
            <w:r>
              <w:rPr>
                <w:rFonts w:hint="eastAsia" w:hAnsi="宋体"/>
                <w:sz w:val="21"/>
              </w:rPr>
              <w:t>机架数</w:t>
            </w:r>
          </w:p>
        </w:tc>
        <w:tc>
          <w:tcPr>
            <w:tcW w:w="1440" w:type="dxa"/>
          </w:tcPr>
          <w:p>
            <w:pPr>
              <w:pStyle w:val="51"/>
              <w:jc w:val="center"/>
              <w:rPr>
                <w:rFonts w:hAnsi="宋体"/>
                <w:sz w:val="21"/>
              </w:rPr>
            </w:pPr>
            <w:r>
              <w:rPr>
                <w:rFonts w:hint="eastAsia" w:hAnsi="宋体"/>
                <w:sz w:val="21"/>
              </w:rPr>
              <w:t>光纤总芯数</w:t>
            </w:r>
          </w:p>
        </w:tc>
        <w:tc>
          <w:tcPr>
            <w:tcW w:w="1440" w:type="dxa"/>
            <w:vMerge w:val="continue"/>
          </w:tcPr>
          <w:p>
            <w:pPr>
              <w:pStyle w:val="51"/>
              <w:jc w:val="center"/>
              <w:rPr>
                <w:rFonts w:hAnsi="宋体"/>
                <w:sz w:val="21"/>
              </w:rPr>
            </w:pPr>
          </w:p>
        </w:tc>
        <w:tc>
          <w:tcPr>
            <w:tcW w:w="1440" w:type="dxa"/>
            <w:vMerge w:val="continue"/>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bl>
    <w:p>
      <w:pPr>
        <w:pStyle w:val="51"/>
        <w:rPr>
          <w:rFonts w:hAnsi="宋体"/>
          <w:sz w:val="21"/>
        </w:rPr>
      </w:pPr>
      <w:r>
        <w:rPr>
          <w:rFonts w:hint="eastAsia" w:hAnsi="宋体"/>
          <w:sz w:val="21"/>
        </w:rPr>
        <w:t xml:space="preserve">注1：填报对中国联通各省（市）联通通信公司的供货记录；                                                                                                       </w:t>
      </w:r>
    </w:p>
    <w:p>
      <w:pPr>
        <w:pStyle w:val="51"/>
        <w:rPr>
          <w:rFonts w:hAnsi="宋体"/>
          <w:sz w:val="21"/>
        </w:rPr>
      </w:pPr>
    </w:p>
    <w:p>
      <w:pPr>
        <w:pStyle w:val="51"/>
        <w:jc w:val="center"/>
        <w:rPr>
          <w:rFonts w:hAnsi="宋体"/>
          <w:sz w:val="21"/>
        </w:rPr>
      </w:pPr>
      <w:r>
        <w:rPr>
          <w:rFonts w:hint="eastAsia" w:hAnsi="宋体"/>
          <w:sz w:val="21"/>
        </w:rPr>
        <w:t>表1.</w:t>
      </w:r>
      <w:r>
        <w:rPr>
          <w:rFonts w:hAnsi="宋体"/>
          <w:sz w:val="21"/>
        </w:rPr>
        <w:t>2</w:t>
      </w:r>
      <w:r>
        <w:rPr>
          <w:rFonts w:hint="eastAsia" w:hAnsi="宋体"/>
          <w:sz w:val="21"/>
        </w:rPr>
        <w:t xml:space="preserve">    20</w:t>
      </w:r>
      <w:r>
        <w:rPr>
          <w:rFonts w:hAnsi="宋体"/>
          <w:sz w:val="21"/>
        </w:rPr>
        <w:t>19</w:t>
      </w:r>
      <w:r>
        <w:rPr>
          <w:rFonts w:hint="eastAsia" w:hAnsi="宋体"/>
          <w:sz w:val="21"/>
        </w:rPr>
        <w:t>-</w:t>
      </w:r>
      <w:r>
        <w:rPr>
          <w:rFonts w:hAnsi="宋体"/>
          <w:sz w:val="21"/>
        </w:rPr>
        <w:t>2020</w:t>
      </w:r>
      <w:r>
        <w:rPr>
          <w:rFonts w:hint="eastAsia" w:hAnsi="宋体"/>
          <w:sz w:val="21"/>
        </w:rPr>
        <w:t>年（对其他电信运营商）光纤分配架供货记录</w:t>
      </w:r>
    </w:p>
    <w:tbl>
      <w:tblPr>
        <w:tblStyle w:val="17"/>
        <w:tblW w:w="89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200"/>
        <w:gridCol w:w="1200"/>
        <w:gridCol w:w="1080"/>
        <w:gridCol w:w="144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188" w:type="dxa"/>
            <w:vMerge w:val="restart"/>
            <w:shd w:val="clear" w:color="auto" w:fill="auto"/>
            <w:vAlign w:val="center"/>
          </w:tcPr>
          <w:p>
            <w:pPr>
              <w:pStyle w:val="51"/>
              <w:ind w:left="105" w:hanging="105" w:hangingChars="50"/>
              <w:jc w:val="center"/>
              <w:rPr>
                <w:rFonts w:hAnsi="宋体"/>
                <w:sz w:val="21"/>
              </w:rPr>
            </w:pPr>
            <w:r>
              <w:rPr>
                <w:rFonts w:hint="eastAsia" w:hAnsi="宋体"/>
                <w:sz w:val="21"/>
              </w:rPr>
              <w:t>运营商</w:t>
            </w:r>
          </w:p>
        </w:tc>
        <w:tc>
          <w:tcPr>
            <w:tcW w:w="1200" w:type="dxa"/>
            <w:vMerge w:val="restart"/>
            <w:vAlign w:val="center"/>
          </w:tcPr>
          <w:p>
            <w:pPr>
              <w:pStyle w:val="51"/>
              <w:jc w:val="center"/>
              <w:rPr>
                <w:rFonts w:hAnsi="宋体"/>
                <w:sz w:val="21"/>
              </w:rPr>
            </w:pPr>
            <w:r>
              <w:rPr>
                <w:rFonts w:hint="eastAsia" w:hAnsi="宋体"/>
                <w:sz w:val="21"/>
              </w:rPr>
              <w:t>生产厂家</w:t>
            </w:r>
          </w:p>
        </w:tc>
        <w:tc>
          <w:tcPr>
            <w:tcW w:w="1200" w:type="dxa"/>
            <w:vMerge w:val="restart"/>
            <w:vAlign w:val="center"/>
          </w:tcPr>
          <w:p>
            <w:pPr>
              <w:pStyle w:val="51"/>
              <w:jc w:val="center"/>
              <w:rPr>
                <w:rFonts w:hAnsi="宋体"/>
                <w:sz w:val="21"/>
              </w:rPr>
            </w:pPr>
            <w:r>
              <w:rPr>
                <w:rFonts w:hint="eastAsia" w:hAnsi="宋体"/>
                <w:sz w:val="21"/>
              </w:rPr>
              <w:t>ODF型号</w:t>
            </w:r>
          </w:p>
        </w:tc>
        <w:tc>
          <w:tcPr>
            <w:tcW w:w="2520" w:type="dxa"/>
            <w:gridSpan w:val="2"/>
            <w:vAlign w:val="center"/>
          </w:tcPr>
          <w:p>
            <w:pPr>
              <w:pStyle w:val="51"/>
              <w:jc w:val="center"/>
              <w:rPr>
                <w:rFonts w:hAnsi="宋体"/>
                <w:sz w:val="21"/>
              </w:rPr>
            </w:pPr>
            <w:r>
              <w:rPr>
                <w:rFonts w:hint="eastAsia" w:hAnsi="宋体"/>
                <w:sz w:val="21"/>
              </w:rPr>
              <w:t>供货数量</w:t>
            </w:r>
          </w:p>
        </w:tc>
        <w:tc>
          <w:tcPr>
            <w:tcW w:w="1440" w:type="dxa"/>
            <w:vMerge w:val="restart"/>
            <w:vAlign w:val="center"/>
          </w:tcPr>
          <w:p>
            <w:pPr>
              <w:pStyle w:val="51"/>
              <w:jc w:val="center"/>
              <w:rPr>
                <w:rFonts w:hAnsi="宋体"/>
                <w:sz w:val="21"/>
              </w:rPr>
            </w:pPr>
            <w:r>
              <w:rPr>
                <w:rFonts w:hint="eastAsia" w:hAnsi="宋体"/>
                <w:sz w:val="21"/>
              </w:rPr>
              <w:t>供货时间</w:t>
            </w:r>
          </w:p>
        </w:tc>
        <w:tc>
          <w:tcPr>
            <w:tcW w:w="1440" w:type="dxa"/>
            <w:vMerge w:val="restart"/>
            <w:shd w:val="clear" w:color="auto" w:fill="auto"/>
            <w:vAlign w:val="center"/>
          </w:tcPr>
          <w:p>
            <w:pPr>
              <w:pStyle w:val="51"/>
              <w:jc w:val="center"/>
              <w:rPr>
                <w:rFonts w:hAnsi="宋体"/>
                <w:sz w:val="21"/>
              </w:rPr>
            </w:pPr>
            <w:r>
              <w:rPr>
                <w:rFonts w:hint="eastAsia" w:hAnsi="宋体"/>
                <w:sz w:val="21"/>
              </w:rPr>
              <w:t>工程联系人及电话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Merge w:val="continue"/>
            <w:vAlign w:val="center"/>
          </w:tcPr>
          <w:p>
            <w:pPr>
              <w:pStyle w:val="51"/>
              <w:jc w:val="center"/>
              <w:rPr>
                <w:rFonts w:hAnsi="宋体"/>
                <w:sz w:val="21"/>
              </w:rPr>
            </w:pPr>
          </w:p>
        </w:tc>
        <w:tc>
          <w:tcPr>
            <w:tcW w:w="1200" w:type="dxa"/>
            <w:vMerge w:val="continue"/>
          </w:tcPr>
          <w:p>
            <w:pPr>
              <w:pStyle w:val="51"/>
              <w:jc w:val="center"/>
              <w:rPr>
                <w:rFonts w:hAnsi="宋体"/>
                <w:sz w:val="21"/>
              </w:rPr>
            </w:pPr>
          </w:p>
        </w:tc>
        <w:tc>
          <w:tcPr>
            <w:tcW w:w="1200" w:type="dxa"/>
            <w:vMerge w:val="continue"/>
          </w:tcPr>
          <w:p>
            <w:pPr>
              <w:pStyle w:val="51"/>
              <w:jc w:val="center"/>
              <w:rPr>
                <w:rFonts w:hAnsi="宋体"/>
                <w:sz w:val="21"/>
              </w:rPr>
            </w:pPr>
          </w:p>
        </w:tc>
        <w:tc>
          <w:tcPr>
            <w:tcW w:w="1080" w:type="dxa"/>
          </w:tcPr>
          <w:p>
            <w:pPr>
              <w:pStyle w:val="51"/>
              <w:jc w:val="center"/>
              <w:rPr>
                <w:rFonts w:hAnsi="宋体"/>
                <w:sz w:val="21"/>
              </w:rPr>
            </w:pPr>
            <w:r>
              <w:rPr>
                <w:rFonts w:hint="eastAsia" w:hAnsi="宋体"/>
                <w:sz w:val="21"/>
              </w:rPr>
              <w:t>机架数</w:t>
            </w:r>
          </w:p>
        </w:tc>
        <w:tc>
          <w:tcPr>
            <w:tcW w:w="1440" w:type="dxa"/>
          </w:tcPr>
          <w:p>
            <w:pPr>
              <w:pStyle w:val="51"/>
              <w:jc w:val="center"/>
              <w:rPr>
                <w:rFonts w:hAnsi="宋体"/>
                <w:sz w:val="21"/>
              </w:rPr>
            </w:pPr>
            <w:r>
              <w:rPr>
                <w:rFonts w:hint="eastAsia" w:hAnsi="宋体"/>
                <w:sz w:val="21"/>
              </w:rPr>
              <w:t>光纤总芯数</w:t>
            </w:r>
          </w:p>
        </w:tc>
        <w:tc>
          <w:tcPr>
            <w:tcW w:w="1440" w:type="dxa"/>
            <w:vMerge w:val="continue"/>
          </w:tcPr>
          <w:p>
            <w:pPr>
              <w:pStyle w:val="51"/>
              <w:jc w:val="center"/>
              <w:rPr>
                <w:rFonts w:hAnsi="宋体"/>
                <w:sz w:val="21"/>
              </w:rPr>
            </w:pPr>
          </w:p>
        </w:tc>
        <w:tc>
          <w:tcPr>
            <w:tcW w:w="1440" w:type="dxa"/>
            <w:vMerge w:val="continue"/>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pPr>
              <w:pStyle w:val="51"/>
              <w:jc w:val="center"/>
              <w:rPr>
                <w:rFonts w:hAnsi="宋体"/>
                <w:sz w:val="21"/>
              </w:rPr>
            </w:pPr>
          </w:p>
        </w:tc>
        <w:tc>
          <w:tcPr>
            <w:tcW w:w="1200" w:type="dxa"/>
          </w:tcPr>
          <w:p>
            <w:pPr>
              <w:pStyle w:val="51"/>
              <w:jc w:val="center"/>
              <w:rPr>
                <w:rFonts w:hAnsi="宋体"/>
                <w:sz w:val="21"/>
              </w:rPr>
            </w:pPr>
          </w:p>
        </w:tc>
        <w:tc>
          <w:tcPr>
            <w:tcW w:w="1200" w:type="dxa"/>
          </w:tcPr>
          <w:p>
            <w:pPr>
              <w:pStyle w:val="51"/>
              <w:jc w:val="center"/>
              <w:rPr>
                <w:rFonts w:hAnsi="宋体"/>
                <w:sz w:val="21"/>
              </w:rPr>
            </w:pPr>
          </w:p>
        </w:tc>
        <w:tc>
          <w:tcPr>
            <w:tcW w:w="1080" w:type="dxa"/>
          </w:tcPr>
          <w:p>
            <w:pPr>
              <w:pStyle w:val="51"/>
              <w:jc w:val="center"/>
              <w:rPr>
                <w:rFonts w:hAnsi="宋体"/>
                <w:sz w:val="21"/>
              </w:rPr>
            </w:pPr>
          </w:p>
        </w:tc>
        <w:tc>
          <w:tcPr>
            <w:tcW w:w="1440" w:type="dxa"/>
          </w:tcPr>
          <w:p>
            <w:pPr>
              <w:pStyle w:val="51"/>
              <w:jc w:val="center"/>
              <w:rPr>
                <w:rFonts w:hAnsi="宋体"/>
                <w:sz w:val="21"/>
              </w:rPr>
            </w:pPr>
          </w:p>
        </w:tc>
        <w:tc>
          <w:tcPr>
            <w:tcW w:w="1440" w:type="dxa"/>
          </w:tcPr>
          <w:p>
            <w:pPr>
              <w:pStyle w:val="51"/>
              <w:jc w:val="center"/>
              <w:rPr>
                <w:rFonts w:hAnsi="宋体"/>
                <w:sz w:val="21"/>
              </w:rPr>
            </w:pPr>
          </w:p>
        </w:tc>
        <w:tc>
          <w:tcPr>
            <w:tcW w:w="1440" w:type="dxa"/>
            <w:vAlign w:val="center"/>
          </w:tcPr>
          <w:p>
            <w:pPr>
              <w:pStyle w:val="51"/>
              <w:jc w:val="center"/>
              <w:rPr>
                <w:rFonts w:hAnsi="宋体"/>
                <w:sz w:val="21"/>
              </w:rPr>
            </w:pPr>
          </w:p>
        </w:tc>
      </w:tr>
    </w:tbl>
    <w:p>
      <w:pPr>
        <w:pStyle w:val="51"/>
        <w:rPr>
          <w:rFonts w:hAnsi="宋体"/>
          <w:sz w:val="21"/>
        </w:rPr>
      </w:pPr>
      <w:r>
        <w:rPr>
          <w:rFonts w:hint="eastAsia" w:hAnsi="宋体"/>
          <w:sz w:val="21"/>
        </w:rPr>
        <w:t>注1：只填报对中国电信、中国移动的供货记录。</w:t>
      </w:r>
    </w:p>
    <w:p>
      <w:pPr>
        <w:pStyle w:val="32"/>
        <w:spacing w:line="560" w:lineRule="exact"/>
        <w:rPr>
          <w:sz w:val="24"/>
        </w:rPr>
      </w:pPr>
      <w:r>
        <w:rPr>
          <w:rFonts w:hint="eastAsia"/>
          <w:sz w:val="24"/>
          <w:highlight w:val="yellow"/>
        </w:rPr>
        <w:t>1</w:t>
      </w:r>
      <w:r>
        <w:rPr>
          <w:sz w:val="24"/>
          <w:highlight w:val="yellow"/>
        </w:rPr>
        <w:t>.13</w:t>
      </w:r>
      <w:r>
        <w:rPr>
          <w:rFonts w:hint="eastAsia"/>
          <w:sz w:val="24"/>
          <w:highlight w:val="yellow"/>
        </w:rPr>
        <w:t>加注★的技术指标为</w:t>
      </w:r>
      <w:r>
        <w:rPr>
          <w:sz w:val="24"/>
          <w:highlight w:val="yellow"/>
        </w:rPr>
        <w:t>A类关键指标，不可偏离；其它技术指标为B类指标。任一项A类关键指标不合格即判定该投标人本次招标测试不合格，不具备招标入围条件。对于B类指标，每任意两项不合格，则视为一个A类关键指标不合格，即判定该投标人本次招标测试不合格，不具备招标入围条件。对于B类指标在招标测试时不合格，但可以上架的（B类不合格指标为一项），投标人必须保证在产品上架和供货时，不合格指标应达到本技术规范书要求，全部为合格指标。该规定也适用于后期抽检测试。</w:t>
      </w:r>
    </w:p>
    <w:p>
      <w:pPr>
        <w:pStyle w:val="32"/>
        <w:spacing w:line="560" w:lineRule="exact"/>
        <w:rPr>
          <w:sz w:val="24"/>
        </w:rPr>
      </w:pPr>
      <w:r>
        <w:rPr>
          <w:rFonts w:hint="eastAsia"/>
          <w:sz w:val="24"/>
        </w:rPr>
        <w:t>1.1</w:t>
      </w:r>
      <w:r>
        <w:rPr>
          <w:sz w:val="24"/>
        </w:rPr>
        <w:t>4</w:t>
      </w:r>
      <w:r>
        <w:rPr>
          <w:rFonts w:hint="eastAsia"/>
          <w:sz w:val="24"/>
        </w:rPr>
        <w:t>本文件的解释权属于招标人。</w:t>
      </w:r>
    </w:p>
    <w:p>
      <w:pPr>
        <w:pStyle w:val="32"/>
        <w:spacing w:line="560" w:lineRule="exact"/>
        <w:rPr>
          <w:sz w:val="24"/>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 w:name="_Toc11148"/>
      <w:r>
        <w:rPr>
          <w:rFonts w:ascii="Times New Roman" w:hAnsi="Times New Roman" w:eastAsia="宋体"/>
          <w:b w:val="0"/>
          <w:sz w:val="24"/>
        </w:rPr>
        <w:t>2</w:t>
      </w:r>
      <w:r>
        <w:rPr>
          <w:rFonts w:hint="eastAsia" w:ascii="Times New Roman" w:hAnsi="Times New Roman" w:eastAsia="宋体"/>
          <w:b w:val="0"/>
          <w:sz w:val="24"/>
        </w:rPr>
        <w:t xml:space="preserve"> 总体要求</w:t>
      </w:r>
      <w:bookmarkEnd w:id="1"/>
    </w:p>
    <w:p>
      <w:pPr>
        <w:pStyle w:val="2"/>
        <w:kinsoku/>
        <w:overflowPunct/>
        <w:autoSpaceDE/>
        <w:autoSpaceDN/>
        <w:snapToGrid/>
        <w:spacing w:before="0" w:line="560" w:lineRule="exact"/>
        <w:textAlignment w:val="baseline"/>
        <w:rPr>
          <w:rFonts w:ascii="Times New Roman" w:hAnsi="Times New Roman" w:eastAsia="宋体"/>
          <w:b w:val="0"/>
          <w:sz w:val="24"/>
        </w:rPr>
      </w:pPr>
      <w:bookmarkStart w:id="2" w:name="_Toc27194"/>
      <w:r>
        <w:rPr>
          <w:rFonts w:ascii="Times New Roman" w:hAnsi="Times New Roman" w:eastAsia="宋体"/>
          <w:b w:val="0"/>
          <w:sz w:val="24"/>
        </w:rPr>
        <w:t>2.1</w:t>
      </w:r>
      <w:r>
        <w:rPr>
          <w:rFonts w:hint="eastAsia" w:ascii="Times New Roman" w:hAnsi="Times New Roman" w:eastAsia="宋体"/>
          <w:b w:val="0"/>
          <w:sz w:val="24"/>
        </w:rPr>
        <w:t xml:space="preserve"> 外观与结构</w:t>
      </w:r>
      <w:bookmarkEnd w:id="2"/>
    </w:p>
    <w:p>
      <w:pPr>
        <w:pStyle w:val="32"/>
        <w:spacing w:line="560" w:lineRule="exact"/>
        <w:rPr>
          <w:sz w:val="24"/>
        </w:rPr>
      </w:pPr>
      <w:r>
        <w:rPr>
          <w:sz w:val="24"/>
        </w:rPr>
        <w:t>2.1.1</w:t>
      </w:r>
      <w:r>
        <w:rPr>
          <w:rFonts w:hint="eastAsia"/>
          <w:sz w:val="24"/>
        </w:rPr>
        <w:t xml:space="preserve"> 机架结构形式</w:t>
      </w:r>
    </w:p>
    <w:p>
      <w:pPr>
        <w:pStyle w:val="32"/>
        <w:spacing w:line="560" w:lineRule="exact"/>
        <w:ind w:firstLine="480" w:firstLineChars="200"/>
        <w:rPr>
          <w:sz w:val="24"/>
          <w:szCs w:val="28"/>
        </w:rPr>
      </w:pPr>
      <w:r>
        <w:rPr>
          <w:rFonts w:hint="eastAsia"/>
          <w:sz w:val="24"/>
          <w:szCs w:val="28"/>
        </w:rPr>
        <w:t>（1）ODF机架为封闭式结构。区别在于机架的宽度、高度、光纤存储区的位置以及架体结构形式和固定方式。</w:t>
      </w:r>
    </w:p>
    <w:p>
      <w:pPr>
        <w:pStyle w:val="32"/>
        <w:spacing w:line="560" w:lineRule="exact"/>
        <w:ind w:firstLine="480" w:firstLineChars="200"/>
        <w:rPr>
          <w:sz w:val="24"/>
          <w:szCs w:val="28"/>
        </w:rPr>
      </w:pPr>
      <w:r>
        <w:rPr>
          <w:rFonts w:hint="eastAsia"/>
          <w:sz w:val="24"/>
          <w:szCs w:val="28"/>
        </w:rPr>
        <w:t>（2）ODF机架架体应采用冷轧钢板焊接式封闭结构，门为外挂结构。前面为双开门结构，后面封闭结构。机架的门可灵活拆卸，自由转动，门的开启角应不小于110°，并满足自由开合2000次不损坏。</w:t>
      </w:r>
    </w:p>
    <w:p>
      <w:pPr>
        <w:pStyle w:val="32"/>
        <w:spacing w:line="560" w:lineRule="exact"/>
        <w:ind w:firstLine="480" w:firstLineChars="200"/>
        <w:rPr>
          <w:sz w:val="24"/>
          <w:szCs w:val="28"/>
        </w:rPr>
      </w:pPr>
      <w:r>
        <w:rPr>
          <w:rFonts w:hint="eastAsia" w:ascii="宋体" w:hAnsi="宋体"/>
          <w:sz w:val="24"/>
          <w:szCs w:val="24"/>
        </w:rPr>
        <w:t xml:space="preserve"> 如投标方自由开合次数优于上述要求，请投标方提供具体指标数值。</w:t>
      </w:r>
    </w:p>
    <w:p>
      <w:pPr>
        <w:pStyle w:val="32"/>
        <w:spacing w:line="560" w:lineRule="exact"/>
        <w:ind w:firstLine="480" w:firstLineChars="200"/>
        <w:rPr>
          <w:sz w:val="24"/>
          <w:szCs w:val="28"/>
        </w:rPr>
      </w:pPr>
      <w:r>
        <w:rPr>
          <w:rFonts w:hint="eastAsia"/>
          <w:sz w:val="24"/>
          <w:szCs w:val="28"/>
        </w:rPr>
        <w:t>（3）ODF机架采用正面操作。</w:t>
      </w:r>
    </w:p>
    <w:p>
      <w:pPr>
        <w:pStyle w:val="32"/>
        <w:spacing w:line="560" w:lineRule="exact"/>
        <w:ind w:firstLine="480" w:firstLineChars="200"/>
        <w:rPr>
          <w:sz w:val="24"/>
          <w:szCs w:val="28"/>
        </w:rPr>
      </w:pPr>
      <w:r>
        <w:rPr>
          <w:rFonts w:hint="eastAsia"/>
          <w:sz w:val="24"/>
          <w:szCs w:val="28"/>
        </w:rPr>
        <w:t>（4）ODF可适用于上、下进缆的环境。上进缆环境中，光缆及尾纤从机架的顶部进入机架。下进缆环境中，光缆从机架的底部进入机架。光缆（纤）进纤孔应有足够大的过缆（纤）面积，光缆（纤）进纤孔应有防尘装置。</w:t>
      </w:r>
    </w:p>
    <w:p>
      <w:pPr>
        <w:pStyle w:val="32"/>
        <w:spacing w:line="560" w:lineRule="exact"/>
        <w:ind w:firstLine="480" w:firstLineChars="200"/>
        <w:rPr>
          <w:sz w:val="24"/>
          <w:szCs w:val="28"/>
        </w:rPr>
      </w:pPr>
      <w:r>
        <w:rPr>
          <w:rFonts w:hint="eastAsia"/>
          <w:sz w:val="24"/>
          <w:szCs w:val="28"/>
        </w:rPr>
        <w:t>（5）并架时底部侧面应有跳纤出纤口。</w:t>
      </w:r>
    </w:p>
    <w:p>
      <w:pPr>
        <w:pStyle w:val="32"/>
        <w:spacing w:line="560" w:lineRule="exact"/>
        <w:ind w:firstLine="480" w:firstLineChars="200"/>
        <w:rPr>
          <w:sz w:val="24"/>
          <w:szCs w:val="28"/>
        </w:rPr>
      </w:pPr>
      <w:r>
        <w:rPr>
          <w:rFonts w:hint="eastAsia"/>
          <w:sz w:val="24"/>
          <w:szCs w:val="28"/>
        </w:rPr>
        <w:t>（6）机架外形尺寸的偏差不超过±2mm；外表面对底部基准面的垂直度公差不大于3mm。</w:t>
      </w:r>
    </w:p>
    <w:p>
      <w:pPr>
        <w:pStyle w:val="32"/>
        <w:spacing w:line="560" w:lineRule="exact"/>
        <w:rPr>
          <w:sz w:val="24"/>
        </w:rPr>
      </w:pPr>
      <w:r>
        <w:rPr>
          <w:sz w:val="24"/>
        </w:rPr>
        <w:t>2.1.2</w:t>
      </w:r>
      <w:r>
        <w:rPr>
          <w:rFonts w:hint="eastAsia"/>
          <w:sz w:val="24"/>
        </w:rPr>
        <w:t xml:space="preserve"> 机械活动部分</w:t>
      </w:r>
    </w:p>
    <w:p>
      <w:pPr>
        <w:pStyle w:val="32"/>
        <w:spacing w:line="560" w:lineRule="exact"/>
        <w:ind w:firstLine="480" w:firstLineChars="200"/>
        <w:rPr>
          <w:rFonts w:ascii="宋体" w:hAnsi="宋体"/>
          <w:sz w:val="24"/>
          <w:szCs w:val="24"/>
        </w:rPr>
      </w:pPr>
      <w:r>
        <w:rPr>
          <w:rFonts w:ascii="宋体" w:hAnsi="宋体"/>
          <w:sz w:val="24"/>
          <w:szCs w:val="24"/>
        </w:rPr>
        <w:t>机械活动部分应转动灵活、插拔适度、锁定可靠、施工安装和维护方便。</w:t>
      </w:r>
    </w:p>
    <w:p>
      <w:pPr>
        <w:pStyle w:val="32"/>
        <w:spacing w:line="560" w:lineRule="exact"/>
        <w:rPr>
          <w:sz w:val="24"/>
        </w:rPr>
      </w:pPr>
      <w:r>
        <w:rPr>
          <w:sz w:val="24"/>
        </w:rPr>
        <w:t xml:space="preserve">2.1.3 </w:t>
      </w:r>
      <w:r>
        <w:rPr>
          <w:rFonts w:hint="eastAsia"/>
          <w:sz w:val="24"/>
        </w:rPr>
        <w:t>机架结构</w:t>
      </w:r>
    </w:p>
    <w:p>
      <w:pPr>
        <w:pStyle w:val="32"/>
        <w:spacing w:line="460" w:lineRule="exact"/>
        <w:ind w:firstLine="480" w:firstLineChars="200"/>
        <w:rPr>
          <w:sz w:val="24"/>
          <w:szCs w:val="28"/>
        </w:rPr>
      </w:pPr>
      <w:r>
        <w:rPr>
          <w:rFonts w:hint="eastAsia"/>
          <w:sz w:val="24"/>
          <w:szCs w:val="24"/>
        </w:rPr>
        <w:t>ODF机架为封闭式结构</w:t>
      </w:r>
      <w:r>
        <w:rPr>
          <w:rFonts w:hint="eastAsia"/>
          <w:sz w:val="24"/>
          <w:szCs w:val="28"/>
        </w:rPr>
        <w:t>，</w:t>
      </w:r>
      <w:r>
        <w:rPr>
          <w:rFonts w:hint="eastAsia" w:hAnsi="宋体"/>
          <w:sz w:val="24"/>
          <w:szCs w:val="28"/>
        </w:rPr>
        <w:t>采用全正面操作，布放、盘绕光纤跳线的装置要设计合理，光缆、光纤跳线可设定为上、下走线方式，光缆进纤口边缘应有塑料或橡胶材料的保护套做保护，应有足够大的过纤面积。机架并架时要有足够的走线通道，托盘内的光纤熔接区域与适配器部分应具有防尘装置。</w:t>
      </w:r>
    </w:p>
    <w:p>
      <w:pPr>
        <w:pStyle w:val="32"/>
        <w:spacing w:line="460" w:lineRule="exact"/>
        <w:ind w:firstLine="480" w:firstLineChars="200"/>
        <w:rPr>
          <w:rFonts w:hAnsi="宋体"/>
          <w:sz w:val="24"/>
          <w:szCs w:val="28"/>
        </w:rPr>
      </w:pPr>
      <w:r>
        <w:rPr>
          <w:rFonts w:hint="eastAsia"/>
          <w:sz w:val="24"/>
          <w:szCs w:val="28"/>
        </w:rPr>
        <w:t>ODF</w:t>
      </w:r>
      <w:r>
        <w:rPr>
          <w:rFonts w:hint="eastAsia" w:hAnsi="宋体"/>
          <w:sz w:val="24"/>
          <w:szCs w:val="28"/>
        </w:rPr>
        <w:t>机架可并列和背靠背安装，在指定机架宽度内必须满足满容量布放、盘绕光纤跳线。配线操作时为全正面操作，满配置时不影响维护操作。</w:t>
      </w:r>
    </w:p>
    <w:p>
      <w:pPr>
        <w:pStyle w:val="32"/>
        <w:spacing w:line="460" w:lineRule="exact"/>
        <w:ind w:firstLine="480" w:firstLineChars="200"/>
        <w:rPr>
          <w:sz w:val="24"/>
          <w:szCs w:val="28"/>
        </w:rPr>
      </w:pPr>
      <w:r>
        <w:rPr>
          <w:rFonts w:hint="eastAsia"/>
          <w:sz w:val="24"/>
          <w:szCs w:val="28"/>
        </w:rPr>
        <w:t>满容量操作时，每条尾纤及软光纤应有</w:t>
      </w:r>
      <w:r>
        <w:rPr>
          <w:sz w:val="24"/>
          <w:szCs w:val="28"/>
        </w:rPr>
        <w:t>0.5米的活动余地</w:t>
      </w:r>
      <w:r>
        <w:rPr>
          <w:rFonts w:hint="eastAsia"/>
          <w:sz w:val="24"/>
          <w:szCs w:val="28"/>
        </w:rPr>
        <w:t>。</w:t>
      </w:r>
    </w:p>
    <w:p>
      <w:pPr>
        <w:pStyle w:val="32"/>
        <w:spacing w:line="560" w:lineRule="exact"/>
        <w:ind w:firstLine="480" w:firstLineChars="200"/>
        <w:rPr>
          <w:sz w:val="24"/>
          <w:szCs w:val="28"/>
        </w:rPr>
      </w:pPr>
      <w:r>
        <w:rPr>
          <w:rFonts w:hint="eastAsia" w:hAnsi="宋体"/>
          <w:sz w:val="24"/>
          <w:szCs w:val="28"/>
        </w:rPr>
        <w:t>开剥后的散纤应加护套管，机架内托盘标识应从左到右，从下到上。</w:t>
      </w:r>
    </w:p>
    <w:p>
      <w:pPr>
        <w:pStyle w:val="32"/>
        <w:spacing w:line="560" w:lineRule="exact"/>
        <w:rPr>
          <w:sz w:val="24"/>
        </w:rPr>
      </w:pPr>
      <w:r>
        <w:rPr>
          <w:rFonts w:hint="eastAsia"/>
          <w:sz w:val="24"/>
        </w:rPr>
        <w:t>2.1.4 引入光缆弯曲半径</w:t>
      </w:r>
    </w:p>
    <w:p>
      <w:pPr>
        <w:pStyle w:val="32"/>
        <w:spacing w:line="460" w:lineRule="exact"/>
        <w:ind w:firstLine="480" w:firstLineChars="200"/>
        <w:rPr>
          <w:rFonts w:hAnsi="宋体"/>
          <w:sz w:val="24"/>
          <w:szCs w:val="28"/>
        </w:rPr>
      </w:pPr>
      <w:r>
        <w:rPr>
          <w:rFonts w:hint="eastAsia" w:hAnsi="宋体"/>
          <w:sz w:val="24"/>
          <w:szCs w:val="28"/>
        </w:rPr>
        <w:t>引入光缆进入机架时，其弯曲半径应不小于光缆直径的</w:t>
      </w:r>
      <w:r>
        <w:rPr>
          <w:rFonts w:hint="eastAsia"/>
          <w:sz w:val="24"/>
          <w:szCs w:val="28"/>
        </w:rPr>
        <w:t>15</w:t>
      </w:r>
      <w:r>
        <w:rPr>
          <w:rFonts w:hint="eastAsia" w:hAnsi="宋体"/>
          <w:sz w:val="24"/>
          <w:szCs w:val="28"/>
        </w:rPr>
        <w:t>倍。</w:t>
      </w:r>
    </w:p>
    <w:p>
      <w:pPr>
        <w:pStyle w:val="32"/>
        <w:spacing w:line="560" w:lineRule="exact"/>
        <w:rPr>
          <w:sz w:val="24"/>
        </w:rPr>
      </w:pPr>
      <w:r>
        <w:rPr>
          <w:rFonts w:hint="eastAsia"/>
          <w:sz w:val="24"/>
        </w:rPr>
        <w:t>2.1.5 结构装置上的文字、图形、符号和标志</w:t>
      </w:r>
    </w:p>
    <w:p>
      <w:pPr>
        <w:pStyle w:val="32"/>
        <w:spacing w:line="460" w:lineRule="exact"/>
        <w:ind w:firstLine="480" w:firstLineChars="200"/>
        <w:rPr>
          <w:sz w:val="24"/>
          <w:szCs w:val="28"/>
        </w:rPr>
      </w:pPr>
      <w:r>
        <w:rPr>
          <w:rFonts w:ascii="宋体" w:hAnsi="宋体"/>
          <w:sz w:val="24"/>
          <w:szCs w:val="24"/>
        </w:rPr>
        <w:t>配线架各个</w:t>
      </w:r>
      <w:r>
        <w:rPr>
          <w:rFonts w:hint="eastAsia" w:hAnsi="宋体"/>
          <w:sz w:val="24"/>
          <w:szCs w:val="28"/>
        </w:rPr>
        <w:t>结构装置上的文字、图形、符号和标志应清晰、完整、无误。</w:t>
      </w:r>
    </w:p>
    <w:p>
      <w:pPr>
        <w:pStyle w:val="32"/>
        <w:spacing w:line="560" w:lineRule="exact"/>
        <w:rPr>
          <w:sz w:val="24"/>
        </w:rPr>
      </w:pPr>
      <w:r>
        <w:rPr>
          <w:rFonts w:hint="eastAsia"/>
          <w:sz w:val="24"/>
        </w:rPr>
        <w:t>2.1.6 保护套、衬垫及纤芯和尾纤弯曲半径</w:t>
      </w:r>
    </w:p>
    <w:p>
      <w:pPr>
        <w:pStyle w:val="32"/>
        <w:spacing w:line="460" w:lineRule="exact"/>
        <w:ind w:firstLine="480" w:firstLineChars="200"/>
        <w:rPr>
          <w:rFonts w:hAnsi="宋体"/>
          <w:sz w:val="24"/>
          <w:szCs w:val="28"/>
        </w:rPr>
      </w:pPr>
      <w:r>
        <w:rPr>
          <w:rFonts w:hint="eastAsia" w:hAnsi="宋体"/>
          <w:sz w:val="24"/>
          <w:szCs w:val="28"/>
        </w:rPr>
        <w:t>光缆光纤穿过金属板孔及沿结构件锐边转弯时，应有塑料或橡胶材料的保护套做保护。纤芯、尾纤无论处于何处弯曲时，其弯曲半径应不小于</w:t>
      </w:r>
      <w:r>
        <w:rPr>
          <w:sz w:val="24"/>
          <w:szCs w:val="28"/>
        </w:rPr>
        <w:t>30mm</w:t>
      </w:r>
      <w:r>
        <w:rPr>
          <w:rFonts w:hint="eastAsia" w:hAnsi="宋体"/>
          <w:sz w:val="24"/>
          <w:szCs w:val="28"/>
        </w:rPr>
        <w:t>。对于对宏弯损耗不敏感光纤，其弯曲半径应不小于</w:t>
      </w:r>
      <w:r>
        <w:rPr>
          <w:sz w:val="24"/>
          <w:szCs w:val="28"/>
        </w:rPr>
        <w:t>15mm</w:t>
      </w:r>
      <w:r>
        <w:rPr>
          <w:rFonts w:hint="eastAsia" w:hAnsi="宋体"/>
          <w:sz w:val="24"/>
          <w:szCs w:val="28"/>
        </w:rPr>
        <w:t>。</w:t>
      </w:r>
    </w:p>
    <w:p>
      <w:pPr>
        <w:pStyle w:val="32"/>
        <w:spacing w:line="560" w:lineRule="exact"/>
        <w:rPr>
          <w:sz w:val="24"/>
        </w:rPr>
      </w:pPr>
      <w:r>
        <w:rPr>
          <w:rFonts w:hint="eastAsia"/>
          <w:sz w:val="24"/>
        </w:rPr>
        <w:t>2.1.7 适配器类型</w:t>
      </w:r>
    </w:p>
    <w:p>
      <w:pPr>
        <w:pStyle w:val="32"/>
        <w:spacing w:line="560" w:lineRule="exact"/>
        <w:ind w:firstLine="480" w:firstLineChars="200"/>
        <w:rPr>
          <w:rFonts w:ascii="宋体" w:hAnsi="宋体"/>
          <w:sz w:val="24"/>
          <w:szCs w:val="24"/>
        </w:rPr>
      </w:pPr>
      <w:r>
        <w:rPr>
          <w:rFonts w:hint="eastAsia" w:ascii="宋体" w:hAnsi="宋体"/>
          <w:sz w:val="24"/>
          <w:szCs w:val="24"/>
        </w:rPr>
        <w:t>适合</w:t>
      </w:r>
      <w:r>
        <w:rPr>
          <w:rFonts w:hint="eastAsia"/>
          <w:sz w:val="24"/>
          <w:szCs w:val="28"/>
        </w:rPr>
        <w:t>于SC或FC型光纤适配器的安装，可灵活接入SC或FC跳线</w:t>
      </w:r>
      <w:r>
        <w:rPr>
          <w:rFonts w:hint="eastAsia" w:ascii="宋体" w:hAnsi="宋体"/>
          <w:sz w:val="24"/>
          <w:szCs w:val="24"/>
        </w:rPr>
        <w:t>/尾纤。</w:t>
      </w:r>
    </w:p>
    <w:p>
      <w:pPr>
        <w:pStyle w:val="32"/>
        <w:spacing w:line="560" w:lineRule="exact"/>
        <w:rPr>
          <w:sz w:val="24"/>
        </w:rPr>
      </w:pPr>
      <w:r>
        <w:rPr>
          <w:rFonts w:hint="eastAsia"/>
          <w:sz w:val="24"/>
        </w:rPr>
        <w:t>2.1.8 机架表面</w:t>
      </w:r>
    </w:p>
    <w:p>
      <w:pPr>
        <w:pStyle w:val="32"/>
        <w:spacing w:line="460" w:lineRule="exact"/>
        <w:ind w:firstLine="480" w:firstLineChars="200"/>
        <w:rPr>
          <w:sz w:val="24"/>
          <w:szCs w:val="28"/>
        </w:rPr>
      </w:pPr>
      <w:r>
        <w:rPr>
          <w:rFonts w:ascii="宋体" w:hAnsi="宋体"/>
          <w:sz w:val="24"/>
          <w:szCs w:val="24"/>
        </w:rPr>
        <w:t>机架</w:t>
      </w:r>
      <w:r>
        <w:rPr>
          <w:rFonts w:hint="eastAsia" w:hAnsi="宋体"/>
          <w:sz w:val="24"/>
          <w:szCs w:val="28"/>
        </w:rPr>
        <w:t>涂覆层应表面光洁，色泽均匀、无流挂、无露底、满足防腐的要求；金属件无毛刺锈蚀。附着力应不低于</w:t>
      </w:r>
      <w:r>
        <w:rPr>
          <w:rFonts w:hint="eastAsia"/>
          <w:sz w:val="24"/>
          <w:szCs w:val="28"/>
        </w:rPr>
        <w:t>GB/T 9286-1998</w:t>
      </w:r>
      <w:r>
        <w:rPr>
          <w:rFonts w:hint="eastAsia" w:hAnsi="宋体"/>
          <w:sz w:val="24"/>
          <w:szCs w:val="28"/>
        </w:rPr>
        <w:t>标准表</w:t>
      </w:r>
      <w:r>
        <w:rPr>
          <w:rFonts w:hint="eastAsia"/>
          <w:sz w:val="24"/>
          <w:szCs w:val="28"/>
        </w:rPr>
        <w:t>1</w:t>
      </w:r>
      <w:r>
        <w:rPr>
          <w:rFonts w:hint="eastAsia" w:hAnsi="宋体"/>
          <w:sz w:val="24"/>
          <w:szCs w:val="28"/>
        </w:rPr>
        <w:t>中</w:t>
      </w:r>
      <w:r>
        <w:rPr>
          <w:rFonts w:hint="eastAsia"/>
          <w:sz w:val="24"/>
          <w:szCs w:val="28"/>
        </w:rPr>
        <w:t>2</w:t>
      </w:r>
      <w:r>
        <w:rPr>
          <w:rFonts w:hint="eastAsia" w:hAnsi="宋体"/>
          <w:sz w:val="24"/>
          <w:szCs w:val="28"/>
        </w:rPr>
        <w:t>级要求。</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3" w:name="_Toc29212"/>
      <w:r>
        <w:rPr>
          <w:rFonts w:hint="eastAsia" w:ascii="Times New Roman" w:hAnsi="Times New Roman" w:eastAsia="宋体"/>
          <w:b w:val="0"/>
          <w:sz w:val="24"/>
        </w:rPr>
        <w:t>2.2 产品规格</w:t>
      </w:r>
      <w:bookmarkEnd w:id="3"/>
    </w:p>
    <w:p>
      <w:pPr>
        <w:pStyle w:val="32"/>
        <w:spacing w:line="560" w:lineRule="exact"/>
        <w:rPr>
          <w:sz w:val="24"/>
        </w:rPr>
      </w:pPr>
      <w:r>
        <w:rPr>
          <w:rFonts w:hint="eastAsia"/>
          <w:sz w:val="24"/>
        </w:rPr>
        <w:t>2.2.1 颜色</w:t>
      </w:r>
    </w:p>
    <w:p>
      <w:pPr>
        <w:pStyle w:val="32"/>
        <w:spacing w:line="460" w:lineRule="exact"/>
        <w:ind w:firstLine="480" w:firstLineChars="200"/>
        <w:rPr>
          <w:sz w:val="24"/>
          <w:szCs w:val="28"/>
        </w:rPr>
      </w:pPr>
      <w:r>
        <w:rPr>
          <w:rFonts w:hint="eastAsia" w:hAnsi="宋体"/>
          <w:sz w:val="24"/>
          <w:szCs w:val="28"/>
        </w:rPr>
        <w:t>机架主体及各种金属件的喷塑颜色</w:t>
      </w:r>
      <w:r>
        <w:rPr>
          <w:rFonts w:hint="eastAsia"/>
          <w:color w:val="000000"/>
          <w:sz w:val="24"/>
          <w:szCs w:val="24"/>
        </w:rPr>
        <w:t>应根据买方要求或与局站原有设备相一致</w:t>
      </w:r>
      <w:r>
        <w:rPr>
          <w:rFonts w:hint="eastAsia" w:hAnsi="宋体"/>
          <w:sz w:val="24"/>
          <w:szCs w:val="28"/>
        </w:rPr>
        <w:t>。</w:t>
      </w:r>
    </w:p>
    <w:p>
      <w:pPr>
        <w:pStyle w:val="32"/>
        <w:spacing w:line="560" w:lineRule="exact"/>
        <w:rPr>
          <w:sz w:val="24"/>
        </w:rPr>
      </w:pPr>
      <w:r>
        <w:rPr>
          <w:rFonts w:hint="eastAsia"/>
          <w:sz w:val="24"/>
        </w:rPr>
        <w:t>2.2.2 标记及标识</w:t>
      </w:r>
    </w:p>
    <w:p>
      <w:pPr>
        <w:pStyle w:val="32"/>
        <w:spacing w:line="460" w:lineRule="exact"/>
        <w:ind w:firstLine="480" w:firstLineChars="200"/>
        <w:rPr>
          <w:rFonts w:hAnsi="宋体"/>
          <w:sz w:val="24"/>
          <w:szCs w:val="28"/>
        </w:rPr>
      </w:pPr>
      <w:r>
        <w:rPr>
          <w:rFonts w:hint="eastAsia" w:hAnsi="宋体"/>
          <w:sz w:val="24"/>
          <w:szCs w:val="28"/>
        </w:rPr>
        <w:t>（</w:t>
      </w:r>
      <w:r>
        <w:rPr>
          <w:rFonts w:hint="eastAsia"/>
          <w:sz w:val="24"/>
          <w:szCs w:val="28"/>
        </w:rPr>
        <w:t>1</w:t>
      </w:r>
      <w:r>
        <w:rPr>
          <w:rFonts w:hint="eastAsia" w:hAnsi="宋体"/>
          <w:sz w:val="24"/>
          <w:szCs w:val="28"/>
        </w:rPr>
        <w:t>）LOGO</w:t>
      </w:r>
    </w:p>
    <w:p>
      <w:pPr>
        <w:pStyle w:val="32"/>
        <w:spacing w:line="460" w:lineRule="exact"/>
        <w:ind w:firstLine="480" w:firstLineChars="200"/>
        <w:rPr>
          <w:sz w:val="24"/>
          <w:szCs w:val="28"/>
        </w:rPr>
      </w:pPr>
      <w:r>
        <w:rPr>
          <w:rFonts w:hint="eastAsia" w:hAnsi="宋体"/>
          <w:sz w:val="24"/>
          <w:szCs w:val="28"/>
        </w:rPr>
        <w:t>中国联通</w:t>
      </w:r>
      <w:r>
        <w:rPr>
          <w:rFonts w:hint="eastAsia"/>
          <w:sz w:val="24"/>
          <w:szCs w:val="28"/>
        </w:rPr>
        <w:t>LOGO位于机架顶框的左侧，高度30mm，同比例按中国联通商标缩放。中国联通LOGO见图1，红色为</w:t>
      </w:r>
      <w:r>
        <w:rPr>
          <w:sz w:val="24"/>
          <w:szCs w:val="28"/>
        </w:rPr>
        <w:t xml:space="preserve"> PANTONE Red 032 C</w:t>
      </w:r>
      <w:r>
        <w:rPr>
          <w:rFonts w:hint="eastAsia"/>
          <w:sz w:val="24"/>
          <w:szCs w:val="28"/>
        </w:rPr>
        <w:t>，黑色为</w:t>
      </w:r>
      <w:r>
        <w:rPr>
          <w:sz w:val="24"/>
          <w:szCs w:val="28"/>
        </w:rPr>
        <w:t>PANTONE Process Black C</w:t>
      </w:r>
      <w:r>
        <w:rPr>
          <w:rFonts w:hint="eastAsia"/>
          <w:sz w:val="24"/>
          <w:szCs w:val="28"/>
        </w:rPr>
        <w:t>。</w:t>
      </w:r>
    </w:p>
    <w:p>
      <w:pPr>
        <w:spacing w:line="360" w:lineRule="auto"/>
        <w:jc w:val="center"/>
        <w:rPr>
          <w:sz w:val="28"/>
          <w:szCs w:val="28"/>
        </w:rPr>
      </w:pPr>
      <w:r>
        <w:drawing>
          <wp:inline distT="0" distB="0" distL="0" distR="0">
            <wp:extent cx="2076450" cy="1143000"/>
            <wp:effectExtent l="19050" t="0" r="0" b="0"/>
            <wp:docPr id="1" name="图片 1" descr="联通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联通logo"/>
                    <pic:cNvPicPr>
                      <a:picLocks noChangeAspect="1" noChangeArrowheads="1"/>
                    </pic:cNvPicPr>
                  </pic:nvPicPr>
                  <pic:blipFill>
                    <a:blip r:embed="rId10" cstate="print"/>
                    <a:srcRect/>
                    <a:stretch>
                      <a:fillRect/>
                    </a:stretch>
                  </pic:blipFill>
                  <pic:spPr>
                    <a:xfrm>
                      <a:off x="0" y="0"/>
                      <a:ext cx="2076450" cy="1143000"/>
                    </a:xfrm>
                    <a:prstGeom prst="rect">
                      <a:avLst/>
                    </a:prstGeom>
                    <a:noFill/>
                    <a:ln w="9525">
                      <a:noFill/>
                      <a:miter lim="800000"/>
                      <a:headEnd/>
                      <a:tailEnd/>
                    </a:ln>
                  </pic:spPr>
                </pic:pic>
              </a:graphicData>
            </a:graphic>
          </wp:inline>
        </w:drawing>
      </w:r>
      <w:r>
        <w:rPr>
          <w:sz w:val="28"/>
          <w:szCs w:val="28"/>
        </w:rPr>
        <w:t xml:space="preserve"> </w:t>
      </w:r>
      <w:r>
        <w:rPr>
          <w:sz w:val="28"/>
          <w:szCs w:val="28"/>
        </w:rPr>
        <w:drawing>
          <wp:inline distT="0" distB="0" distL="0" distR="0">
            <wp:extent cx="3495675" cy="9810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
                    <a:srcRect/>
                    <a:stretch>
                      <a:fillRect/>
                    </a:stretch>
                  </pic:blipFill>
                  <pic:spPr>
                    <a:xfrm>
                      <a:off x="0" y="0"/>
                      <a:ext cx="3495675" cy="981075"/>
                    </a:xfrm>
                    <a:prstGeom prst="rect">
                      <a:avLst/>
                    </a:prstGeom>
                    <a:noFill/>
                    <a:ln w="9525">
                      <a:noFill/>
                      <a:miter lim="800000"/>
                      <a:headEnd/>
                      <a:tailEnd/>
                    </a:ln>
                  </pic:spPr>
                </pic:pic>
              </a:graphicData>
            </a:graphic>
          </wp:inline>
        </w:drawing>
      </w:r>
    </w:p>
    <w:p>
      <w:pPr>
        <w:pStyle w:val="32"/>
        <w:spacing w:line="560" w:lineRule="exact"/>
        <w:ind w:firstLine="480" w:firstLineChars="200"/>
        <w:jc w:val="center"/>
        <w:rPr>
          <w:kern w:val="2"/>
          <w:sz w:val="24"/>
          <w:szCs w:val="24"/>
        </w:rPr>
      </w:pPr>
      <w:bookmarkStart w:id="4" w:name="_Toc62619377"/>
      <w:r>
        <w:rPr>
          <w:kern w:val="2"/>
          <w:sz w:val="24"/>
          <w:szCs w:val="24"/>
        </w:rPr>
        <w:t>图</w:t>
      </w:r>
      <w:r>
        <w:rPr>
          <w:kern w:val="2"/>
          <w:sz w:val="24"/>
          <w:szCs w:val="24"/>
        </w:rPr>
        <w:fldChar w:fldCharType="begin"/>
      </w:r>
      <w:r>
        <w:rPr>
          <w:kern w:val="2"/>
          <w:sz w:val="24"/>
          <w:szCs w:val="24"/>
        </w:rPr>
        <w:instrText xml:space="preserve"> SEQ 图 \* ARABIC </w:instrText>
      </w:r>
      <w:r>
        <w:rPr>
          <w:kern w:val="2"/>
          <w:sz w:val="24"/>
          <w:szCs w:val="24"/>
        </w:rPr>
        <w:fldChar w:fldCharType="separate"/>
      </w:r>
      <w:r>
        <w:rPr>
          <w:kern w:val="2"/>
          <w:sz w:val="24"/>
          <w:szCs w:val="24"/>
        </w:rPr>
        <w:t>1</w:t>
      </w:r>
      <w:r>
        <w:rPr>
          <w:kern w:val="2"/>
          <w:sz w:val="24"/>
          <w:szCs w:val="24"/>
        </w:rPr>
        <w:fldChar w:fldCharType="end"/>
      </w:r>
      <w:r>
        <w:rPr>
          <w:kern w:val="2"/>
          <w:sz w:val="24"/>
          <w:szCs w:val="24"/>
        </w:rPr>
        <w:t xml:space="preserve">  中国联通LOGO</w:t>
      </w:r>
      <w:bookmarkEnd w:id="4"/>
    </w:p>
    <w:p>
      <w:pPr>
        <w:pStyle w:val="32"/>
        <w:spacing w:line="460" w:lineRule="exact"/>
        <w:ind w:firstLine="480" w:firstLineChars="200"/>
        <w:rPr>
          <w:rFonts w:hAnsi="宋体"/>
          <w:sz w:val="24"/>
          <w:szCs w:val="28"/>
        </w:rPr>
      </w:pPr>
      <w:r>
        <w:rPr>
          <w:rFonts w:hint="eastAsia" w:hAnsi="宋体"/>
          <w:sz w:val="24"/>
          <w:szCs w:val="28"/>
        </w:rPr>
        <w:t>（</w:t>
      </w:r>
      <w:r>
        <w:rPr>
          <w:rFonts w:hint="eastAsia"/>
          <w:sz w:val="24"/>
          <w:szCs w:val="28"/>
        </w:rPr>
        <w:t>2</w:t>
      </w:r>
      <w:r>
        <w:rPr>
          <w:rFonts w:hint="eastAsia" w:hAnsi="宋体"/>
          <w:sz w:val="24"/>
          <w:szCs w:val="28"/>
        </w:rPr>
        <w:t>）铭牌</w:t>
      </w:r>
    </w:p>
    <w:p>
      <w:pPr>
        <w:pStyle w:val="32"/>
        <w:spacing w:line="460" w:lineRule="exact"/>
        <w:ind w:firstLine="480" w:firstLineChars="200"/>
        <w:rPr>
          <w:rFonts w:hAnsi="宋体"/>
          <w:sz w:val="24"/>
          <w:szCs w:val="28"/>
        </w:rPr>
      </w:pPr>
      <w:r>
        <w:rPr>
          <w:rFonts w:hint="eastAsia" w:hAnsi="宋体"/>
          <w:kern w:val="2"/>
          <w:sz w:val="24"/>
          <w:szCs w:val="28"/>
        </w:rPr>
        <w:t>厂家铭牌应位于机架底座居中位置</w:t>
      </w:r>
      <w:r>
        <w:rPr>
          <w:rFonts w:hint="eastAsia" w:hAnsi="宋体"/>
          <w:sz w:val="24"/>
          <w:szCs w:val="28"/>
        </w:rPr>
        <w:t>，</w:t>
      </w:r>
      <w:r>
        <w:rPr>
          <w:rFonts w:hint="eastAsia" w:ascii="宋体" w:hAnsi="宋体"/>
          <w:kern w:val="2"/>
          <w:sz w:val="24"/>
          <w:szCs w:val="24"/>
        </w:rPr>
        <w:t>内容应包含：产品型号、产品名称、机号、出厂日期、制造商</w:t>
      </w:r>
      <w:r>
        <w:rPr>
          <w:rFonts w:hint="eastAsia" w:hAnsi="宋体"/>
          <w:sz w:val="24"/>
          <w:szCs w:val="28"/>
        </w:rPr>
        <w:t>。</w:t>
      </w:r>
      <w:r>
        <w:rPr>
          <w:rFonts w:hint="eastAsia" w:hAnsi="宋体"/>
          <w:kern w:val="2"/>
          <w:sz w:val="24"/>
          <w:szCs w:val="28"/>
        </w:rPr>
        <w:t>铭牌应使用铝质材料，规格按行标制作。</w:t>
      </w:r>
    </w:p>
    <w:p>
      <w:pPr>
        <w:pStyle w:val="32"/>
        <w:spacing w:line="460" w:lineRule="exact"/>
        <w:ind w:firstLine="480" w:firstLineChars="200"/>
        <w:rPr>
          <w:sz w:val="24"/>
          <w:szCs w:val="28"/>
        </w:rPr>
      </w:pPr>
      <w:r>
        <w:rPr>
          <w:rFonts w:hint="eastAsia" w:hAnsi="宋体"/>
          <w:sz w:val="24"/>
          <w:szCs w:val="28"/>
        </w:rPr>
        <w:t>（</w:t>
      </w:r>
      <w:r>
        <w:rPr>
          <w:rFonts w:hint="eastAsia"/>
          <w:sz w:val="24"/>
          <w:szCs w:val="28"/>
        </w:rPr>
        <w:t>3</w:t>
      </w:r>
      <w:r>
        <w:rPr>
          <w:rFonts w:hint="eastAsia" w:hAnsi="宋体"/>
          <w:sz w:val="24"/>
          <w:szCs w:val="28"/>
        </w:rPr>
        <w:t>）门内应贴有清晰走线示意图。</w:t>
      </w:r>
    </w:p>
    <w:p>
      <w:pPr>
        <w:widowControl/>
        <w:spacing w:line="360" w:lineRule="auto"/>
        <w:ind w:firstLine="480" w:firstLineChars="200"/>
        <w:rPr>
          <w:kern w:val="21"/>
        </w:rPr>
      </w:pPr>
      <w:r>
        <w:rPr>
          <w:rFonts w:hint="eastAsia"/>
          <w:szCs w:val="28"/>
        </w:rPr>
        <w:t>（4）600mm宽机架门上有标记盒，</w:t>
      </w:r>
      <w:r>
        <w:rPr>
          <w:rFonts w:hint="eastAsia"/>
          <w:kern w:val="21"/>
        </w:rPr>
        <w:t>便于维护人员放置记录信息的卡片。如选配72芯熔配一体化机框，</w:t>
      </w:r>
      <w:r>
        <w:rPr>
          <w:rFonts w:hint="eastAsia"/>
          <w:szCs w:val="28"/>
        </w:rPr>
        <w:t>标识可放在机框门内侧。</w:t>
      </w:r>
    </w:p>
    <w:p>
      <w:pPr>
        <w:pStyle w:val="32"/>
        <w:spacing w:line="460" w:lineRule="exact"/>
        <w:ind w:firstLine="480" w:firstLineChars="200"/>
        <w:rPr>
          <w:rFonts w:ascii="宋体" w:hAnsi="宋体"/>
          <w:sz w:val="24"/>
          <w:szCs w:val="28"/>
        </w:rPr>
      </w:pPr>
      <w:r>
        <w:rPr>
          <w:rFonts w:hint="eastAsia" w:hAnsi="宋体"/>
          <w:sz w:val="24"/>
          <w:szCs w:val="28"/>
        </w:rPr>
        <w:t>（</w:t>
      </w:r>
      <w:r>
        <w:rPr>
          <w:rFonts w:hint="eastAsia"/>
          <w:sz w:val="24"/>
          <w:szCs w:val="28"/>
        </w:rPr>
        <w:t>5</w:t>
      </w:r>
      <w:r>
        <w:rPr>
          <w:rFonts w:hint="eastAsia" w:hAnsi="宋体"/>
          <w:sz w:val="24"/>
          <w:szCs w:val="28"/>
        </w:rPr>
        <w:t>）</w:t>
      </w:r>
      <w:r>
        <w:rPr>
          <w:rFonts w:hint="eastAsia"/>
          <w:sz w:val="24"/>
          <w:szCs w:val="28"/>
        </w:rPr>
        <w:t>840mm</w:t>
      </w:r>
      <w:r>
        <w:rPr>
          <w:rFonts w:hint="eastAsia" w:hAnsi="宋体"/>
          <w:sz w:val="24"/>
          <w:szCs w:val="28"/>
        </w:rPr>
        <w:t>宽机架标识在</w:t>
      </w:r>
      <w:r>
        <w:rPr>
          <w:rFonts w:hint="eastAsia"/>
          <w:sz w:val="24"/>
          <w:szCs w:val="28"/>
        </w:rPr>
        <w:t>72</w:t>
      </w:r>
      <w:r>
        <w:rPr>
          <w:rFonts w:hint="eastAsia" w:hAnsi="宋体"/>
          <w:sz w:val="24"/>
          <w:szCs w:val="28"/>
        </w:rPr>
        <w:t>芯熔配一体化机框门内侧。</w:t>
      </w:r>
    </w:p>
    <w:p>
      <w:pPr>
        <w:pStyle w:val="32"/>
        <w:spacing w:line="560" w:lineRule="exact"/>
        <w:rPr>
          <w:sz w:val="24"/>
        </w:rPr>
      </w:pPr>
      <w:r>
        <w:rPr>
          <w:rFonts w:hint="eastAsia"/>
          <w:sz w:val="24"/>
        </w:rPr>
        <w:t>2.2.3 机架尺寸及容量见表1。</w:t>
      </w:r>
    </w:p>
    <w:p>
      <w:pPr>
        <w:pStyle w:val="32"/>
        <w:spacing w:line="560" w:lineRule="exact"/>
        <w:ind w:firstLine="480" w:firstLineChars="200"/>
        <w:jc w:val="center"/>
        <w:rPr>
          <w:sz w:val="24"/>
          <w:szCs w:val="24"/>
        </w:rPr>
      </w:pPr>
      <w:r>
        <w:rPr>
          <w:rFonts w:hAnsi="宋体"/>
          <w:sz w:val="24"/>
          <w:szCs w:val="24"/>
        </w:rPr>
        <w:t>表</w:t>
      </w:r>
      <w:r>
        <w:rPr>
          <w:sz w:val="24"/>
          <w:szCs w:val="24"/>
        </w:rPr>
        <w:t>1</w:t>
      </w:r>
      <w:r>
        <w:rPr>
          <w:rFonts w:hint="eastAsia"/>
          <w:sz w:val="24"/>
          <w:szCs w:val="24"/>
        </w:rPr>
        <w:t xml:space="preserve">  </w:t>
      </w:r>
      <w:r>
        <w:rPr>
          <w:sz w:val="24"/>
          <w:szCs w:val="24"/>
        </w:rPr>
        <w:t>ODF</w:t>
      </w:r>
      <w:r>
        <w:rPr>
          <w:rFonts w:hAnsi="宋体"/>
          <w:sz w:val="24"/>
          <w:szCs w:val="24"/>
        </w:rPr>
        <w:t>光纤配线架配置表</w:t>
      </w:r>
    </w:p>
    <w:tbl>
      <w:tblPr>
        <w:tblStyle w:val="17"/>
        <w:tblW w:w="4974" w:type="pct"/>
        <w:tblInd w:w="0" w:type="dxa"/>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autofit"/>
        <w:tblCellMar>
          <w:top w:w="0" w:type="dxa"/>
          <w:left w:w="108" w:type="dxa"/>
          <w:bottom w:w="0" w:type="dxa"/>
          <w:right w:w="108" w:type="dxa"/>
        </w:tblCellMar>
      </w:tblPr>
      <w:tblGrid>
        <w:gridCol w:w="776"/>
        <w:gridCol w:w="1327"/>
        <w:gridCol w:w="2130"/>
        <w:gridCol w:w="1566"/>
        <w:gridCol w:w="2287"/>
        <w:gridCol w:w="1379"/>
      </w:tblGrid>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cantSplit/>
          <w:trHeight w:val="373" w:hRule="atLeast"/>
        </w:trPr>
        <w:tc>
          <w:tcPr>
            <w:tcW w:w="410" w:type="pct"/>
            <w:vMerge w:val="restart"/>
            <w:vAlign w:val="center"/>
          </w:tcPr>
          <w:p>
            <w:pPr>
              <w:pStyle w:val="32"/>
              <w:spacing w:line="560" w:lineRule="exact"/>
              <w:jc w:val="center"/>
              <w:rPr>
                <w:sz w:val="18"/>
                <w:szCs w:val="18"/>
              </w:rPr>
            </w:pPr>
            <w:r>
              <w:rPr>
                <w:rFonts w:hint="eastAsia" w:hAnsi="宋体"/>
                <w:sz w:val="18"/>
                <w:szCs w:val="18"/>
              </w:rPr>
              <w:t>名称</w:t>
            </w:r>
          </w:p>
        </w:tc>
        <w:tc>
          <w:tcPr>
            <w:tcW w:w="1826" w:type="pct"/>
            <w:gridSpan w:val="2"/>
            <w:vAlign w:val="center"/>
          </w:tcPr>
          <w:p>
            <w:pPr>
              <w:pStyle w:val="32"/>
              <w:spacing w:line="560" w:lineRule="exact"/>
              <w:ind w:firstLine="360" w:firstLineChars="200"/>
              <w:jc w:val="center"/>
              <w:rPr>
                <w:sz w:val="18"/>
                <w:szCs w:val="18"/>
              </w:rPr>
            </w:pPr>
            <w:r>
              <w:rPr>
                <w:rFonts w:hAnsi="宋体"/>
                <w:sz w:val="18"/>
                <w:szCs w:val="18"/>
              </w:rPr>
              <w:t>规格</w:t>
            </w:r>
          </w:p>
        </w:tc>
        <w:tc>
          <w:tcPr>
            <w:tcW w:w="827" w:type="pct"/>
            <w:vMerge w:val="restart"/>
            <w:vAlign w:val="center"/>
          </w:tcPr>
          <w:p>
            <w:pPr>
              <w:pStyle w:val="32"/>
              <w:spacing w:line="560" w:lineRule="exact"/>
              <w:jc w:val="center"/>
              <w:rPr>
                <w:sz w:val="18"/>
                <w:szCs w:val="18"/>
              </w:rPr>
            </w:pPr>
            <w:r>
              <w:rPr>
                <w:rFonts w:hint="eastAsia"/>
                <w:sz w:val="18"/>
                <w:szCs w:val="18"/>
              </w:rPr>
              <w:t>7</w:t>
            </w:r>
            <w:r>
              <w:rPr>
                <w:sz w:val="18"/>
                <w:szCs w:val="18"/>
              </w:rPr>
              <w:t>2</w:t>
            </w:r>
            <w:r>
              <w:rPr>
                <w:rFonts w:hAnsi="宋体"/>
                <w:sz w:val="18"/>
                <w:szCs w:val="18"/>
              </w:rPr>
              <w:t>芯</w:t>
            </w:r>
            <w:r>
              <w:rPr>
                <w:rFonts w:hint="eastAsia" w:hAnsi="宋体"/>
                <w:sz w:val="18"/>
                <w:szCs w:val="18"/>
              </w:rPr>
              <w:t>机框</w:t>
            </w:r>
            <w:r>
              <w:rPr>
                <w:rFonts w:hAnsi="宋体"/>
                <w:sz w:val="18"/>
                <w:szCs w:val="18"/>
              </w:rPr>
              <w:t>数量</w:t>
            </w:r>
          </w:p>
        </w:tc>
        <w:tc>
          <w:tcPr>
            <w:tcW w:w="1208" w:type="pct"/>
            <w:vMerge w:val="restart"/>
            <w:vAlign w:val="center"/>
          </w:tcPr>
          <w:p>
            <w:pPr>
              <w:pStyle w:val="32"/>
              <w:spacing w:line="560" w:lineRule="exact"/>
              <w:jc w:val="center"/>
              <w:rPr>
                <w:sz w:val="18"/>
                <w:szCs w:val="18"/>
              </w:rPr>
            </w:pPr>
            <w:r>
              <w:rPr>
                <w:sz w:val="18"/>
                <w:szCs w:val="18"/>
              </w:rPr>
              <w:t>12</w:t>
            </w:r>
            <w:r>
              <w:rPr>
                <w:rFonts w:hAnsi="宋体"/>
                <w:sz w:val="18"/>
                <w:szCs w:val="18"/>
              </w:rPr>
              <w:t>芯托盘数量</w:t>
            </w:r>
          </w:p>
        </w:tc>
        <w:tc>
          <w:tcPr>
            <w:tcW w:w="728" w:type="pct"/>
            <w:vMerge w:val="restart"/>
            <w:vAlign w:val="center"/>
          </w:tcPr>
          <w:p>
            <w:pPr>
              <w:pStyle w:val="32"/>
              <w:spacing w:line="560" w:lineRule="exact"/>
              <w:jc w:val="center"/>
              <w:rPr>
                <w:sz w:val="18"/>
                <w:szCs w:val="18"/>
              </w:rPr>
            </w:pPr>
            <w:r>
              <w:rPr>
                <w:rFonts w:hAnsi="宋体"/>
                <w:sz w:val="18"/>
                <w:szCs w:val="18"/>
              </w:rPr>
              <w:t>存储单元（个）</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cantSplit/>
          <w:trHeight w:val="759" w:hRule="atLeast"/>
        </w:trPr>
        <w:tc>
          <w:tcPr>
            <w:tcW w:w="410" w:type="pct"/>
            <w:vMerge w:val="continue"/>
            <w:vAlign w:val="center"/>
          </w:tcPr>
          <w:p>
            <w:pPr>
              <w:pStyle w:val="32"/>
              <w:spacing w:line="560" w:lineRule="exact"/>
              <w:ind w:firstLine="360" w:firstLineChars="200"/>
              <w:jc w:val="center"/>
              <w:rPr>
                <w:sz w:val="18"/>
                <w:szCs w:val="18"/>
              </w:rPr>
            </w:pPr>
          </w:p>
        </w:tc>
        <w:tc>
          <w:tcPr>
            <w:tcW w:w="701" w:type="pct"/>
            <w:vAlign w:val="center"/>
          </w:tcPr>
          <w:p>
            <w:pPr>
              <w:pStyle w:val="32"/>
              <w:spacing w:line="560" w:lineRule="exact"/>
              <w:jc w:val="center"/>
              <w:rPr>
                <w:rFonts w:hAnsi="宋体"/>
                <w:sz w:val="18"/>
                <w:szCs w:val="18"/>
              </w:rPr>
            </w:pPr>
            <w:r>
              <w:rPr>
                <w:rFonts w:hint="eastAsia" w:hAnsi="宋体"/>
                <w:sz w:val="18"/>
                <w:szCs w:val="18"/>
              </w:rPr>
              <w:t>满配</w:t>
            </w:r>
            <w:r>
              <w:rPr>
                <w:rFonts w:hAnsi="宋体"/>
                <w:sz w:val="18"/>
                <w:szCs w:val="18"/>
              </w:rPr>
              <w:t>容量</w:t>
            </w:r>
          </w:p>
          <w:p>
            <w:pPr>
              <w:pStyle w:val="32"/>
              <w:spacing w:line="560" w:lineRule="exact"/>
              <w:jc w:val="center"/>
              <w:rPr>
                <w:sz w:val="18"/>
                <w:szCs w:val="18"/>
              </w:rPr>
            </w:pPr>
            <w:r>
              <w:rPr>
                <w:rFonts w:hint="eastAsia" w:hAnsi="宋体"/>
                <w:sz w:val="18"/>
                <w:szCs w:val="18"/>
              </w:rPr>
              <w:t>（</w:t>
            </w:r>
            <w:r>
              <w:rPr>
                <w:rFonts w:hAnsi="宋体"/>
                <w:sz w:val="18"/>
                <w:szCs w:val="18"/>
              </w:rPr>
              <w:t>芯</w:t>
            </w:r>
            <w:r>
              <w:rPr>
                <w:rFonts w:hint="eastAsia" w:hAnsi="宋体"/>
                <w:sz w:val="18"/>
                <w:szCs w:val="18"/>
              </w:rPr>
              <w:t>）</w:t>
            </w:r>
          </w:p>
        </w:tc>
        <w:tc>
          <w:tcPr>
            <w:tcW w:w="1125" w:type="pct"/>
            <w:vAlign w:val="center"/>
          </w:tcPr>
          <w:p>
            <w:pPr>
              <w:pStyle w:val="32"/>
              <w:spacing w:line="560" w:lineRule="exact"/>
              <w:jc w:val="center"/>
              <w:rPr>
                <w:sz w:val="18"/>
                <w:szCs w:val="18"/>
              </w:rPr>
            </w:pPr>
            <w:r>
              <w:rPr>
                <w:rFonts w:hAnsi="宋体"/>
                <w:sz w:val="18"/>
                <w:szCs w:val="18"/>
              </w:rPr>
              <w:t>机架尺寸</w:t>
            </w:r>
          </w:p>
          <w:p>
            <w:pPr>
              <w:pStyle w:val="32"/>
              <w:spacing w:line="560" w:lineRule="exact"/>
              <w:jc w:val="center"/>
              <w:rPr>
                <w:sz w:val="18"/>
                <w:szCs w:val="18"/>
              </w:rPr>
            </w:pPr>
            <w:r>
              <w:rPr>
                <w:rFonts w:hAnsi="宋体"/>
                <w:sz w:val="18"/>
                <w:szCs w:val="18"/>
              </w:rPr>
              <w:t>高</w:t>
            </w:r>
            <w:r>
              <w:rPr>
                <w:sz w:val="18"/>
                <w:szCs w:val="18"/>
              </w:rPr>
              <w:t>×</w:t>
            </w:r>
            <w:r>
              <w:rPr>
                <w:rFonts w:hAnsi="宋体"/>
                <w:sz w:val="18"/>
                <w:szCs w:val="18"/>
              </w:rPr>
              <w:t>宽</w:t>
            </w:r>
            <w:r>
              <w:rPr>
                <w:sz w:val="18"/>
                <w:szCs w:val="18"/>
              </w:rPr>
              <w:t>×</w:t>
            </w:r>
            <w:r>
              <w:rPr>
                <w:rFonts w:hAnsi="宋体"/>
                <w:sz w:val="18"/>
                <w:szCs w:val="18"/>
              </w:rPr>
              <w:t>深（</w:t>
            </w:r>
            <w:r>
              <w:rPr>
                <w:sz w:val="18"/>
                <w:szCs w:val="18"/>
              </w:rPr>
              <w:t>mm</w:t>
            </w:r>
            <w:r>
              <w:rPr>
                <w:rFonts w:hAnsi="宋体"/>
                <w:sz w:val="18"/>
                <w:szCs w:val="18"/>
              </w:rPr>
              <w:t>）</w:t>
            </w:r>
          </w:p>
        </w:tc>
        <w:tc>
          <w:tcPr>
            <w:tcW w:w="827" w:type="pct"/>
            <w:vMerge w:val="continue"/>
            <w:vAlign w:val="center"/>
          </w:tcPr>
          <w:p>
            <w:pPr>
              <w:pStyle w:val="32"/>
              <w:spacing w:line="560" w:lineRule="exact"/>
              <w:ind w:firstLine="360" w:firstLineChars="200"/>
              <w:jc w:val="center"/>
              <w:rPr>
                <w:sz w:val="18"/>
                <w:szCs w:val="18"/>
              </w:rPr>
            </w:pPr>
          </w:p>
        </w:tc>
        <w:tc>
          <w:tcPr>
            <w:tcW w:w="1208" w:type="pct"/>
            <w:vMerge w:val="continue"/>
            <w:vAlign w:val="center"/>
          </w:tcPr>
          <w:p>
            <w:pPr>
              <w:pStyle w:val="32"/>
              <w:spacing w:line="560" w:lineRule="exact"/>
              <w:ind w:firstLine="360" w:firstLineChars="200"/>
              <w:jc w:val="center"/>
              <w:rPr>
                <w:sz w:val="18"/>
                <w:szCs w:val="18"/>
              </w:rPr>
            </w:pPr>
          </w:p>
        </w:tc>
        <w:tc>
          <w:tcPr>
            <w:tcW w:w="728" w:type="pct"/>
            <w:vMerge w:val="continue"/>
            <w:vAlign w:val="center"/>
          </w:tcPr>
          <w:p>
            <w:pPr>
              <w:pStyle w:val="32"/>
              <w:spacing w:line="560" w:lineRule="exact"/>
              <w:ind w:firstLine="360" w:firstLineChars="200"/>
              <w:jc w:val="center"/>
              <w:rPr>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cantSplit/>
          <w:trHeight w:val="306" w:hRule="atLeast"/>
        </w:trPr>
        <w:tc>
          <w:tcPr>
            <w:tcW w:w="410" w:type="pct"/>
            <w:vMerge w:val="restart"/>
            <w:vAlign w:val="center"/>
          </w:tcPr>
          <w:p>
            <w:pPr>
              <w:pStyle w:val="32"/>
              <w:spacing w:line="560" w:lineRule="exact"/>
              <w:jc w:val="center"/>
              <w:rPr>
                <w:sz w:val="18"/>
                <w:szCs w:val="18"/>
              </w:rPr>
            </w:pPr>
            <w:r>
              <w:rPr>
                <w:sz w:val="18"/>
                <w:szCs w:val="18"/>
              </w:rPr>
              <w:t>ODF</w:t>
            </w:r>
            <w:r>
              <w:rPr>
                <w:rFonts w:hint="eastAsia" w:hAnsi="宋体"/>
                <w:sz w:val="18"/>
                <w:szCs w:val="18"/>
              </w:rPr>
              <w:t>线路侧</w:t>
            </w:r>
          </w:p>
        </w:tc>
        <w:tc>
          <w:tcPr>
            <w:tcW w:w="701" w:type="pct"/>
            <w:vAlign w:val="center"/>
          </w:tcPr>
          <w:p>
            <w:pPr>
              <w:pStyle w:val="32"/>
              <w:spacing w:line="560" w:lineRule="exact"/>
              <w:ind w:firstLine="360" w:firstLineChars="200"/>
              <w:rPr>
                <w:sz w:val="18"/>
                <w:szCs w:val="18"/>
              </w:rPr>
            </w:pPr>
            <w:r>
              <w:rPr>
                <w:rFonts w:hint="eastAsia"/>
                <w:sz w:val="18"/>
                <w:szCs w:val="18"/>
              </w:rPr>
              <w:t>792</w:t>
            </w:r>
          </w:p>
        </w:tc>
        <w:tc>
          <w:tcPr>
            <w:tcW w:w="1125" w:type="pct"/>
            <w:vAlign w:val="center"/>
          </w:tcPr>
          <w:p>
            <w:pPr>
              <w:pStyle w:val="32"/>
              <w:spacing w:line="560" w:lineRule="exact"/>
              <w:jc w:val="center"/>
              <w:rPr>
                <w:sz w:val="18"/>
                <w:szCs w:val="18"/>
              </w:rPr>
            </w:pPr>
            <w:r>
              <w:rPr>
                <w:sz w:val="18"/>
                <w:szCs w:val="18"/>
              </w:rPr>
              <w:t>2600×840×300</w:t>
            </w:r>
          </w:p>
        </w:tc>
        <w:tc>
          <w:tcPr>
            <w:tcW w:w="827" w:type="pct"/>
            <w:vAlign w:val="center"/>
          </w:tcPr>
          <w:p>
            <w:pPr>
              <w:pStyle w:val="32"/>
              <w:spacing w:line="560" w:lineRule="exact"/>
              <w:ind w:firstLine="360" w:firstLineChars="200"/>
              <w:jc w:val="center"/>
              <w:rPr>
                <w:sz w:val="18"/>
                <w:szCs w:val="18"/>
              </w:rPr>
            </w:pPr>
            <w:r>
              <w:rPr>
                <w:rFonts w:hint="eastAsia"/>
                <w:sz w:val="18"/>
                <w:szCs w:val="18"/>
              </w:rPr>
              <w:t>11</w:t>
            </w:r>
          </w:p>
        </w:tc>
        <w:tc>
          <w:tcPr>
            <w:tcW w:w="1208" w:type="pct"/>
            <w:vAlign w:val="center"/>
          </w:tcPr>
          <w:p>
            <w:pPr>
              <w:pStyle w:val="32"/>
              <w:spacing w:line="560" w:lineRule="exact"/>
              <w:ind w:firstLine="360" w:firstLineChars="200"/>
              <w:jc w:val="center"/>
              <w:rPr>
                <w:sz w:val="18"/>
                <w:szCs w:val="18"/>
              </w:rPr>
            </w:pPr>
            <w:r>
              <w:rPr>
                <w:rFonts w:hint="eastAsia"/>
                <w:sz w:val="18"/>
                <w:szCs w:val="18"/>
              </w:rPr>
              <w:t>66</w:t>
            </w:r>
          </w:p>
        </w:tc>
        <w:tc>
          <w:tcPr>
            <w:tcW w:w="728" w:type="pct"/>
            <w:vAlign w:val="center"/>
          </w:tcPr>
          <w:p>
            <w:pPr>
              <w:pStyle w:val="32"/>
              <w:spacing w:line="560" w:lineRule="exact"/>
              <w:ind w:firstLine="360" w:firstLineChars="200"/>
              <w:jc w:val="center"/>
              <w:rPr>
                <w:sz w:val="18"/>
                <w:szCs w:val="18"/>
              </w:rPr>
            </w:pPr>
            <w:r>
              <w:rPr>
                <w:rFonts w:hint="eastAsia"/>
                <w:sz w:val="18"/>
                <w:szCs w:val="18"/>
              </w:rPr>
              <w:t>/</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cantSplit/>
          <w:trHeight w:val="498" w:hRule="atLeast"/>
        </w:trPr>
        <w:tc>
          <w:tcPr>
            <w:tcW w:w="410" w:type="pct"/>
            <w:vMerge w:val="continue"/>
            <w:vAlign w:val="center"/>
          </w:tcPr>
          <w:p>
            <w:pPr>
              <w:pStyle w:val="4"/>
              <w:kinsoku w:val="0"/>
              <w:overflowPunct w:val="0"/>
              <w:autoSpaceDE w:val="0"/>
              <w:autoSpaceDN w:val="0"/>
              <w:adjustRightInd w:val="0"/>
              <w:snapToGrid w:val="0"/>
              <w:spacing w:line="360" w:lineRule="auto"/>
              <w:jc w:val="center"/>
              <w:rPr>
                <w:rFonts w:ascii="Times New Roman" w:hAnsi="Times New Roman"/>
                <w:sz w:val="18"/>
                <w:szCs w:val="18"/>
              </w:rPr>
            </w:pPr>
          </w:p>
        </w:tc>
        <w:tc>
          <w:tcPr>
            <w:tcW w:w="701" w:type="pct"/>
            <w:vAlign w:val="center"/>
          </w:tcPr>
          <w:p>
            <w:pPr>
              <w:pStyle w:val="32"/>
              <w:spacing w:line="560" w:lineRule="exact"/>
              <w:ind w:firstLine="360" w:firstLineChars="200"/>
              <w:rPr>
                <w:sz w:val="18"/>
                <w:szCs w:val="18"/>
              </w:rPr>
            </w:pPr>
            <w:r>
              <w:rPr>
                <w:rFonts w:hint="eastAsia"/>
                <w:sz w:val="18"/>
                <w:szCs w:val="18"/>
              </w:rPr>
              <w:t>648</w:t>
            </w:r>
          </w:p>
        </w:tc>
        <w:tc>
          <w:tcPr>
            <w:tcW w:w="1125" w:type="pct"/>
            <w:vAlign w:val="center"/>
          </w:tcPr>
          <w:p>
            <w:pPr>
              <w:pStyle w:val="32"/>
              <w:spacing w:line="560" w:lineRule="exact"/>
              <w:jc w:val="center"/>
              <w:rPr>
                <w:sz w:val="18"/>
                <w:szCs w:val="18"/>
              </w:rPr>
            </w:pPr>
            <w:r>
              <w:rPr>
                <w:sz w:val="18"/>
                <w:szCs w:val="18"/>
              </w:rPr>
              <w:t>2200×840×300</w:t>
            </w:r>
          </w:p>
        </w:tc>
        <w:tc>
          <w:tcPr>
            <w:tcW w:w="827" w:type="pct"/>
            <w:vAlign w:val="center"/>
          </w:tcPr>
          <w:p>
            <w:pPr>
              <w:pStyle w:val="32"/>
              <w:spacing w:line="560" w:lineRule="exact"/>
              <w:ind w:firstLine="360" w:firstLineChars="200"/>
              <w:jc w:val="center"/>
              <w:rPr>
                <w:sz w:val="18"/>
                <w:szCs w:val="18"/>
              </w:rPr>
            </w:pPr>
            <w:r>
              <w:rPr>
                <w:rFonts w:hint="eastAsia"/>
                <w:sz w:val="18"/>
                <w:szCs w:val="18"/>
              </w:rPr>
              <w:t>9</w:t>
            </w:r>
          </w:p>
        </w:tc>
        <w:tc>
          <w:tcPr>
            <w:tcW w:w="1208" w:type="pct"/>
            <w:vAlign w:val="center"/>
          </w:tcPr>
          <w:p>
            <w:pPr>
              <w:pStyle w:val="32"/>
              <w:spacing w:line="560" w:lineRule="exact"/>
              <w:ind w:firstLine="360" w:firstLineChars="200"/>
              <w:jc w:val="center"/>
              <w:rPr>
                <w:sz w:val="18"/>
                <w:szCs w:val="18"/>
              </w:rPr>
            </w:pPr>
            <w:r>
              <w:rPr>
                <w:rFonts w:hint="eastAsia"/>
                <w:sz w:val="18"/>
                <w:szCs w:val="18"/>
              </w:rPr>
              <w:t>54</w:t>
            </w:r>
          </w:p>
        </w:tc>
        <w:tc>
          <w:tcPr>
            <w:tcW w:w="728" w:type="pct"/>
            <w:vAlign w:val="center"/>
          </w:tcPr>
          <w:p>
            <w:pPr>
              <w:pStyle w:val="32"/>
              <w:spacing w:line="560" w:lineRule="exact"/>
              <w:ind w:firstLine="360" w:firstLineChars="200"/>
              <w:jc w:val="center"/>
              <w:rPr>
                <w:sz w:val="18"/>
                <w:szCs w:val="18"/>
              </w:rPr>
            </w:pPr>
            <w:r>
              <w:rPr>
                <w:rFonts w:hint="eastAsia"/>
                <w:sz w:val="18"/>
                <w:szCs w:val="18"/>
              </w:rPr>
              <w:t>/</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cantSplit/>
          <w:trHeight w:val="296" w:hRule="atLeast"/>
        </w:trPr>
        <w:tc>
          <w:tcPr>
            <w:tcW w:w="410" w:type="pct"/>
            <w:vMerge w:val="continue"/>
            <w:vAlign w:val="center"/>
          </w:tcPr>
          <w:p>
            <w:pPr>
              <w:pStyle w:val="4"/>
              <w:kinsoku w:val="0"/>
              <w:overflowPunct w:val="0"/>
              <w:autoSpaceDE w:val="0"/>
              <w:autoSpaceDN w:val="0"/>
              <w:adjustRightInd w:val="0"/>
              <w:snapToGrid w:val="0"/>
              <w:spacing w:line="360" w:lineRule="auto"/>
              <w:ind w:firstLine="0"/>
              <w:jc w:val="center"/>
              <w:rPr>
                <w:rFonts w:ascii="Times New Roman" w:hAnsi="Times New Roman"/>
                <w:sz w:val="18"/>
                <w:szCs w:val="18"/>
              </w:rPr>
            </w:pPr>
          </w:p>
        </w:tc>
        <w:tc>
          <w:tcPr>
            <w:tcW w:w="701" w:type="pct"/>
            <w:vAlign w:val="center"/>
          </w:tcPr>
          <w:p>
            <w:pPr>
              <w:pStyle w:val="32"/>
              <w:spacing w:line="560" w:lineRule="exact"/>
              <w:ind w:firstLine="360" w:firstLineChars="200"/>
              <w:rPr>
                <w:sz w:val="18"/>
                <w:szCs w:val="18"/>
              </w:rPr>
            </w:pPr>
            <w:r>
              <w:rPr>
                <w:rFonts w:hint="eastAsia"/>
                <w:sz w:val="18"/>
                <w:szCs w:val="18"/>
              </w:rPr>
              <w:t>576</w:t>
            </w:r>
          </w:p>
        </w:tc>
        <w:tc>
          <w:tcPr>
            <w:tcW w:w="1125" w:type="pct"/>
            <w:vAlign w:val="center"/>
          </w:tcPr>
          <w:p>
            <w:pPr>
              <w:pStyle w:val="32"/>
              <w:spacing w:line="560" w:lineRule="exact"/>
              <w:jc w:val="center"/>
              <w:rPr>
                <w:sz w:val="18"/>
                <w:szCs w:val="18"/>
              </w:rPr>
            </w:pPr>
            <w:r>
              <w:rPr>
                <w:sz w:val="18"/>
                <w:szCs w:val="18"/>
              </w:rPr>
              <w:t>2000×840×300</w:t>
            </w:r>
          </w:p>
        </w:tc>
        <w:tc>
          <w:tcPr>
            <w:tcW w:w="827" w:type="pct"/>
            <w:vAlign w:val="center"/>
          </w:tcPr>
          <w:p>
            <w:pPr>
              <w:pStyle w:val="32"/>
              <w:spacing w:line="560" w:lineRule="exact"/>
              <w:ind w:firstLine="360" w:firstLineChars="200"/>
              <w:jc w:val="center"/>
              <w:rPr>
                <w:sz w:val="18"/>
                <w:szCs w:val="18"/>
              </w:rPr>
            </w:pPr>
            <w:r>
              <w:rPr>
                <w:rFonts w:hint="eastAsia"/>
                <w:sz w:val="18"/>
                <w:szCs w:val="18"/>
              </w:rPr>
              <w:t>8</w:t>
            </w:r>
          </w:p>
        </w:tc>
        <w:tc>
          <w:tcPr>
            <w:tcW w:w="1208" w:type="pct"/>
            <w:vAlign w:val="center"/>
          </w:tcPr>
          <w:p>
            <w:pPr>
              <w:pStyle w:val="32"/>
              <w:spacing w:line="560" w:lineRule="exact"/>
              <w:ind w:firstLine="360" w:firstLineChars="200"/>
              <w:jc w:val="center"/>
              <w:rPr>
                <w:sz w:val="18"/>
                <w:szCs w:val="18"/>
              </w:rPr>
            </w:pPr>
            <w:r>
              <w:rPr>
                <w:rFonts w:hint="eastAsia"/>
                <w:sz w:val="18"/>
                <w:szCs w:val="18"/>
              </w:rPr>
              <w:t>48</w:t>
            </w:r>
          </w:p>
        </w:tc>
        <w:tc>
          <w:tcPr>
            <w:tcW w:w="728" w:type="pct"/>
            <w:vAlign w:val="center"/>
          </w:tcPr>
          <w:p>
            <w:pPr>
              <w:pStyle w:val="32"/>
              <w:spacing w:line="560" w:lineRule="exact"/>
              <w:ind w:firstLine="360" w:firstLineChars="200"/>
              <w:jc w:val="center"/>
              <w:rPr>
                <w:sz w:val="18"/>
                <w:szCs w:val="18"/>
              </w:rPr>
            </w:pPr>
            <w:r>
              <w:rPr>
                <w:rFonts w:hint="eastAsia"/>
                <w:sz w:val="18"/>
                <w:szCs w:val="18"/>
              </w:rPr>
              <w:t>/</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cantSplit/>
          <w:trHeight w:val="475" w:hRule="atLeast"/>
        </w:trPr>
        <w:tc>
          <w:tcPr>
            <w:tcW w:w="410" w:type="pct"/>
            <w:vMerge w:val="continue"/>
            <w:vAlign w:val="center"/>
          </w:tcPr>
          <w:p>
            <w:pPr>
              <w:pStyle w:val="4"/>
              <w:kinsoku w:val="0"/>
              <w:autoSpaceDE w:val="0"/>
              <w:adjustRightInd w:val="0"/>
              <w:snapToGrid w:val="0"/>
              <w:spacing w:line="360" w:lineRule="auto"/>
              <w:ind w:firstLine="0"/>
              <w:jc w:val="center"/>
              <w:rPr>
                <w:rFonts w:ascii="Times New Roman" w:hAnsi="Times New Roman"/>
                <w:sz w:val="18"/>
                <w:szCs w:val="18"/>
              </w:rPr>
            </w:pPr>
          </w:p>
        </w:tc>
        <w:tc>
          <w:tcPr>
            <w:tcW w:w="701" w:type="pct"/>
            <w:vAlign w:val="center"/>
          </w:tcPr>
          <w:p>
            <w:pPr>
              <w:pStyle w:val="32"/>
              <w:spacing w:line="560" w:lineRule="exact"/>
              <w:ind w:firstLine="360" w:firstLineChars="200"/>
              <w:rPr>
                <w:sz w:val="18"/>
                <w:szCs w:val="18"/>
              </w:rPr>
            </w:pPr>
            <w:r>
              <w:rPr>
                <w:rFonts w:hint="eastAsia"/>
                <w:sz w:val="18"/>
                <w:szCs w:val="18"/>
              </w:rPr>
              <w:t>576</w:t>
            </w:r>
          </w:p>
        </w:tc>
        <w:tc>
          <w:tcPr>
            <w:tcW w:w="1125" w:type="pct"/>
            <w:vAlign w:val="center"/>
          </w:tcPr>
          <w:p>
            <w:pPr>
              <w:pStyle w:val="32"/>
              <w:spacing w:line="560" w:lineRule="exact"/>
              <w:jc w:val="center"/>
              <w:rPr>
                <w:sz w:val="18"/>
                <w:szCs w:val="18"/>
              </w:rPr>
            </w:pPr>
            <w:r>
              <w:rPr>
                <w:sz w:val="18"/>
                <w:szCs w:val="18"/>
              </w:rPr>
              <w:t>2600×600×300</w:t>
            </w:r>
          </w:p>
        </w:tc>
        <w:tc>
          <w:tcPr>
            <w:tcW w:w="827" w:type="pct"/>
            <w:vAlign w:val="center"/>
          </w:tcPr>
          <w:p>
            <w:pPr>
              <w:pStyle w:val="32"/>
              <w:spacing w:line="560" w:lineRule="exact"/>
              <w:ind w:firstLine="360" w:firstLineChars="200"/>
              <w:jc w:val="center"/>
              <w:rPr>
                <w:sz w:val="18"/>
                <w:szCs w:val="18"/>
              </w:rPr>
            </w:pPr>
            <w:r>
              <w:rPr>
                <w:rFonts w:hint="eastAsia"/>
                <w:sz w:val="18"/>
                <w:szCs w:val="18"/>
              </w:rPr>
              <w:t>/</w:t>
            </w:r>
          </w:p>
        </w:tc>
        <w:tc>
          <w:tcPr>
            <w:tcW w:w="1208" w:type="pct"/>
            <w:vAlign w:val="center"/>
          </w:tcPr>
          <w:p>
            <w:pPr>
              <w:pStyle w:val="32"/>
              <w:spacing w:line="560" w:lineRule="exact"/>
              <w:rPr>
                <w:sz w:val="18"/>
                <w:szCs w:val="18"/>
              </w:rPr>
            </w:pPr>
            <w:r>
              <w:rPr>
                <w:rFonts w:hint="eastAsia"/>
                <w:sz w:val="18"/>
                <w:szCs w:val="18"/>
              </w:rPr>
              <w:t>一体化托盘+终端盘=48</w:t>
            </w:r>
          </w:p>
        </w:tc>
        <w:tc>
          <w:tcPr>
            <w:tcW w:w="728" w:type="pct"/>
            <w:vAlign w:val="center"/>
          </w:tcPr>
          <w:p>
            <w:pPr>
              <w:pStyle w:val="32"/>
              <w:spacing w:line="560" w:lineRule="exact"/>
              <w:ind w:firstLine="360" w:firstLineChars="200"/>
              <w:jc w:val="center"/>
              <w:rPr>
                <w:sz w:val="18"/>
                <w:szCs w:val="18"/>
              </w:rPr>
            </w:pPr>
            <w:r>
              <w:rPr>
                <w:sz w:val="18"/>
                <w:szCs w:val="18"/>
              </w:rPr>
              <w:t>4</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cantSplit/>
          <w:trHeight w:val="484" w:hRule="atLeast"/>
        </w:trPr>
        <w:tc>
          <w:tcPr>
            <w:tcW w:w="410" w:type="pct"/>
            <w:vMerge w:val="continue"/>
            <w:vAlign w:val="center"/>
          </w:tcPr>
          <w:p>
            <w:pPr>
              <w:pStyle w:val="4"/>
              <w:kinsoku w:val="0"/>
              <w:autoSpaceDE w:val="0"/>
              <w:adjustRightInd w:val="0"/>
              <w:snapToGrid w:val="0"/>
              <w:spacing w:line="360" w:lineRule="auto"/>
              <w:ind w:firstLine="0"/>
              <w:jc w:val="center"/>
              <w:rPr>
                <w:rFonts w:ascii="Times New Roman" w:hAnsi="Times New Roman"/>
                <w:sz w:val="18"/>
                <w:szCs w:val="18"/>
              </w:rPr>
            </w:pPr>
          </w:p>
        </w:tc>
        <w:tc>
          <w:tcPr>
            <w:tcW w:w="701" w:type="pct"/>
            <w:vAlign w:val="center"/>
          </w:tcPr>
          <w:p>
            <w:pPr>
              <w:pStyle w:val="32"/>
              <w:spacing w:line="560" w:lineRule="exact"/>
              <w:ind w:firstLine="360" w:firstLineChars="200"/>
              <w:rPr>
                <w:sz w:val="18"/>
                <w:szCs w:val="18"/>
              </w:rPr>
            </w:pPr>
            <w:r>
              <w:rPr>
                <w:rFonts w:hint="eastAsia"/>
                <w:sz w:val="18"/>
                <w:szCs w:val="18"/>
              </w:rPr>
              <w:t>504</w:t>
            </w:r>
          </w:p>
        </w:tc>
        <w:tc>
          <w:tcPr>
            <w:tcW w:w="1125" w:type="pct"/>
            <w:vAlign w:val="center"/>
          </w:tcPr>
          <w:p>
            <w:pPr>
              <w:pStyle w:val="32"/>
              <w:spacing w:line="560" w:lineRule="exact"/>
              <w:jc w:val="center"/>
              <w:rPr>
                <w:sz w:val="18"/>
                <w:szCs w:val="18"/>
              </w:rPr>
            </w:pPr>
            <w:r>
              <w:rPr>
                <w:sz w:val="18"/>
                <w:szCs w:val="18"/>
              </w:rPr>
              <w:t>2200×600×300</w:t>
            </w:r>
          </w:p>
        </w:tc>
        <w:tc>
          <w:tcPr>
            <w:tcW w:w="827" w:type="pct"/>
            <w:vAlign w:val="center"/>
          </w:tcPr>
          <w:p>
            <w:pPr>
              <w:pStyle w:val="32"/>
              <w:spacing w:line="560" w:lineRule="exact"/>
              <w:ind w:firstLine="360" w:firstLineChars="200"/>
              <w:jc w:val="center"/>
              <w:rPr>
                <w:sz w:val="18"/>
                <w:szCs w:val="18"/>
              </w:rPr>
            </w:pPr>
            <w:r>
              <w:rPr>
                <w:rFonts w:hint="eastAsia"/>
                <w:sz w:val="18"/>
                <w:szCs w:val="18"/>
              </w:rPr>
              <w:t>/</w:t>
            </w:r>
          </w:p>
        </w:tc>
        <w:tc>
          <w:tcPr>
            <w:tcW w:w="1208" w:type="pct"/>
            <w:vAlign w:val="center"/>
          </w:tcPr>
          <w:p>
            <w:pPr>
              <w:pStyle w:val="32"/>
              <w:spacing w:line="560" w:lineRule="exact"/>
              <w:rPr>
                <w:sz w:val="18"/>
                <w:szCs w:val="18"/>
              </w:rPr>
            </w:pPr>
            <w:r>
              <w:rPr>
                <w:rFonts w:hint="eastAsia"/>
                <w:sz w:val="18"/>
                <w:szCs w:val="18"/>
              </w:rPr>
              <w:t>一体化托盘+终端盘=42</w:t>
            </w:r>
          </w:p>
        </w:tc>
        <w:tc>
          <w:tcPr>
            <w:tcW w:w="728" w:type="pct"/>
            <w:vAlign w:val="center"/>
          </w:tcPr>
          <w:p>
            <w:pPr>
              <w:pStyle w:val="32"/>
              <w:spacing w:line="560" w:lineRule="exact"/>
              <w:ind w:firstLine="360" w:firstLineChars="200"/>
              <w:jc w:val="center"/>
              <w:rPr>
                <w:sz w:val="18"/>
                <w:szCs w:val="18"/>
              </w:rPr>
            </w:pPr>
            <w:r>
              <w:rPr>
                <w:sz w:val="18"/>
                <w:szCs w:val="18"/>
              </w:rPr>
              <w:t>3</w:t>
            </w:r>
          </w:p>
        </w:tc>
      </w:tr>
      <w:tr>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cantSplit/>
          <w:trHeight w:val="548" w:hRule="atLeast"/>
        </w:trPr>
        <w:tc>
          <w:tcPr>
            <w:tcW w:w="410" w:type="pct"/>
            <w:vMerge w:val="continue"/>
            <w:vAlign w:val="center"/>
          </w:tcPr>
          <w:p>
            <w:pPr>
              <w:pStyle w:val="4"/>
              <w:kinsoku w:val="0"/>
              <w:autoSpaceDE w:val="0"/>
              <w:adjustRightInd w:val="0"/>
              <w:snapToGrid w:val="0"/>
              <w:spacing w:line="360" w:lineRule="auto"/>
              <w:ind w:firstLine="0"/>
              <w:jc w:val="center"/>
              <w:rPr>
                <w:rFonts w:ascii="Times New Roman" w:hAnsi="Times New Roman"/>
                <w:sz w:val="18"/>
                <w:szCs w:val="18"/>
              </w:rPr>
            </w:pPr>
          </w:p>
        </w:tc>
        <w:tc>
          <w:tcPr>
            <w:tcW w:w="701" w:type="pct"/>
            <w:vAlign w:val="center"/>
          </w:tcPr>
          <w:p>
            <w:pPr>
              <w:pStyle w:val="32"/>
              <w:spacing w:line="560" w:lineRule="exact"/>
              <w:ind w:firstLine="360" w:firstLineChars="200"/>
              <w:rPr>
                <w:sz w:val="18"/>
                <w:szCs w:val="18"/>
              </w:rPr>
            </w:pPr>
            <w:r>
              <w:rPr>
                <w:rFonts w:hint="eastAsia"/>
                <w:sz w:val="18"/>
                <w:szCs w:val="18"/>
              </w:rPr>
              <w:t>360</w:t>
            </w:r>
          </w:p>
        </w:tc>
        <w:tc>
          <w:tcPr>
            <w:tcW w:w="1125" w:type="pct"/>
            <w:vAlign w:val="center"/>
          </w:tcPr>
          <w:p>
            <w:pPr>
              <w:pStyle w:val="32"/>
              <w:spacing w:line="560" w:lineRule="exact"/>
              <w:jc w:val="center"/>
              <w:rPr>
                <w:sz w:val="18"/>
                <w:szCs w:val="18"/>
              </w:rPr>
            </w:pPr>
            <w:r>
              <w:rPr>
                <w:sz w:val="18"/>
                <w:szCs w:val="18"/>
              </w:rPr>
              <w:t>2000×600×300</w:t>
            </w:r>
          </w:p>
        </w:tc>
        <w:tc>
          <w:tcPr>
            <w:tcW w:w="827" w:type="pct"/>
            <w:vAlign w:val="center"/>
          </w:tcPr>
          <w:p>
            <w:pPr>
              <w:pStyle w:val="32"/>
              <w:spacing w:line="560" w:lineRule="exact"/>
              <w:ind w:firstLine="360" w:firstLineChars="200"/>
              <w:jc w:val="center"/>
              <w:rPr>
                <w:sz w:val="18"/>
                <w:szCs w:val="18"/>
              </w:rPr>
            </w:pPr>
            <w:r>
              <w:rPr>
                <w:rFonts w:hint="eastAsia"/>
                <w:sz w:val="18"/>
                <w:szCs w:val="18"/>
              </w:rPr>
              <w:t>/</w:t>
            </w:r>
          </w:p>
        </w:tc>
        <w:tc>
          <w:tcPr>
            <w:tcW w:w="1208" w:type="pct"/>
            <w:vAlign w:val="center"/>
          </w:tcPr>
          <w:p>
            <w:pPr>
              <w:pStyle w:val="32"/>
              <w:spacing w:line="560" w:lineRule="exact"/>
              <w:rPr>
                <w:sz w:val="18"/>
                <w:szCs w:val="18"/>
              </w:rPr>
            </w:pPr>
            <w:r>
              <w:rPr>
                <w:rFonts w:hint="eastAsia"/>
                <w:sz w:val="18"/>
                <w:szCs w:val="18"/>
              </w:rPr>
              <w:t>一体化托盘+终端盘=</w:t>
            </w:r>
            <w:r>
              <w:rPr>
                <w:sz w:val="18"/>
                <w:szCs w:val="18"/>
              </w:rPr>
              <w:t>30</w:t>
            </w:r>
          </w:p>
        </w:tc>
        <w:tc>
          <w:tcPr>
            <w:tcW w:w="728" w:type="pct"/>
            <w:vAlign w:val="center"/>
          </w:tcPr>
          <w:p>
            <w:pPr>
              <w:pStyle w:val="32"/>
              <w:spacing w:line="560" w:lineRule="exact"/>
              <w:ind w:firstLine="360" w:firstLineChars="200"/>
              <w:jc w:val="center"/>
              <w:rPr>
                <w:sz w:val="18"/>
                <w:szCs w:val="18"/>
              </w:rPr>
            </w:pPr>
            <w:r>
              <w:rPr>
                <w:sz w:val="18"/>
                <w:szCs w:val="18"/>
              </w:rPr>
              <w:t>3</w:t>
            </w:r>
          </w:p>
        </w:tc>
      </w:tr>
    </w:tbl>
    <w:p>
      <w:pPr>
        <w:pStyle w:val="32"/>
        <w:spacing w:line="460" w:lineRule="exact"/>
        <w:ind w:firstLine="480" w:firstLineChars="200"/>
        <w:rPr>
          <w:rFonts w:hAnsi="宋体"/>
          <w:sz w:val="24"/>
          <w:szCs w:val="24"/>
        </w:rPr>
      </w:pPr>
      <w:r>
        <w:rPr>
          <w:rFonts w:hint="eastAsia" w:hAnsi="宋体"/>
          <w:sz w:val="24"/>
          <w:szCs w:val="24"/>
        </w:rPr>
        <w:t>注：</w:t>
      </w:r>
    </w:p>
    <w:p>
      <w:pPr>
        <w:pStyle w:val="32"/>
        <w:spacing w:line="460" w:lineRule="exact"/>
        <w:ind w:firstLine="480" w:firstLineChars="200"/>
        <w:rPr>
          <w:rFonts w:hAnsi="宋体"/>
          <w:sz w:val="24"/>
          <w:szCs w:val="24"/>
        </w:rPr>
      </w:pPr>
      <w:r>
        <w:rPr>
          <w:rFonts w:hint="eastAsia" w:hAnsi="宋体"/>
          <w:sz w:val="24"/>
          <w:szCs w:val="24"/>
        </w:rPr>
        <w:t>（1）</w:t>
      </w:r>
      <w:r>
        <w:rPr>
          <w:rFonts w:hAnsi="宋体"/>
          <w:sz w:val="24"/>
          <w:szCs w:val="24"/>
        </w:rPr>
        <w:t>分路器托盘按用户需求配置，</w:t>
      </w:r>
      <w:r>
        <w:rPr>
          <w:sz w:val="24"/>
          <w:szCs w:val="24"/>
        </w:rPr>
        <w:t>1/2×16</w:t>
      </w:r>
      <w:r>
        <w:rPr>
          <w:rFonts w:hAnsi="宋体"/>
          <w:sz w:val="24"/>
          <w:szCs w:val="24"/>
        </w:rPr>
        <w:t>分路器托盘占用</w:t>
      </w:r>
      <w:r>
        <w:rPr>
          <w:sz w:val="24"/>
          <w:szCs w:val="24"/>
        </w:rPr>
        <w:t>1</w:t>
      </w:r>
      <w:r>
        <w:rPr>
          <w:rFonts w:hAnsi="宋体"/>
          <w:sz w:val="24"/>
          <w:szCs w:val="24"/>
        </w:rPr>
        <w:t>个一体化托盘空间，</w:t>
      </w:r>
      <w:r>
        <w:rPr>
          <w:sz w:val="24"/>
          <w:szCs w:val="24"/>
        </w:rPr>
        <w:t>1/2×32</w:t>
      </w:r>
      <w:r>
        <w:rPr>
          <w:rFonts w:hAnsi="宋体"/>
          <w:sz w:val="24"/>
          <w:szCs w:val="24"/>
        </w:rPr>
        <w:t>分路器托盘占用</w:t>
      </w:r>
      <w:r>
        <w:rPr>
          <w:sz w:val="24"/>
          <w:szCs w:val="24"/>
        </w:rPr>
        <w:t>2</w:t>
      </w:r>
      <w:r>
        <w:rPr>
          <w:rFonts w:hAnsi="宋体"/>
          <w:sz w:val="24"/>
          <w:szCs w:val="24"/>
        </w:rPr>
        <w:t>个一体化托盘空间。</w:t>
      </w:r>
    </w:p>
    <w:p>
      <w:pPr>
        <w:pStyle w:val="32"/>
        <w:spacing w:line="460" w:lineRule="exact"/>
        <w:ind w:firstLine="480" w:firstLineChars="200"/>
        <w:rPr>
          <w:rFonts w:hAnsi="宋体"/>
          <w:sz w:val="24"/>
          <w:szCs w:val="24"/>
        </w:rPr>
      </w:pPr>
      <w:r>
        <w:rPr>
          <w:rFonts w:hint="eastAsia" w:hAnsi="宋体"/>
          <w:sz w:val="24"/>
          <w:szCs w:val="24"/>
        </w:rPr>
        <w:t>（2）</w:t>
      </w:r>
      <w:r>
        <w:rPr>
          <w:sz w:val="24"/>
          <w:szCs w:val="24"/>
        </w:rPr>
        <w:t>600×300</w:t>
      </w:r>
      <w:r>
        <w:rPr>
          <w:rFonts w:hint="eastAsia"/>
          <w:sz w:val="24"/>
          <w:szCs w:val="24"/>
        </w:rPr>
        <w:t>机架可选配72芯一体化机框。</w:t>
      </w:r>
    </w:p>
    <w:p>
      <w:pPr>
        <w:pStyle w:val="32"/>
        <w:spacing w:line="560" w:lineRule="exact"/>
        <w:rPr>
          <w:sz w:val="24"/>
        </w:rPr>
      </w:pPr>
      <w:r>
        <w:rPr>
          <w:rFonts w:hint="eastAsia"/>
          <w:sz w:val="24"/>
        </w:rPr>
        <w:t>2.2.4 12芯熔配一体化托盘结构示意图</w:t>
      </w:r>
    </w:p>
    <w:p>
      <w:pPr>
        <w:pStyle w:val="32"/>
        <w:spacing w:line="460" w:lineRule="exact"/>
        <w:ind w:firstLine="480" w:firstLineChars="200"/>
        <w:rPr>
          <w:sz w:val="24"/>
          <w:szCs w:val="28"/>
        </w:rPr>
      </w:pPr>
      <w:r>
        <w:rPr>
          <w:rFonts w:hint="eastAsia"/>
          <w:sz w:val="24"/>
          <w:szCs w:val="28"/>
        </w:rPr>
        <w:t>12</w:t>
      </w:r>
      <w:r>
        <w:rPr>
          <w:rFonts w:hint="eastAsia" w:hAnsi="宋体"/>
          <w:sz w:val="24"/>
          <w:szCs w:val="28"/>
        </w:rPr>
        <w:t>芯熔配一体化托盘为左出纤或右出纤设计，采用安装标准</w:t>
      </w:r>
      <w:r>
        <w:rPr>
          <w:rFonts w:hint="eastAsia"/>
          <w:sz w:val="24"/>
          <w:szCs w:val="28"/>
        </w:rPr>
        <w:t>FC</w:t>
      </w:r>
      <w:r>
        <w:rPr>
          <w:rFonts w:hint="eastAsia" w:hAnsi="宋体"/>
          <w:sz w:val="24"/>
          <w:szCs w:val="28"/>
        </w:rPr>
        <w:t>或</w:t>
      </w:r>
      <w:r>
        <w:rPr>
          <w:rFonts w:hint="eastAsia"/>
          <w:sz w:val="24"/>
          <w:szCs w:val="28"/>
        </w:rPr>
        <w:t>SC</w:t>
      </w:r>
      <w:r>
        <w:rPr>
          <w:rFonts w:hint="eastAsia" w:hAnsi="宋体"/>
          <w:sz w:val="24"/>
          <w:szCs w:val="28"/>
        </w:rPr>
        <w:t>型适配器。满足外缆的熔接、尾纤的存贮、跳纤终端等功能，本标准机架以左出纤模式为例。托盘熔接盘、终端盘材料采用阻燃材料、颜色为</w:t>
      </w:r>
      <w:r>
        <w:rPr>
          <w:rFonts w:hint="eastAsia"/>
          <w:sz w:val="24"/>
          <w:szCs w:val="28"/>
        </w:rPr>
        <w:t>PANTONE 3405U</w:t>
      </w:r>
      <w:r>
        <w:rPr>
          <w:rFonts w:hint="eastAsia" w:hAnsi="宋体"/>
          <w:sz w:val="24"/>
          <w:szCs w:val="28"/>
        </w:rPr>
        <w:t>；盖板材料采用阻燃材料、颜色为</w:t>
      </w:r>
      <w:r>
        <w:rPr>
          <w:rFonts w:hint="eastAsia"/>
          <w:sz w:val="24"/>
          <w:szCs w:val="28"/>
        </w:rPr>
        <w:t>PANTONE 427U</w:t>
      </w:r>
      <w:r>
        <w:rPr>
          <w:rFonts w:hint="eastAsia" w:hAnsi="宋体"/>
          <w:sz w:val="24"/>
          <w:szCs w:val="28"/>
        </w:rPr>
        <w:t>。</w:t>
      </w:r>
      <w:r>
        <w:rPr>
          <w:rFonts w:hint="eastAsia"/>
          <w:sz w:val="24"/>
          <w:szCs w:val="28"/>
        </w:rPr>
        <w:t xml:space="preserve"> </w:t>
      </w:r>
    </w:p>
    <w:p>
      <w:pPr>
        <w:pStyle w:val="32"/>
        <w:spacing w:line="560" w:lineRule="exact"/>
        <w:rPr>
          <w:sz w:val="24"/>
        </w:rPr>
      </w:pPr>
      <w:bookmarkStart w:id="5" w:name="_Toc132100054"/>
      <w:bookmarkStart w:id="6" w:name="_Toc131219955"/>
      <w:r>
        <w:rPr>
          <w:rFonts w:hint="eastAsia"/>
          <w:sz w:val="24"/>
        </w:rPr>
        <w:drawing>
          <wp:anchor distT="0" distB="0" distL="114300" distR="114300" simplePos="0" relativeHeight="251659264" behindDoc="0" locked="0" layoutInCell="1" allowOverlap="1">
            <wp:simplePos x="0" y="0"/>
            <wp:positionH relativeFrom="column">
              <wp:posOffset>1045210</wp:posOffset>
            </wp:positionH>
            <wp:positionV relativeFrom="paragraph">
              <wp:posOffset>194310</wp:posOffset>
            </wp:positionV>
            <wp:extent cx="2971800" cy="2381250"/>
            <wp:effectExtent l="19050" t="0" r="0" b="0"/>
            <wp:wrapNone/>
            <wp:docPr id="3149" name="图片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 name="图片 3149"/>
                    <pic:cNvPicPr>
                      <a:picLocks noChangeAspect="1" noChangeArrowheads="1"/>
                    </pic:cNvPicPr>
                  </pic:nvPicPr>
                  <pic:blipFill>
                    <a:blip r:embed="rId12"/>
                    <a:srcRect l="25517" t="19455" r="26463" b="22575"/>
                    <a:stretch>
                      <a:fillRect/>
                    </a:stretch>
                  </pic:blipFill>
                  <pic:spPr>
                    <a:xfrm>
                      <a:off x="0" y="0"/>
                      <a:ext cx="2971800" cy="2381250"/>
                    </a:xfrm>
                    <a:prstGeom prst="rect">
                      <a:avLst/>
                    </a:prstGeom>
                    <a:noFill/>
                    <a:ln w="9525">
                      <a:noFill/>
                      <a:miter lim="800000"/>
                      <a:headEnd/>
                      <a:tailEnd/>
                    </a:ln>
                  </pic:spPr>
                </pic:pic>
              </a:graphicData>
            </a:graphic>
          </wp:anchor>
        </w:drawing>
      </w:r>
    </w:p>
    <w:p>
      <w:pPr>
        <w:pStyle w:val="32"/>
        <w:spacing w:line="560" w:lineRule="exact"/>
        <w:rPr>
          <w:sz w:val="24"/>
        </w:rPr>
      </w:pPr>
    </w:p>
    <w:p>
      <w:pPr>
        <w:pStyle w:val="32"/>
        <w:spacing w:line="560" w:lineRule="exact"/>
        <w:rPr>
          <w:sz w:val="24"/>
        </w:rPr>
      </w:pPr>
    </w:p>
    <w:p>
      <w:pPr>
        <w:pStyle w:val="32"/>
        <w:spacing w:line="560" w:lineRule="exact"/>
        <w:rPr>
          <w:sz w:val="24"/>
        </w:rPr>
      </w:pPr>
    </w:p>
    <w:p>
      <w:pPr>
        <w:pStyle w:val="32"/>
        <w:spacing w:line="560" w:lineRule="exact"/>
        <w:rPr>
          <w:sz w:val="24"/>
        </w:rPr>
      </w:pPr>
    </w:p>
    <w:p>
      <w:pPr>
        <w:pStyle w:val="32"/>
        <w:spacing w:line="560" w:lineRule="exact"/>
        <w:rPr>
          <w:sz w:val="24"/>
        </w:rPr>
      </w:pPr>
    </w:p>
    <w:p>
      <w:pPr>
        <w:pStyle w:val="32"/>
        <w:spacing w:line="560" w:lineRule="exact"/>
        <w:rPr>
          <w:sz w:val="24"/>
        </w:rPr>
      </w:pPr>
    </w:p>
    <w:p>
      <w:pPr>
        <w:pStyle w:val="32"/>
        <w:spacing w:line="560" w:lineRule="exact"/>
        <w:ind w:firstLine="2388" w:firstLineChars="995"/>
        <w:rPr>
          <w:sz w:val="24"/>
          <w:szCs w:val="28"/>
        </w:rPr>
      </w:pPr>
      <w:r>
        <w:rPr>
          <w:rFonts w:hint="eastAsia" w:hAnsi="宋体"/>
          <w:sz w:val="24"/>
          <w:szCs w:val="28"/>
        </w:rPr>
        <w:t>图</w:t>
      </w:r>
      <w:r>
        <w:rPr>
          <w:rFonts w:hint="eastAsia"/>
          <w:sz w:val="24"/>
          <w:szCs w:val="28"/>
        </w:rPr>
        <w:t>2  12</w:t>
      </w:r>
      <w:r>
        <w:rPr>
          <w:rFonts w:hint="eastAsia" w:hAnsi="宋体"/>
          <w:sz w:val="24"/>
          <w:szCs w:val="28"/>
        </w:rPr>
        <w:t>芯熔配一体化托盘示意图</w:t>
      </w:r>
    </w:p>
    <w:p>
      <w:pPr>
        <w:pStyle w:val="32"/>
        <w:spacing w:line="560" w:lineRule="exact"/>
        <w:rPr>
          <w:sz w:val="24"/>
        </w:rPr>
      </w:pPr>
    </w:p>
    <w:p>
      <w:pPr>
        <w:pStyle w:val="32"/>
        <w:spacing w:line="560" w:lineRule="exact"/>
        <w:rPr>
          <w:sz w:val="24"/>
        </w:rPr>
      </w:pPr>
      <w:r>
        <w:rPr>
          <w:rFonts w:hint="eastAsia"/>
          <w:sz w:val="24"/>
          <w:highlight w:val="yellow"/>
        </w:rPr>
        <w:t>★</w:t>
      </w:r>
      <w:r>
        <w:rPr>
          <w:rFonts w:hint="eastAsia"/>
          <w:sz w:val="24"/>
        </w:rPr>
        <w:t>2.2.5 12芯终端存储托盘</w:t>
      </w:r>
    </w:p>
    <w:p>
      <w:pPr>
        <w:spacing w:line="460" w:lineRule="exact"/>
        <w:ind w:firstLine="480" w:firstLineChars="200"/>
        <w:rPr>
          <w:rFonts w:ascii="Times New Roman" w:hAnsi="Times New Roman"/>
          <w:kern w:val="21"/>
          <w:szCs w:val="28"/>
        </w:rPr>
      </w:pPr>
      <w:r>
        <w:rPr>
          <w:rFonts w:hint="eastAsia" w:ascii="Times New Roman" w:hAnsi="Times New Roman"/>
          <w:kern w:val="21"/>
          <w:szCs w:val="28"/>
        </w:rPr>
        <w:t>12芯终端存储托盘外形尺寸、材料及颜色要求与12芯熔配一体化托盘一致，可与一体化托盘互换。安装适配器后可满足单纯的终端存贮分配功能。适配器采用标准FC或SC型。</w:t>
      </w:r>
    </w:p>
    <w:p>
      <w:pPr>
        <w:pStyle w:val="32"/>
        <w:spacing w:line="460" w:lineRule="exact"/>
        <w:ind w:firstLine="480" w:firstLineChars="200"/>
        <w:rPr>
          <w:rFonts w:hAnsi="宋体"/>
          <w:sz w:val="24"/>
          <w:szCs w:val="28"/>
        </w:rPr>
      </w:pPr>
      <w:r>
        <w:rPr>
          <w:rFonts w:hint="eastAsia" w:hAnsi="宋体"/>
          <w:sz w:val="24"/>
          <w:szCs w:val="28"/>
        </w:rPr>
        <w:t>托盘材料采用阻燃材料、颜色为</w:t>
      </w:r>
      <w:r>
        <w:rPr>
          <w:rFonts w:hint="eastAsia"/>
          <w:sz w:val="24"/>
          <w:szCs w:val="28"/>
        </w:rPr>
        <w:t>PANTONE 3405U</w:t>
      </w:r>
      <w:r>
        <w:rPr>
          <w:rFonts w:hint="eastAsia" w:hAnsi="宋体"/>
          <w:sz w:val="24"/>
          <w:szCs w:val="28"/>
        </w:rPr>
        <w:t>；盖板材料采用阻燃材料、颜色为</w:t>
      </w:r>
      <w:r>
        <w:rPr>
          <w:rFonts w:hint="eastAsia"/>
          <w:sz w:val="24"/>
          <w:szCs w:val="28"/>
        </w:rPr>
        <w:t>PANTONE 427U</w:t>
      </w:r>
      <w:r>
        <w:rPr>
          <w:rFonts w:hint="eastAsia" w:hAnsi="宋体"/>
          <w:sz w:val="24"/>
          <w:szCs w:val="28"/>
        </w:rPr>
        <w:t>，采用卡扣式结构与托盘相连。</w:t>
      </w:r>
      <w:r>
        <w:rPr>
          <w:rFonts w:hint="eastAsia" w:hAnsi="宋体"/>
          <w:sz w:val="24"/>
          <w:szCs w:val="28"/>
          <w:highlight w:val="yellow"/>
        </w:rPr>
        <w:t>材料颜色可根据实际订单情况另有要求。</w:t>
      </w:r>
    </w:p>
    <w:p>
      <w:pPr>
        <w:spacing w:line="460" w:lineRule="exact"/>
        <w:ind w:firstLine="480" w:firstLineChars="200"/>
        <w:rPr>
          <w:kern w:val="21"/>
          <w:szCs w:val="28"/>
        </w:rPr>
      </w:pPr>
    </w:p>
    <w:p>
      <w:pPr>
        <w:pStyle w:val="32"/>
        <w:spacing w:line="560" w:lineRule="exact"/>
        <w:rPr>
          <w:sz w:val="24"/>
        </w:rPr>
      </w:pPr>
      <w:r>
        <w:rPr>
          <w:rFonts w:hint="eastAsia"/>
          <w:sz w:val="24"/>
        </w:rPr>
        <w:t>2.2.6 6位导轨板</w:t>
      </w:r>
    </w:p>
    <w:p>
      <w:pPr>
        <w:pStyle w:val="32"/>
        <w:spacing w:line="460" w:lineRule="exact"/>
        <w:ind w:firstLine="480" w:firstLineChars="200"/>
        <w:rPr>
          <w:sz w:val="24"/>
          <w:szCs w:val="28"/>
        </w:rPr>
      </w:pPr>
      <w:r>
        <w:rPr>
          <w:rFonts w:hint="eastAsia" w:hAnsi="宋体"/>
          <w:sz w:val="24"/>
          <w:szCs w:val="28"/>
        </w:rPr>
        <w:t>安装在机架的左右立柱上，每组（含</w:t>
      </w:r>
      <w:r>
        <w:rPr>
          <w:rFonts w:hint="eastAsia"/>
          <w:sz w:val="24"/>
          <w:szCs w:val="28"/>
        </w:rPr>
        <w:t>2</w:t>
      </w:r>
      <w:r>
        <w:rPr>
          <w:rFonts w:hint="eastAsia" w:hAnsi="宋体"/>
          <w:sz w:val="24"/>
          <w:szCs w:val="28"/>
        </w:rPr>
        <w:t>个）</w:t>
      </w:r>
      <w:r>
        <w:rPr>
          <w:rFonts w:hint="eastAsia"/>
          <w:sz w:val="24"/>
          <w:szCs w:val="28"/>
        </w:rPr>
        <w:t>6</w:t>
      </w:r>
      <w:r>
        <w:rPr>
          <w:rFonts w:hint="eastAsia" w:hAnsi="宋体"/>
          <w:sz w:val="24"/>
          <w:szCs w:val="28"/>
        </w:rPr>
        <w:t>位导轨板可安装</w:t>
      </w:r>
      <w:r>
        <w:rPr>
          <w:rFonts w:hint="eastAsia"/>
          <w:sz w:val="24"/>
          <w:szCs w:val="28"/>
        </w:rPr>
        <w:t>6</w:t>
      </w:r>
      <w:r>
        <w:rPr>
          <w:rFonts w:hint="eastAsia" w:hAnsi="宋体"/>
          <w:sz w:val="24"/>
          <w:szCs w:val="28"/>
        </w:rPr>
        <w:t>个熔配一体化托盘或</w:t>
      </w:r>
      <w:r>
        <w:rPr>
          <w:rFonts w:hint="eastAsia"/>
          <w:sz w:val="24"/>
          <w:szCs w:val="28"/>
        </w:rPr>
        <w:t>6</w:t>
      </w:r>
      <w:r>
        <w:rPr>
          <w:rFonts w:hint="eastAsia" w:hAnsi="宋体"/>
          <w:sz w:val="24"/>
          <w:szCs w:val="28"/>
        </w:rPr>
        <w:t>个</w:t>
      </w:r>
      <w:r>
        <w:rPr>
          <w:rFonts w:hint="eastAsia"/>
          <w:sz w:val="24"/>
          <w:szCs w:val="28"/>
        </w:rPr>
        <w:t>1/2×16</w:t>
      </w:r>
      <w:r>
        <w:rPr>
          <w:rFonts w:hint="eastAsia" w:hAnsi="宋体"/>
          <w:sz w:val="24"/>
          <w:szCs w:val="28"/>
        </w:rPr>
        <w:t>分路器托盘，如果安装</w:t>
      </w:r>
      <w:r>
        <w:rPr>
          <w:rFonts w:hint="eastAsia"/>
          <w:sz w:val="24"/>
          <w:szCs w:val="28"/>
        </w:rPr>
        <w:t>1/2×32</w:t>
      </w:r>
      <w:r>
        <w:rPr>
          <w:rFonts w:hint="eastAsia" w:hAnsi="宋体"/>
          <w:sz w:val="24"/>
          <w:szCs w:val="28"/>
        </w:rPr>
        <w:t>分路器托盘，最大可安装</w:t>
      </w:r>
      <w:r>
        <w:rPr>
          <w:rFonts w:hint="eastAsia"/>
          <w:sz w:val="24"/>
          <w:szCs w:val="28"/>
        </w:rPr>
        <w:t>3</w:t>
      </w:r>
      <w:r>
        <w:rPr>
          <w:rFonts w:hint="eastAsia" w:hAnsi="宋体"/>
          <w:sz w:val="24"/>
          <w:szCs w:val="28"/>
        </w:rPr>
        <w:t>个。</w:t>
      </w:r>
    </w:p>
    <w:p>
      <w:pPr>
        <w:pStyle w:val="32"/>
        <w:spacing w:line="460" w:lineRule="exact"/>
        <w:ind w:firstLine="420" w:firstLineChars="200"/>
        <w:jc w:val="center"/>
        <w:rPr>
          <w:rFonts w:hAnsi="宋体"/>
          <w:sz w:val="24"/>
          <w:szCs w:val="28"/>
        </w:rPr>
      </w:pPr>
      <w:r>
        <w:drawing>
          <wp:anchor distT="0" distB="0" distL="114300" distR="114300" simplePos="0" relativeHeight="251655168" behindDoc="0" locked="0" layoutInCell="1" allowOverlap="0">
            <wp:simplePos x="0" y="0"/>
            <wp:positionH relativeFrom="column">
              <wp:posOffset>1719580</wp:posOffset>
            </wp:positionH>
            <wp:positionV relativeFrom="paragraph">
              <wp:posOffset>84455</wp:posOffset>
            </wp:positionV>
            <wp:extent cx="2552065" cy="2825115"/>
            <wp:effectExtent l="0" t="0" r="635" b="0"/>
            <wp:wrapTopAndBottom/>
            <wp:docPr id="3143" name="图片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143"/>
                    <pic:cNvPicPr>
                      <a:picLocks noChangeAspect="1" noChangeArrowheads="1"/>
                    </pic:cNvPicPr>
                  </pic:nvPicPr>
                  <pic:blipFill>
                    <a:blip r:embed="rId13"/>
                    <a:srcRect/>
                    <a:stretch>
                      <a:fillRect/>
                    </a:stretch>
                  </pic:blipFill>
                  <pic:spPr>
                    <a:xfrm>
                      <a:off x="0" y="0"/>
                      <a:ext cx="2552065" cy="2825115"/>
                    </a:xfrm>
                    <a:prstGeom prst="rect">
                      <a:avLst/>
                    </a:prstGeom>
                    <a:noFill/>
                    <a:ln w="9525">
                      <a:noFill/>
                      <a:miter lim="800000"/>
                      <a:headEnd/>
                      <a:tailEnd/>
                    </a:ln>
                  </pic:spPr>
                </pic:pic>
              </a:graphicData>
            </a:graphic>
          </wp:anchor>
        </w:drawing>
      </w:r>
      <w:r>
        <w:rPr>
          <w:rFonts w:hint="eastAsia" w:hAnsi="宋体"/>
          <w:sz w:val="24"/>
          <w:szCs w:val="28"/>
        </w:rPr>
        <w:t xml:space="preserve">图3  </w:t>
      </w:r>
      <w:r>
        <w:rPr>
          <w:rFonts w:hint="eastAsia"/>
          <w:sz w:val="24"/>
          <w:szCs w:val="28"/>
        </w:rPr>
        <w:t>6位导轨板</w:t>
      </w:r>
    </w:p>
    <w:p>
      <w:pPr>
        <w:pStyle w:val="32"/>
        <w:spacing w:line="560" w:lineRule="exact"/>
        <w:rPr>
          <w:sz w:val="24"/>
        </w:rPr>
      </w:pPr>
      <w:r>
        <w:rPr>
          <w:rFonts w:hint="eastAsia"/>
          <w:sz w:val="24"/>
        </w:rPr>
        <w:t>2.2.7 1/2×16分路器托盘</w:t>
      </w:r>
    </w:p>
    <w:p>
      <w:pPr>
        <w:pStyle w:val="32"/>
        <w:spacing w:line="460" w:lineRule="exact"/>
        <w:ind w:firstLine="480" w:firstLineChars="200"/>
        <w:rPr>
          <w:sz w:val="24"/>
          <w:szCs w:val="28"/>
        </w:rPr>
      </w:pPr>
      <w:r>
        <w:rPr>
          <w:rFonts w:hint="eastAsia"/>
          <w:sz w:val="24"/>
          <w:szCs w:val="28"/>
        </w:rPr>
        <w:t>分路器托盘外形尺寸、材料及颜色要求与12芯熔配一体化托盘一致，可与一体化托盘互换。每个托盘可安装18个条形FC或SC型适配器，最大满足2×16分纤模式。</w:t>
      </w:r>
    </w:p>
    <w:p>
      <w:pPr>
        <w:pStyle w:val="32"/>
        <w:spacing w:line="460" w:lineRule="exact"/>
        <w:ind w:firstLine="560" w:firstLineChars="200"/>
        <w:rPr>
          <w:sz w:val="24"/>
          <w:szCs w:val="28"/>
        </w:rPr>
      </w:pPr>
      <w:r>
        <w:rPr>
          <w:rFonts w:hint="eastAsia" w:ascii="宋体" w:hAnsi="宋体"/>
          <w:color w:val="548DD4"/>
          <w:sz w:val="28"/>
          <w:szCs w:val="28"/>
        </w:rPr>
        <w:drawing>
          <wp:anchor distT="0" distB="0" distL="114300" distR="114300" simplePos="0" relativeHeight="251653120" behindDoc="0" locked="0" layoutInCell="1" allowOverlap="1">
            <wp:simplePos x="0" y="0"/>
            <wp:positionH relativeFrom="column">
              <wp:posOffset>1371600</wp:posOffset>
            </wp:positionH>
            <wp:positionV relativeFrom="paragraph">
              <wp:posOffset>396240</wp:posOffset>
            </wp:positionV>
            <wp:extent cx="3103880" cy="2717800"/>
            <wp:effectExtent l="19050" t="0" r="0" b="0"/>
            <wp:wrapTopAndBottom/>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14"/>
                    <a:srcRect/>
                    <a:stretch>
                      <a:fillRect/>
                    </a:stretch>
                  </pic:blipFill>
                  <pic:spPr>
                    <a:xfrm>
                      <a:off x="0" y="0"/>
                      <a:ext cx="3103880" cy="2717800"/>
                    </a:xfrm>
                    <a:prstGeom prst="rect">
                      <a:avLst/>
                    </a:prstGeom>
                    <a:noFill/>
                    <a:ln w="9525">
                      <a:noFill/>
                      <a:miter lim="800000"/>
                      <a:headEnd/>
                      <a:tailEnd/>
                    </a:ln>
                  </pic:spPr>
                </pic:pic>
              </a:graphicData>
            </a:graphic>
          </wp:anchor>
        </w:drawing>
      </w:r>
      <w:r>
        <w:rPr>
          <w:rFonts w:hint="eastAsia"/>
          <w:sz w:val="24"/>
          <w:szCs w:val="28"/>
        </w:rPr>
        <w:t>示意图见图4：</w:t>
      </w:r>
    </w:p>
    <w:p>
      <w:pPr>
        <w:pStyle w:val="32"/>
        <w:spacing w:line="560" w:lineRule="exact"/>
        <w:jc w:val="center"/>
        <w:rPr>
          <w:rFonts w:hAnsi="宋体"/>
          <w:sz w:val="24"/>
          <w:szCs w:val="28"/>
        </w:rPr>
      </w:pPr>
      <w:r>
        <w:rPr>
          <w:rFonts w:hint="eastAsia" w:hAnsi="宋体"/>
          <w:sz w:val="24"/>
          <w:szCs w:val="28"/>
        </w:rPr>
        <w:t>图4  1/2×16分路器托盘</w:t>
      </w:r>
    </w:p>
    <w:p>
      <w:pPr>
        <w:pStyle w:val="32"/>
        <w:spacing w:line="560" w:lineRule="exact"/>
        <w:rPr>
          <w:sz w:val="24"/>
        </w:rPr>
      </w:pPr>
      <w:r>
        <w:rPr>
          <w:rFonts w:hint="eastAsia"/>
          <w:sz w:val="24"/>
        </w:rPr>
        <w:t>2.2.8 1/2×32分路器托盘</w:t>
      </w:r>
    </w:p>
    <w:p>
      <w:pPr>
        <w:pStyle w:val="32"/>
        <w:spacing w:line="460" w:lineRule="exact"/>
        <w:ind w:firstLine="480" w:firstLineChars="200"/>
        <w:rPr>
          <w:sz w:val="24"/>
          <w:szCs w:val="28"/>
        </w:rPr>
      </w:pPr>
      <w:r>
        <w:rPr>
          <w:rFonts w:hint="eastAsia"/>
          <w:sz w:val="24"/>
          <w:szCs w:val="28"/>
        </w:rPr>
        <w:t>分路器托盘高度为50mm，为2个12芯熔配一体化托盘的高度。其余外形尺寸、材料及颜色要求与12芯熔配一体化托盘一致。每个托盘可安装34个条形FC或SC型适配器，最大满足2×32分纤模式。</w:t>
      </w:r>
    </w:p>
    <w:p>
      <w:pPr>
        <w:pStyle w:val="32"/>
        <w:spacing w:line="460" w:lineRule="exact"/>
        <w:ind w:firstLine="480" w:firstLineChars="200"/>
        <w:rPr>
          <w:sz w:val="24"/>
          <w:szCs w:val="28"/>
        </w:rPr>
      </w:pPr>
      <w:r>
        <w:rPr>
          <w:rFonts w:hint="eastAsia"/>
          <w:sz w:val="24"/>
          <w:szCs w:val="28"/>
        </w:rPr>
        <w:t>示意图见图5：</w:t>
      </w:r>
    </w:p>
    <w:p>
      <w:pPr>
        <w:pStyle w:val="32"/>
        <w:spacing w:line="460" w:lineRule="exact"/>
        <w:ind w:firstLine="560" w:firstLineChars="200"/>
        <w:jc w:val="center"/>
        <w:rPr>
          <w:rFonts w:hAnsi="宋体"/>
          <w:sz w:val="24"/>
          <w:szCs w:val="28"/>
        </w:rPr>
      </w:pPr>
      <w:r>
        <w:rPr>
          <w:rFonts w:hint="eastAsia" w:ascii="宋体" w:hAnsi="宋体"/>
          <w:sz w:val="28"/>
          <w:szCs w:val="28"/>
        </w:rPr>
        <w:drawing>
          <wp:anchor distT="0" distB="0" distL="114300" distR="114300" simplePos="0" relativeHeight="251654144" behindDoc="0" locked="0" layoutInCell="1" allowOverlap="1">
            <wp:simplePos x="0" y="0"/>
            <wp:positionH relativeFrom="column">
              <wp:posOffset>800100</wp:posOffset>
            </wp:positionH>
            <wp:positionV relativeFrom="paragraph">
              <wp:posOffset>213360</wp:posOffset>
            </wp:positionV>
            <wp:extent cx="3886200" cy="2990850"/>
            <wp:effectExtent l="19050" t="0" r="0" b="0"/>
            <wp:wrapTopAndBottom/>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15">
                      <a:clrChange>
                        <a:clrFrom>
                          <a:srgbClr val="FFFFFF"/>
                        </a:clrFrom>
                        <a:clrTo>
                          <a:srgbClr val="FFFFFF">
                            <a:alpha val="0"/>
                          </a:srgbClr>
                        </a:clrTo>
                      </a:clrChange>
                    </a:blip>
                    <a:srcRect/>
                    <a:stretch>
                      <a:fillRect/>
                    </a:stretch>
                  </pic:blipFill>
                  <pic:spPr>
                    <a:xfrm>
                      <a:off x="0" y="0"/>
                      <a:ext cx="3886200" cy="2990850"/>
                    </a:xfrm>
                    <a:prstGeom prst="rect">
                      <a:avLst/>
                    </a:prstGeom>
                    <a:noFill/>
                    <a:ln w="9525">
                      <a:noFill/>
                      <a:miter lim="800000"/>
                      <a:headEnd/>
                      <a:tailEnd/>
                    </a:ln>
                  </pic:spPr>
                </pic:pic>
              </a:graphicData>
            </a:graphic>
          </wp:anchor>
        </w:drawing>
      </w:r>
      <w:r>
        <w:rPr>
          <w:rFonts w:hint="eastAsia" w:hAnsi="宋体"/>
          <w:sz w:val="24"/>
          <w:szCs w:val="28"/>
        </w:rPr>
        <w:t>图5  1/2×32分路器托盘</w:t>
      </w:r>
    </w:p>
    <w:p>
      <w:pPr>
        <w:pStyle w:val="32"/>
        <w:spacing w:line="460" w:lineRule="exact"/>
        <w:ind w:firstLine="480" w:firstLineChars="200"/>
        <w:rPr>
          <w:sz w:val="24"/>
          <w:szCs w:val="28"/>
        </w:rPr>
      </w:pPr>
      <w:r>
        <w:rPr>
          <w:rFonts w:hint="eastAsia"/>
          <w:sz w:val="24"/>
          <w:szCs w:val="28"/>
        </w:rPr>
        <w:t>2.2.9  纤芯标识</w:t>
      </w:r>
    </w:p>
    <w:p>
      <w:pPr>
        <w:pStyle w:val="32"/>
        <w:spacing w:line="460" w:lineRule="exact"/>
        <w:ind w:firstLine="480" w:firstLineChars="200"/>
        <w:rPr>
          <w:sz w:val="24"/>
          <w:szCs w:val="28"/>
        </w:rPr>
      </w:pPr>
      <w:r>
        <w:rPr>
          <w:rFonts w:hint="eastAsia"/>
          <w:sz w:val="24"/>
          <w:szCs w:val="28"/>
        </w:rPr>
        <w:t xml:space="preserve">  12芯熔配一体化托盘纤芯标识</w:t>
      </w:r>
    </w:p>
    <w:p>
      <w:pPr>
        <w:pStyle w:val="32"/>
        <w:jc w:val="center"/>
        <w:rPr>
          <w:rFonts w:ascii="宋体" w:hAnsi="宋体"/>
        </w:rPr>
      </w:pPr>
      <w:r>
        <w:rPr>
          <w:rFonts w:hint="eastAsia" w:ascii="宋体" w:hAnsi="宋体"/>
        </w:rPr>
        <w:drawing>
          <wp:inline distT="0" distB="0" distL="0" distR="0">
            <wp:extent cx="5133975" cy="3038475"/>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a:srcRect b="25706"/>
                    <a:stretch>
                      <a:fillRect/>
                    </a:stretch>
                  </pic:blipFill>
                  <pic:spPr>
                    <a:xfrm>
                      <a:off x="0" y="0"/>
                      <a:ext cx="5133975" cy="3038475"/>
                    </a:xfrm>
                    <a:prstGeom prst="rect">
                      <a:avLst/>
                    </a:prstGeom>
                    <a:noFill/>
                    <a:ln w="9525">
                      <a:noFill/>
                      <a:miter lim="800000"/>
                      <a:headEnd/>
                      <a:tailEnd/>
                    </a:ln>
                  </pic:spPr>
                </pic:pic>
              </a:graphicData>
            </a:graphic>
          </wp:inline>
        </w:drawing>
      </w:r>
    </w:p>
    <w:p>
      <w:pPr>
        <w:pStyle w:val="32"/>
        <w:spacing w:line="560" w:lineRule="exact"/>
        <w:ind w:firstLine="470" w:firstLineChars="196"/>
        <w:jc w:val="center"/>
        <w:rPr>
          <w:rFonts w:hAnsi="宋体"/>
          <w:sz w:val="24"/>
          <w:szCs w:val="28"/>
        </w:rPr>
      </w:pPr>
      <w:r>
        <w:rPr>
          <w:rFonts w:hint="eastAsia" w:hAnsi="宋体"/>
          <w:sz w:val="24"/>
          <w:szCs w:val="28"/>
        </w:rPr>
        <w:t>图6  纤芯标识</w:t>
      </w:r>
    </w:p>
    <w:p>
      <w:pPr>
        <w:pStyle w:val="32"/>
        <w:spacing w:line="460" w:lineRule="exact"/>
        <w:ind w:firstLine="480" w:firstLineChars="200"/>
        <w:rPr>
          <w:sz w:val="24"/>
          <w:szCs w:val="28"/>
        </w:rPr>
      </w:pPr>
      <w:r>
        <w:rPr>
          <w:rFonts w:hint="eastAsia"/>
          <w:sz w:val="24"/>
          <w:szCs w:val="28"/>
        </w:rPr>
        <w:t>1/2×16路分路器托盘纤芯标识</w:t>
      </w: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460" w:lineRule="exact"/>
        <w:ind w:firstLine="482" w:firstLineChars="200"/>
        <w:rPr>
          <w:sz w:val="24"/>
          <w:szCs w:val="28"/>
        </w:rPr>
      </w:pPr>
      <w:r>
        <w:rPr>
          <w:b/>
          <w:sz w:val="24"/>
        </w:rPr>
        <w:drawing>
          <wp:anchor distT="0" distB="0" distL="114300" distR="114300" simplePos="0" relativeHeight="251661312" behindDoc="0" locked="0" layoutInCell="1" allowOverlap="1">
            <wp:simplePos x="0" y="0"/>
            <wp:positionH relativeFrom="column">
              <wp:posOffset>335915</wp:posOffset>
            </wp:positionH>
            <wp:positionV relativeFrom="paragraph">
              <wp:posOffset>44450</wp:posOffset>
            </wp:positionV>
            <wp:extent cx="4686300" cy="2647950"/>
            <wp:effectExtent l="0" t="0" r="0" b="0"/>
            <wp:wrapNone/>
            <wp:docPr id="3151" name="图片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 name="图片 3151"/>
                    <pic:cNvPicPr>
                      <a:picLocks noChangeAspect="1" noChangeArrowheads="1"/>
                    </pic:cNvPicPr>
                  </pic:nvPicPr>
                  <pic:blipFill>
                    <a:blip r:embed="rId17"/>
                    <a:srcRect b="30132"/>
                    <a:stretch>
                      <a:fillRect/>
                    </a:stretch>
                  </pic:blipFill>
                  <pic:spPr>
                    <a:xfrm>
                      <a:off x="0" y="0"/>
                      <a:ext cx="4686300" cy="2647950"/>
                    </a:xfrm>
                    <a:prstGeom prst="rect">
                      <a:avLst/>
                    </a:prstGeom>
                    <a:noFill/>
                    <a:ln w="9525">
                      <a:noFill/>
                      <a:miter lim="800000"/>
                      <a:headEnd/>
                      <a:tailEnd/>
                    </a:ln>
                  </pic:spPr>
                </pic:pic>
              </a:graphicData>
            </a:graphic>
          </wp:anchor>
        </w:drawing>
      </w: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460" w:lineRule="exact"/>
        <w:ind w:firstLine="480" w:firstLineChars="200"/>
        <w:rPr>
          <w:sz w:val="24"/>
          <w:szCs w:val="28"/>
        </w:rPr>
      </w:pPr>
    </w:p>
    <w:p>
      <w:pPr>
        <w:pStyle w:val="32"/>
        <w:spacing w:line="560" w:lineRule="exact"/>
        <w:ind w:firstLine="470" w:firstLineChars="196"/>
        <w:jc w:val="center"/>
        <w:rPr>
          <w:rFonts w:hAnsi="宋体"/>
          <w:sz w:val="24"/>
          <w:szCs w:val="28"/>
        </w:rPr>
      </w:pPr>
      <w:r>
        <w:rPr>
          <w:rFonts w:hint="eastAsia" w:hAnsi="宋体"/>
          <w:sz w:val="24"/>
          <w:szCs w:val="28"/>
        </w:rPr>
        <w:t>图7  1/2×16路分路器托盘纤芯标识</w:t>
      </w:r>
    </w:p>
    <w:p>
      <w:pPr>
        <w:pStyle w:val="32"/>
        <w:spacing w:line="560" w:lineRule="exact"/>
        <w:ind w:left="558"/>
        <w:rPr>
          <w:sz w:val="24"/>
          <w:szCs w:val="28"/>
        </w:rPr>
      </w:pPr>
      <w:r>
        <w:rPr>
          <w:rFonts w:hint="eastAsia"/>
          <w:sz w:val="24"/>
          <w:szCs w:val="28"/>
        </w:rPr>
        <w:t>1/2×32路分路器托盘纤芯标识</w:t>
      </w:r>
    </w:p>
    <w:p>
      <w:pPr>
        <w:pStyle w:val="32"/>
        <w:spacing w:line="560" w:lineRule="exact"/>
        <w:ind w:left="558"/>
        <w:rPr>
          <w:sz w:val="24"/>
          <w:szCs w:val="28"/>
        </w:rPr>
      </w:pPr>
      <w:r>
        <w:rPr>
          <w:rFonts w:hint="eastAsia"/>
          <w:sz w:val="24"/>
          <w:szCs w:val="28"/>
        </w:rPr>
        <w:drawing>
          <wp:anchor distT="0" distB="0" distL="114300" distR="114300" simplePos="0" relativeHeight="251660288" behindDoc="0" locked="0" layoutInCell="1" allowOverlap="1">
            <wp:simplePos x="0" y="0"/>
            <wp:positionH relativeFrom="column">
              <wp:posOffset>339725</wp:posOffset>
            </wp:positionH>
            <wp:positionV relativeFrom="paragraph">
              <wp:posOffset>17145</wp:posOffset>
            </wp:positionV>
            <wp:extent cx="4800600" cy="2946400"/>
            <wp:effectExtent l="19050" t="0" r="0" b="0"/>
            <wp:wrapNone/>
            <wp:docPr id="3150" name="图片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 name="图片 3150"/>
                    <pic:cNvPicPr>
                      <a:picLocks noChangeAspect="1" noChangeArrowheads="1"/>
                    </pic:cNvPicPr>
                  </pic:nvPicPr>
                  <pic:blipFill>
                    <a:blip r:embed="rId18"/>
                    <a:srcRect b="30299"/>
                    <a:stretch>
                      <a:fillRect/>
                    </a:stretch>
                  </pic:blipFill>
                  <pic:spPr>
                    <a:xfrm>
                      <a:off x="0" y="0"/>
                      <a:ext cx="4800600" cy="2946400"/>
                    </a:xfrm>
                    <a:prstGeom prst="rect">
                      <a:avLst/>
                    </a:prstGeom>
                    <a:noFill/>
                    <a:ln w="9525">
                      <a:noFill/>
                      <a:miter lim="800000"/>
                      <a:headEnd/>
                      <a:tailEnd/>
                    </a:ln>
                  </pic:spPr>
                </pic:pic>
              </a:graphicData>
            </a:graphic>
          </wp:anchor>
        </w:drawing>
      </w:r>
    </w:p>
    <w:p>
      <w:pPr>
        <w:pStyle w:val="32"/>
        <w:spacing w:line="560" w:lineRule="exact"/>
        <w:ind w:left="558"/>
        <w:rPr>
          <w:sz w:val="24"/>
          <w:szCs w:val="28"/>
        </w:rPr>
      </w:pPr>
    </w:p>
    <w:p>
      <w:pPr>
        <w:pStyle w:val="32"/>
        <w:spacing w:line="560" w:lineRule="exact"/>
        <w:ind w:left="558"/>
        <w:rPr>
          <w:sz w:val="24"/>
          <w:szCs w:val="28"/>
        </w:rPr>
      </w:pPr>
    </w:p>
    <w:p>
      <w:pPr>
        <w:pStyle w:val="32"/>
        <w:spacing w:line="560" w:lineRule="exact"/>
        <w:ind w:left="558"/>
        <w:rPr>
          <w:sz w:val="24"/>
          <w:szCs w:val="28"/>
        </w:rPr>
      </w:pPr>
    </w:p>
    <w:p>
      <w:pPr>
        <w:pStyle w:val="32"/>
        <w:spacing w:line="560" w:lineRule="exact"/>
        <w:ind w:left="558"/>
        <w:rPr>
          <w:sz w:val="24"/>
          <w:szCs w:val="28"/>
        </w:rPr>
      </w:pPr>
    </w:p>
    <w:p>
      <w:pPr>
        <w:pStyle w:val="32"/>
        <w:spacing w:line="560" w:lineRule="exact"/>
        <w:ind w:left="558"/>
        <w:rPr>
          <w:sz w:val="24"/>
          <w:szCs w:val="28"/>
        </w:rPr>
      </w:pPr>
    </w:p>
    <w:p>
      <w:pPr>
        <w:pStyle w:val="32"/>
        <w:spacing w:line="560" w:lineRule="exact"/>
        <w:ind w:left="558"/>
        <w:rPr>
          <w:sz w:val="24"/>
          <w:szCs w:val="28"/>
        </w:rPr>
      </w:pPr>
    </w:p>
    <w:p>
      <w:pPr>
        <w:pStyle w:val="32"/>
        <w:spacing w:line="560" w:lineRule="exact"/>
        <w:ind w:left="558"/>
        <w:rPr>
          <w:sz w:val="24"/>
          <w:szCs w:val="28"/>
        </w:rPr>
      </w:pPr>
    </w:p>
    <w:p>
      <w:pPr>
        <w:pStyle w:val="32"/>
        <w:spacing w:line="560" w:lineRule="exact"/>
        <w:ind w:firstLine="470" w:firstLineChars="196"/>
        <w:jc w:val="center"/>
        <w:rPr>
          <w:rFonts w:hAnsi="宋体"/>
          <w:sz w:val="24"/>
          <w:szCs w:val="28"/>
        </w:rPr>
      </w:pPr>
      <w:r>
        <w:rPr>
          <w:rFonts w:hint="eastAsia" w:hAnsi="宋体"/>
          <w:sz w:val="24"/>
          <w:szCs w:val="28"/>
        </w:rPr>
        <w:t>图8  1/2×32路分路器托盘纤芯标识</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7" w:name="_Toc5989"/>
      <w:r>
        <w:rPr>
          <w:rFonts w:hint="eastAsia" w:ascii="Times New Roman" w:hAnsi="Times New Roman" w:eastAsia="宋体"/>
          <w:b w:val="0"/>
          <w:sz w:val="24"/>
        </w:rPr>
        <w:t>3 外观结构要求</w:t>
      </w:r>
      <w:bookmarkEnd w:id="7"/>
    </w:p>
    <w:p>
      <w:pPr>
        <w:pStyle w:val="2"/>
        <w:kinsoku/>
        <w:overflowPunct/>
        <w:autoSpaceDE/>
        <w:autoSpaceDN/>
        <w:snapToGrid/>
        <w:spacing w:before="0" w:line="560" w:lineRule="exact"/>
        <w:textAlignment w:val="baseline"/>
        <w:rPr>
          <w:rFonts w:ascii="Times New Roman" w:hAnsi="Times New Roman" w:eastAsia="宋体"/>
          <w:b w:val="0"/>
          <w:sz w:val="24"/>
        </w:rPr>
      </w:pPr>
      <w:bookmarkStart w:id="8" w:name="_Toc5801"/>
      <w:r>
        <w:rPr>
          <w:rFonts w:hint="eastAsia" w:ascii="Times New Roman" w:hAnsi="Times New Roman" w:eastAsia="宋体"/>
          <w:b w:val="0"/>
          <w:sz w:val="24"/>
        </w:rPr>
        <w:t>3.1 总体描述</w:t>
      </w:r>
      <w:bookmarkEnd w:id="8"/>
    </w:p>
    <w:p>
      <w:pPr>
        <w:spacing w:line="460" w:lineRule="exact"/>
        <w:rPr>
          <w:rFonts w:ascii="Times New Roman" w:hAnsi="Times New Roman"/>
          <w:kern w:val="0"/>
        </w:rPr>
      </w:pPr>
      <w:bookmarkStart w:id="9" w:name="_Toc362270026"/>
      <w:r>
        <w:rPr>
          <w:rFonts w:hint="eastAsia" w:ascii="Times New Roman" w:hAnsi="Times New Roman"/>
          <w:kern w:val="0"/>
        </w:rPr>
        <w:t>3.1.1 机架主要由骨架、左立柱、右立柱、左前门、右前门、光缆固定开剥单元、72芯光纤熔配子框、分路器托盘及12芯熔配一体化托盘等组成（840×300机架可配72芯终端框可满足单纯的终端存贮分配功能）。</w:t>
      </w:r>
      <w:bookmarkEnd w:id="9"/>
    </w:p>
    <w:p>
      <w:pPr>
        <w:spacing w:line="460" w:lineRule="exact"/>
        <w:rPr>
          <w:rFonts w:ascii="Times New Roman" w:hAnsi="Times New Roman"/>
          <w:kern w:val="0"/>
        </w:rPr>
      </w:pPr>
      <w:bookmarkStart w:id="10" w:name="_Toc362270027"/>
      <w:r>
        <w:rPr>
          <w:rFonts w:hint="eastAsia" w:ascii="Times New Roman" w:hAnsi="Times New Roman"/>
          <w:kern w:val="0"/>
        </w:rPr>
        <w:t>3.1.2 熔配一体化托盘和终端存储托盘可方便更换适配器，考虑到防尘和运输等因素，托盘的盖板应能覆盖到适配器及熔纤区。</w:t>
      </w:r>
      <w:bookmarkEnd w:id="10"/>
    </w:p>
    <w:p>
      <w:pPr>
        <w:pStyle w:val="32"/>
        <w:spacing w:line="460" w:lineRule="exact"/>
        <w:rPr>
          <w:sz w:val="24"/>
          <w:szCs w:val="28"/>
        </w:rPr>
      </w:pPr>
      <w:r>
        <w:rPr>
          <w:rFonts w:hint="eastAsia"/>
          <w:sz w:val="24"/>
          <w:szCs w:val="28"/>
        </w:rPr>
        <w:t xml:space="preserve">3.1.3  </w:t>
      </w:r>
      <w:r>
        <w:rPr>
          <w:rFonts w:hint="eastAsia" w:hAnsi="宋体"/>
          <w:sz w:val="24"/>
          <w:szCs w:val="28"/>
        </w:rPr>
        <w:t>840X300机架架体左边为过纤区和光纤存贮区（600X300机架光纤存贮区位于72芯子框下方），右边为外缆引入区。</w:t>
      </w:r>
    </w:p>
    <w:p>
      <w:pPr>
        <w:spacing w:line="460" w:lineRule="exact"/>
        <w:rPr>
          <w:rFonts w:ascii="Times New Roman" w:hAnsi="Times New Roman"/>
          <w:kern w:val="0"/>
        </w:rPr>
      </w:pPr>
      <w:bookmarkStart w:id="11" w:name="_Toc249807659"/>
      <w:bookmarkStart w:id="12" w:name="_Toc362270028"/>
      <w:r>
        <w:rPr>
          <w:rFonts w:hint="eastAsia" w:ascii="Times New Roman" w:hAnsi="Times New Roman"/>
          <w:kern w:val="0"/>
        </w:rPr>
        <w:t>3.1.4 机架</w:t>
      </w:r>
      <w:bookmarkEnd w:id="11"/>
      <w:r>
        <w:rPr>
          <w:rFonts w:hint="eastAsia" w:ascii="Times New Roman" w:hAnsi="Times New Roman"/>
          <w:kern w:val="0"/>
        </w:rPr>
        <w:t>主体框架</w:t>
      </w:r>
      <w:bookmarkEnd w:id="12"/>
    </w:p>
    <w:p>
      <w:pPr>
        <w:spacing w:line="460" w:lineRule="exact"/>
        <w:rPr>
          <w:rFonts w:ascii="Times New Roman" w:hAnsi="Times New Roman"/>
          <w:kern w:val="0"/>
        </w:rPr>
      </w:pPr>
      <w:bookmarkStart w:id="13" w:name="_Toc362270029"/>
      <w:r>
        <w:rPr>
          <w:rFonts w:hint="eastAsia" w:ascii="Times New Roman" w:hAnsi="Times New Roman"/>
          <w:kern w:val="0"/>
        </w:rPr>
        <w:t>3.1.4.1 焊接必需牢固可靠，焊缝磨平。</w:t>
      </w:r>
      <w:bookmarkEnd w:id="13"/>
    </w:p>
    <w:p>
      <w:pPr>
        <w:spacing w:line="460" w:lineRule="exact"/>
        <w:rPr>
          <w:rFonts w:ascii="Times New Roman" w:hAnsi="Times New Roman"/>
          <w:kern w:val="0"/>
        </w:rPr>
      </w:pPr>
      <w:bookmarkStart w:id="14" w:name="_Toc362270030"/>
      <w:r>
        <w:rPr>
          <w:rFonts w:hint="eastAsia" w:ascii="Times New Roman" w:hAnsi="Times New Roman"/>
          <w:kern w:val="0"/>
        </w:rPr>
        <w:t>3.1.4.2 应开有上下进缆孔和上出纤孔。</w:t>
      </w:r>
      <w:bookmarkEnd w:id="14"/>
    </w:p>
    <w:p>
      <w:pPr>
        <w:spacing w:line="460" w:lineRule="exact"/>
        <w:rPr>
          <w:szCs w:val="28"/>
        </w:rPr>
      </w:pPr>
      <w:bookmarkStart w:id="15" w:name="_Toc362270031"/>
      <w:r>
        <w:rPr>
          <w:rFonts w:hint="eastAsia" w:ascii="Times New Roman" w:hAnsi="Times New Roman"/>
          <w:kern w:val="0"/>
        </w:rPr>
        <w:t>3.1.4.3</w:t>
      </w:r>
      <w:r>
        <w:rPr>
          <w:rFonts w:hint="eastAsia"/>
          <w:szCs w:val="28"/>
        </w:rPr>
        <w:t>顶底应各有一个M8接地铜螺母，供机架接地用；</w:t>
      </w:r>
    </w:p>
    <w:p>
      <w:pPr>
        <w:pStyle w:val="32"/>
        <w:spacing w:line="460" w:lineRule="exact"/>
        <w:rPr>
          <w:kern w:val="0"/>
          <w:sz w:val="24"/>
        </w:rPr>
      </w:pPr>
      <w:r>
        <w:rPr>
          <w:rFonts w:hint="eastAsia"/>
          <w:kern w:val="0"/>
          <w:sz w:val="24"/>
        </w:rPr>
        <w:t>3.1.4.4顶部应有2个Ø8.5mm的圆孔，供机架固定用。底部应有4个12×20mm的腰圆孔，供机架固定用。</w:t>
      </w:r>
      <w:bookmarkEnd w:id="15"/>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6" w:name="_Toc6580"/>
      <w:r>
        <w:rPr>
          <w:rFonts w:hint="eastAsia" w:ascii="Times New Roman" w:hAnsi="Times New Roman" w:eastAsia="宋体"/>
          <w:b w:val="0"/>
          <w:sz w:val="24"/>
        </w:rPr>
        <w:t>3.2 840×300mm机架</w:t>
      </w:r>
      <w:bookmarkEnd w:id="16"/>
    </w:p>
    <w:p>
      <w:pPr>
        <w:spacing w:line="460" w:lineRule="exact"/>
        <w:rPr>
          <w:rFonts w:ascii="Times New Roman" w:hAnsi="Times New Roman"/>
          <w:kern w:val="0"/>
        </w:rPr>
      </w:pPr>
      <w:bookmarkStart w:id="17" w:name="_Toc249807656"/>
      <w:bookmarkStart w:id="18" w:name="_Toc310368999"/>
      <w:bookmarkStart w:id="19" w:name="_Toc310369348"/>
      <w:bookmarkStart w:id="20" w:name="_Toc362270033"/>
      <w:r>
        <w:rPr>
          <w:rFonts w:hint="eastAsia" w:ascii="Times New Roman" w:hAnsi="Times New Roman"/>
          <w:kern w:val="0"/>
        </w:rPr>
        <w:t>3.2.1 走纤示意图</w:t>
      </w:r>
      <w:bookmarkEnd w:id="17"/>
      <w:bookmarkEnd w:id="18"/>
      <w:bookmarkEnd w:id="19"/>
      <w:bookmarkEnd w:id="20"/>
    </w:p>
    <w:p>
      <w:pPr>
        <w:pStyle w:val="32"/>
        <w:spacing w:line="460" w:lineRule="exact"/>
        <w:ind w:firstLine="480" w:firstLineChars="200"/>
        <w:rPr>
          <w:rFonts w:hAnsi="宋体"/>
          <w:sz w:val="24"/>
          <w:szCs w:val="28"/>
        </w:rPr>
      </w:pPr>
    </w:p>
    <w:bookmarkEnd w:id="5"/>
    <w:bookmarkEnd w:id="6"/>
    <w:p>
      <w:pPr>
        <w:pStyle w:val="32"/>
        <w:spacing w:line="460" w:lineRule="exact"/>
        <w:ind w:firstLine="420" w:firstLineChars="200"/>
      </w:pPr>
      <w:r>
        <w:drawing>
          <wp:anchor distT="0" distB="0" distL="114300" distR="114300" simplePos="0" relativeHeight="251658240" behindDoc="0" locked="0" layoutInCell="1" allowOverlap="0">
            <wp:simplePos x="0" y="0"/>
            <wp:positionH relativeFrom="column">
              <wp:posOffset>387985</wp:posOffset>
            </wp:positionH>
            <wp:positionV relativeFrom="paragraph">
              <wp:posOffset>132715</wp:posOffset>
            </wp:positionV>
            <wp:extent cx="5281295" cy="7565390"/>
            <wp:effectExtent l="0" t="0" r="0" b="0"/>
            <wp:wrapTopAndBottom/>
            <wp:docPr id="3148" name="图片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 name="图片 3148"/>
                    <pic:cNvPicPr>
                      <a:picLocks noChangeAspect="1" noChangeArrowheads="1"/>
                    </pic:cNvPicPr>
                  </pic:nvPicPr>
                  <pic:blipFill>
                    <a:blip r:embed="rId19"/>
                    <a:srcRect/>
                    <a:stretch>
                      <a:fillRect/>
                    </a:stretch>
                  </pic:blipFill>
                  <pic:spPr>
                    <a:xfrm>
                      <a:off x="0" y="0"/>
                      <a:ext cx="5281295" cy="7565390"/>
                    </a:xfrm>
                    <a:prstGeom prst="rect">
                      <a:avLst/>
                    </a:prstGeom>
                    <a:noFill/>
                    <a:ln w="9525">
                      <a:noFill/>
                      <a:miter lim="800000"/>
                      <a:headEnd/>
                      <a:tailEnd/>
                    </a:ln>
                  </pic:spPr>
                </pic:pic>
              </a:graphicData>
            </a:graphic>
          </wp:anchor>
        </w:drawing>
      </w:r>
    </w:p>
    <w:p>
      <w:pPr>
        <w:jc w:val="center"/>
        <w:rPr>
          <w:szCs w:val="28"/>
        </w:rPr>
      </w:pPr>
      <w:bookmarkStart w:id="21" w:name="_Toc310369000"/>
      <w:bookmarkStart w:id="22" w:name="_Toc310369349"/>
      <w:r>
        <w:rPr>
          <w:rFonts w:hint="eastAsia"/>
          <w:szCs w:val="28"/>
        </w:rPr>
        <w:t>图</w:t>
      </w:r>
      <w:r>
        <w:rPr>
          <w:rFonts w:hint="eastAsia" w:ascii="Times New Roman" w:hAnsi="Times New Roman"/>
          <w:kern w:val="21"/>
        </w:rPr>
        <w:t>9  机架走</w:t>
      </w:r>
      <w:r>
        <w:rPr>
          <w:rFonts w:hint="eastAsia"/>
          <w:szCs w:val="28"/>
        </w:rPr>
        <w:t>纤示意图</w:t>
      </w:r>
      <w:bookmarkEnd w:id="21"/>
      <w:bookmarkEnd w:id="22"/>
      <w:r>
        <w:rPr>
          <w:rFonts w:hint="eastAsia"/>
          <w:szCs w:val="28"/>
        </w:rPr>
        <w:t>（左出纤）</w:t>
      </w:r>
    </w:p>
    <w:p>
      <w:pPr>
        <w:spacing w:line="460" w:lineRule="exact"/>
        <w:rPr>
          <w:rFonts w:ascii="Times New Roman" w:hAnsi="Times New Roman"/>
          <w:kern w:val="0"/>
        </w:rPr>
      </w:pPr>
      <w:r>
        <w:rPr>
          <w:rFonts w:hint="eastAsia"/>
        </w:rPr>
        <w:br w:type="page"/>
      </w:r>
      <w:bookmarkStart w:id="23" w:name="_Toc360781559"/>
      <w:bookmarkStart w:id="24" w:name="_Toc310369003"/>
      <w:bookmarkStart w:id="25" w:name="_Toc310369352"/>
      <w:bookmarkStart w:id="26" w:name="_Toc249807661"/>
      <w:r>
        <w:rPr>
          <w:rFonts w:hint="eastAsia" w:ascii="Times New Roman" w:hAnsi="Times New Roman"/>
          <w:kern w:val="0"/>
        </w:rPr>
        <w:t>3.2.2 机架结构示意图</w:t>
      </w:r>
      <w:bookmarkEnd w:id="23"/>
    </w:p>
    <w:p>
      <w:pPr>
        <w:jc w:val="center"/>
        <w:rPr>
          <w:szCs w:val="28"/>
        </w:rPr>
      </w:pPr>
      <w:r>
        <w:drawing>
          <wp:anchor distT="0" distB="0" distL="114300" distR="114300" simplePos="0" relativeHeight="251656192" behindDoc="0" locked="0" layoutInCell="1" allowOverlap="1">
            <wp:simplePos x="0" y="0"/>
            <wp:positionH relativeFrom="column">
              <wp:posOffset>68580</wp:posOffset>
            </wp:positionH>
            <wp:positionV relativeFrom="paragraph">
              <wp:posOffset>252095</wp:posOffset>
            </wp:positionV>
            <wp:extent cx="5515610" cy="8063865"/>
            <wp:effectExtent l="0" t="0" r="8890" b="0"/>
            <wp:wrapTopAndBottom/>
            <wp:docPr id="3145" name="图片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3145"/>
                    <pic:cNvPicPr>
                      <a:picLocks noChangeAspect="1" noChangeArrowheads="1"/>
                    </pic:cNvPicPr>
                  </pic:nvPicPr>
                  <pic:blipFill>
                    <a:blip r:embed="rId20"/>
                    <a:srcRect/>
                    <a:stretch>
                      <a:fillRect/>
                    </a:stretch>
                  </pic:blipFill>
                  <pic:spPr>
                    <a:xfrm>
                      <a:off x="0" y="0"/>
                      <a:ext cx="5515610" cy="8063865"/>
                    </a:xfrm>
                    <a:prstGeom prst="rect">
                      <a:avLst/>
                    </a:prstGeom>
                    <a:noFill/>
                    <a:ln w="9525">
                      <a:noFill/>
                      <a:miter lim="800000"/>
                      <a:headEnd/>
                      <a:tailEnd/>
                    </a:ln>
                  </pic:spPr>
                </pic:pic>
              </a:graphicData>
            </a:graphic>
          </wp:anchor>
        </w:drawing>
      </w:r>
    </w:p>
    <w:p>
      <w:pPr>
        <w:jc w:val="center"/>
        <w:rPr>
          <w:szCs w:val="28"/>
        </w:rPr>
      </w:pPr>
    </w:p>
    <w:p>
      <w:pPr>
        <w:jc w:val="center"/>
        <w:rPr>
          <w:szCs w:val="24"/>
        </w:rPr>
      </w:pPr>
      <w:r>
        <w:rPr>
          <w:rFonts w:hint="eastAsia"/>
          <w:szCs w:val="28"/>
        </w:rPr>
        <w:t>图</w:t>
      </w:r>
      <w:r>
        <w:rPr>
          <w:rFonts w:hint="eastAsia" w:ascii="Times New Roman" w:hAnsi="Times New Roman"/>
          <w:kern w:val="0"/>
        </w:rPr>
        <w:t>10  648芯</w:t>
      </w:r>
      <w:r>
        <w:rPr>
          <w:rFonts w:hint="eastAsia"/>
          <w:szCs w:val="24"/>
        </w:rPr>
        <w:t>容量机架结构示意图（左出纤）</w:t>
      </w:r>
    </w:p>
    <w:p>
      <w:pPr>
        <w:spacing w:line="460" w:lineRule="exact"/>
        <w:rPr>
          <w:rFonts w:ascii="Times New Roman" w:hAnsi="Times New Roman"/>
          <w:kern w:val="0"/>
        </w:rPr>
      </w:pPr>
      <w:r>
        <w:rPr>
          <w:rFonts w:hint="eastAsia" w:ascii="Times New Roman" w:hAnsi="Times New Roman"/>
          <w:kern w:val="0"/>
        </w:rPr>
        <w:t>3</w:t>
      </w:r>
      <w:r>
        <w:rPr>
          <w:rFonts w:ascii="Times New Roman" w:hAnsi="Times New Roman"/>
          <w:kern w:val="0"/>
        </w:rPr>
        <w:t>.</w:t>
      </w:r>
      <w:r>
        <w:rPr>
          <w:rFonts w:hint="eastAsia" w:ascii="Times New Roman" w:hAnsi="Times New Roman"/>
          <w:kern w:val="0"/>
        </w:rPr>
        <w:t>2.3</w:t>
      </w:r>
      <w:r>
        <w:rPr>
          <w:rFonts w:ascii="Times New Roman" w:hAnsi="Times New Roman"/>
          <w:kern w:val="0"/>
        </w:rPr>
        <w:t xml:space="preserve"> </w:t>
      </w:r>
      <w:bookmarkEnd w:id="24"/>
      <w:bookmarkEnd w:id="25"/>
      <w:bookmarkEnd w:id="26"/>
      <w:r>
        <w:rPr>
          <w:rFonts w:hint="eastAsia" w:ascii="Times New Roman" w:hAnsi="Times New Roman"/>
          <w:kern w:val="0"/>
        </w:rPr>
        <w:t>光缆固定单元</w:t>
      </w:r>
    </w:p>
    <w:p>
      <w:pPr>
        <w:spacing w:line="460" w:lineRule="exact"/>
        <w:rPr>
          <w:rFonts w:ascii="Times New Roman" w:hAnsi="Times New Roman"/>
          <w:kern w:val="0"/>
        </w:rPr>
      </w:pPr>
      <w:r>
        <w:rPr>
          <w:rFonts w:hint="eastAsia" w:ascii="Times New Roman" w:hAnsi="Times New Roman"/>
          <w:kern w:val="0"/>
        </w:rPr>
        <w:t>光缆固定单元采用机框式结构，19英寸安装。</w:t>
      </w:r>
    </w:p>
    <w:p>
      <w:pPr>
        <w:spacing w:line="460" w:lineRule="exact"/>
        <w:rPr>
          <w:rFonts w:ascii="Times New Roman" w:hAnsi="Times New Roman"/>
          <w:kern w:val="0"/>
        </w:rPr>
      </w:pPr>
      <w:r>
        <w:rPr>
          <w:rFonts w:hint="eastAsia" w:ascii="Times New Roman" w:hAnsi="Times New Roman"/>
          <w:kern w:val="0"/>
        </w:rPr>
        <w:t>光缆固定开剥单元应能兼容束状、带状光缆的固定和开剥，内部结构见图8。</w:t>
      </w:r>
    </w:p>
    <w:p>
      <w:pPr>
        <w:jc w:val="center"/>
      </w:pPr>
      <w:r>
        <w:drawing>
          <wp:inline distT="0" distB="0" distL="0" distR="0">
            <wp:extent cx="5038725" cy="3676650"/>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a:srcRect/>
                    <a:stretch>
                      <a:fillRect/>
                    </a:stretch>
                  </pic:blipFill>
                  <pic:spPr>
                    <a:xfrm>
                      <a:off x="0" y="0"/>
                      <a:ext cx="5038725" cy="3676650"/>
                    </a:xfrm>
                    <a:prstGeom prst="rect">
                      <a:avLst/>
                    </a:prstGeom>
                    <a:noFill/>
                    <a:ln w="9525">
                      <a:noFill/>
                      <a:miter lim="800000"/>
                      <a:headEnd/>
                      <a:tailEnd/>
                    </a:ln>
                  </pic:spPr>
                </pic:pic>
              </a:graphicData>
            </a:graphic>
          </wp:inline>
        </w:drawing>
      </w:r>
    </w:p>
    <w:p>
      <w:pPr>
        <w:jc w:val="center"/>
        <w:rPr>
          <w:szCs w:val="28"/>
        </w:rPr>
      </w:pPr>
      <w:bookmarkStart w:id="27" w:name="_Toc62619411"/>
      <w:bookmarkStart w:id="28" w:name="_Toc310369353"/>
      <w:bookmarkStart w:id="29" w:name="_Toc310369004"/>
      <w:r>
        <w:rPr>
          <w:rFonts w:hint="eastAsia" w:ascii="Times New Roman" w:hAnsi="Times New Roman"/>
          <w:kern w:val="21"/>
        </w:rPr>
        <w:t>图11  光缆固定单元</w:t>
      </w:r>
      <w:bookmarkEnd w:id="27"/>
      <w:bookmarkEnd w:id="28"/>
      <w:bookmarkEnd w:id="29"/>
      <w:r>
        <w:rPr>
          <w:rFonts w:hint="eastAsia" w:ascii="Times New Roman" w:hAnsi="Times New Roman"/>
          <w:kern w:val="21"/>
        </w:rPr>
        <w:t>示意图</w:t>
      </w:r>
    </w:p>
    <w:p>
      <w:pPr>
        <w:spacing w:line="460" w:lineRule="exact"/>
        <w:rPr>
          <w:rFonts w:ascii="Times New Roman" w:hAnsi="Times New Roman"/>
          <w:kern w:val="0"/>
        </w:rPr>
      </w:pPr>
      <w:bookmarkStart w:id="30" w:name="_Toc310369005"/>
      <w:bookmarkStart w:id="31" w:name="_Toc310369354"/>
      <w:r>
        <w:rPr>
          <w:rFonts w:hint="eastAsia" w:ascii="Times New Roman" w:hAnsi="Times New Roman"/>
          <w:kern w:val="0"/>
        </w:rPr>
        <w:t>3</w:t>
      </w:r>
      <w:r>
        <w:rPr>
          <w:rFonts w:ascii="Times New Roman" w:hAnsi="Times New Roman"/>
          <w:kern w:val="0"/>
        </w:rPr>
        <w:t>.</w:t>
      </w:r>
      <w:r>
        <w:rPr>
          <w:rFonts w:hint="eastAsia" w:ascii="Times New Roman" w:hAnsi="Times New Roman"/>
          <w:kern w:val="0"/>
        </w:rPr>
        <w:t>2.3.1 光缆固定装置中的接地标识只粘贴一个于上图中位置处。</w:t>
      </w:r>
      <w:bookmarkEnd w:id="30"/>
      <w:bookmarkEnd w:id="31"/>
    </w:p>
    <w:p>
      <w:pPr>
        <w:spacing w:line="460" w:lineRule="exact"/>
        <w:rPr>
          <w:rFonts w:ascii="Times New Roman" w:hAnsi="Times New Roman"/>
          <w:kern w:val="0"/>
        </w:rPr>
      </w:pPr>
      <w:bookmarkStart w:id="32" w:name="_Toc310369006"/>
      <w:bookmarkStart w:id="33" w:name="_Toc310369355"/>
      <w:r>
        <w:rPr>
          <w:rFonts w:hint="eastAsia" w:ascii="Times New Roman" w:hAnsi="Times New Roman"/>
          <w:kern w:val="0"/>
        </w:rPr>
        <w:t>3</w:t>
      </w:r>
      <w:r>
        <w:rPr>
          <w:rFonts w:ascii="Times New Roman" w:hAnsi="Times New Roman"/>
          <w:kern w:val="0"/>
        </w:rPr>
        <w:t>.</w:t>
      </w:r>
      <w:r>
        <w:rPr>
          <w:rFonts w:hint="eastAsia" w:ascii="Times New Roman" w:hAnsi="Times New Roman"/>
          <w:kern w:val="0"/>
        </w:rPr>
        <w:t>2.3.2 机架高压防护接地装置与地相连的连接端子的截面积应大于35mm</w:t>
      </w:r>
      <w:r>
        <w:rPr>
          <w:rFonts w:hint="eastAsia" w:ascii="Times New Roman" w:hAnsi="Times New Roman"/>
          <w:kern w:val="0"/>
          <w:vertAlign w:val="superscript"/>
        </w:rPr>
        <w:t>2</w:t>
      </w:r>
      <w:r>
        <w:rPr>
          <w:rFonts w:hint="eastAsia" w:ascii="Times New Roman" w:hAnsi="Times New Roman"/>
          <w:kern w:val="0"/>
        </w:rPr>
        <w:t>。</w:t>
      </w:r>
      <w:bookmarkEnd w:id="32"/>
      <w:bookmarkEnd w:id="33"/>
    </w:p>
    <w:p>
      <w:pPr>
        <w:spacing w:line="460" w:lineRule="exact"/>
        <w:rPr>
          <w:rFonts w:ascii="Times New Roman" w:hAnsi="Times New Roman"/>
          <w:kern w:val="0"/>
        </w:rPr>
      </w:pPr>
      <w:bookmarkStart w:id="34" w:name="_Toc249807662"/>
      <w:r>
        <w:rPr>
          <w:rFonts w:hint="eastAsia" w:ascii="Times New Roman" w:hAnsi="Times New Roman"/>
          <w:kern w:val="0"/>
        </w:rPr>
        <w:t>3.2.4 熔配一体化子框</w:t>
      </w:r>
    </w:p>
    <w:p>
      <w:pPr>
        <w:spacing w:line="460" w:lineRule="exact"/>
        <w:rPr>
          <w:rFonts w:ascii="Times New Roman" w:hAnsi="Times New Roman"/>
          <w:kern w:val="0"/>
        </w:rPr>
      </w:pPr>
      <w:r>
        <w:rPr>
          <w:rFonts w:ascii="Times New Roman" w:hAnsi="Times New Roman"/>
          <w:kern w:val="0"/>
        </w:rPr>
        <w:t>光纤</w:t>
      </w:r>
      <w:r>
        <w:rPr>
          <w:rFonts w:hint="eastAsia" w:ascii="Times New Roman" w:hAnsi="Times New Roman"/>
          <w:kern w:val="0"/>
        </w:rPr>
        <w:t>配线</w:t>
      </w:r>
      <w:r>
        <w:rPr>
          <w:rFonts w:ascii="Times New Roman" w:hAnsi="Times New Roman"/>
          <w:kern w:val="0"/>
        </w:rPr>
        <w:t>单元</w:t>
      </w:r>
      <w:r>
        <w:rPr>
          <w:rFonts w:hint="eastAsia" w:ascii="Times New Roman" w:hAnsi="Times New Roman"/>
          <w:kern w:val="0"/>
        </w:rPr>
        <w:t>容量为72芯，</w:t>
      </w:r>
      <w:r>
        <w:rPr>
          <w:rFonts w:ascii="Times New Roman" w:hAnsi="Times New Roman"/>
          <w:kern w:val="0"/>
        </w:rPr>
        <w:t>采用一体化托盘形式</w:t>
      </w:r>
      <w:r>
        <w:rPr>
          <w:rFonts w:hint="eastAsia" w:ascii="Times New Roman" w:hAnsi="Times New Roman"/>
          <w:kern w:val="0"/>
        </w:rPr>
        <w:t>，</w:t>
      </w:r>
      <w:r>
        <w:rPr>
          <w:rFonts w:ascii="Times New Roman" w:hAnsi="Times New Roman"/>
          <w:kern w:val="0"/>
        </w:rPr>
        <w:t>左出纤方式</w:t>
      </w:r>
      <w:r>
        <w:rPr>
          <w:rFonts w:hint="eastAsia" w:ascii="Times New Roman" w:hAnsi="Times New Roman"/>
          <w:kern w:val="0"/>
        </w:rPr>
        <w:t>，结构示意图见图12。</w:t>
      </w:r>
    </w:p>
    <w:p>
      <w:pPr>
        <w:jc w:val="center"/>
      </w:pPr>
      <w:r>
        <w:drawing>
          <wp:inline distT="0" distB="0" distL="0" distR="0">
            <wp:extent cx="4229100" cy="4686300"/>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2"/>
                    <a:srcRect/>
                    <a:stretch>
                      <a:fillRect/>
                    </a:stretch>
                  </pic:blipFill>
                  <pic:spPr>
                    <a:xfrm>
                      <a:off x="0" y="0"/>
                      <a:ext cx="4229100" cy="4686300"/>
                    </a:xfrm>
                    <a:prstGeom prst="rect">
                      <a:avLst/>
                    </a:prstGeom>
                    <a:noFill/>
                    <a:ln w="9525">
                      <a:noFill/>
                      <a:miter lim="800000"/>
                      <a:headEnd/>
                      <a:tailEnd/>
                    </a:ln>
                  </pic:spPr>
                </pic:pic>
              </a:graphicData>
            </a:graphic>
          </wp:inline>
        </w:drawing>
      </w:r>
    </w:p>
    <w:p>
      <w:pPr>
        <w:jc w:val="center"/>
        <w:rPr>
          <w:szCs w:val="24"/>
        </w:rPr>
      </w:pPr>
      <w:r>
        <w:rPr>
          <w:rFonts w:hint="eastAsia"/>
          <w:szCs w:val="24"/>
        </w:rPr>
        <w:t>图12  光纤配线单元</w:t>
      </w:r>
    </w:p>
    <w:p>
      <w:pPr>
        <w:spacing w:line="460" w:lineRule="exact"/>
        <w:ind w:firstLine="480" w:firstLineChars="200"/>
        <w:rPr>
          <w:rFonts w:ascii="Times New Roman" w:hAnsi="Times New Roman"/>
          <w:kern w:val="0"/>
        </w:rPr>
      </w:pPr>
      <w:r>
        <w:rPr>
          <w:rFonts w:hint="eastAsia" w:ascii="Times New Roman" w:hAnsi="Times New Roman"/>
          <w:kern w:val="0"/>
        </w:rPr>
        <w:t>机框的外形尺寸为：高×宽×深=175×482×280/250</w:t>
      </w:r>
      <w:r>
        <w:rPr>
          <w:rFonts w:ascii="Times New Roman" w:hAnsi="Times New Roman"/>
          <w:kern w:val="0"/>
        </w:rPr>
        <mc:AlternateContent>
          <mc:Choice Requires="wps">
            <w:drawing>
              <wp:anchor distT="0" distB="0" distL="114300" distR="114300" simplePos="0" relativeHeight="251662336" behindDoc="0" locked="0" layoutInCell="1" allowOverlap="1">
                <wp:simplePos x="0" y="0"/>
                <wp:positionH relativeFrom="column">
                  <wp:posOffset>-2889885</wp:posOffset>
                </wp:positionH>
                <wp:positionV relativeFrom="paragraph">
                  <wp:posOffset>3786505</wp:posOffset>
                </wp:positionV>
                <wp:extent cx="571500" cy="260985"/>
                <wp:effectExtent l="0" t="0" r="1270" b="0"/>
                <wp:wrapNone/>
                <wp:docPr id="11" name="Text Box 3152"/>
                <wp:cNvGraphicFramePr/>
                <a:graphic xmlns:a="http://schemas.openxmlformats.org/drawingml/2006/main">
                  <a:graphicData uri="http://schemas.microsoft.com/office/word/2010/wordprocessingShape">
                    <wps:wsp>
                      <wps:cNvSpPr txBox="1">
                        <a:spLocks noChangeArrowheads="1"/>
                      </wps:cNvSpPr>
                      <wps:spPr bwMode="auto">
                        <a:xfrm>
                          <a:off x="0" y="0"/>
                          <a:ext cx="571500" cy="260985"/>
                        </a:xfrm>
                        <a:prstGeom prst="rect">
                          <a:avLst/>
                        </a:prstGeom>
                        <a:solidFill>
                          <a:srgbClr val="FFFFFF"/>
                        </a:solidFill>
                        <a:ln>
                          <a:noFill/>
                        </a:ln>
                      </wps:spPr>
                      <wps:txbx>
                        <w:txbxContent>
                          <w:p>
                            <w:pPr>
                              <w:rPr>
                                <w:szCs w:val="24"/>
                              </w:rPr>
                            </w:pPr>
                            <w:r>
                              <w:rPr>
                                <w:rFonts w:hint="eastAsia"/>
                                <w:szCs w:val="24"/>
                              </w:rPr>
                              <w:t>图7</w:t>
                            </w:r>
                          </w:p>
                        </w:txbxContent>
                      </wps:txbx>
                      <wps:bodyPr rot="0" vert="horz" wrap="square" lIns="91440" tIns="45720" rIns="91440" bIns="45720" anchor="t" anchorCtr="0" upright="1">
                        <a:noAutofit/>
                      </wps:bodyPr>
                    </wps:wsp>
                  </a:graphicData>
                </a:graphic>
              </wp:anchor>
            </w:drawing>
          </mc:Choice>
          <mc:Fallback>
            <w:pict>
              <v:shape id="Text Box 3152" o:spid="_x0000_s1026" o:spt="202" type="#_x0000_t202" style="position:absolute;left:0pt;margin-left:-227.55pt;margin-top:298.15pt;height:20.55pt;width:45pt;z-index:251662336;mso-width-relative:page;mso-height-relative:page;" fillcolor="#FFFFFF" filled="t" stroked="f" coordsize="21600,21600" o:gfxdata="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wsmid9oA&#10;AAANAQAADwAAAAAAAAABACAAAAAiAAAAZHJzL2Rvd25yZXYueG1sUEsBAhQAFAAAAAgAh07iQPf7&#10;4J0dAgAAQAQAAA4AAAAAAAAAAQAgAAAAKQEAAGRycy9lMm9Eb2MueG1sUEsFBgAAAAAGAAYAWQEA&#10;ALgFAAAAAA==&#10;">
                <v:fill on="t" focussize="0,0"/>
                <v:stroke on="f"/>
                <v:imagedata o:title=""/>
                <o:lock v:ext="edit" aspectratio="f"/>
                <v:textbox>
                  <w:txbxContent>
                    <w:p>
                      <w:pPr>
                        <w:rPr>
                          <w:szCs w:val="24"/>
                        </w:rPr>
                      </w:pPr>
                      <w:r>
                        <w:rPr>
                          <w:rFonts w:hint="eastAsia"/>
                          <w:szCs w:val="24"/>
                        </w:rPr>
                        <w:t>图7</w:t>
                      </w:r>
                    </w:p>
                  </w:txbxContent>
                </v:textbox>
              </v:shape>
            </w:pict>
          </mc:Fallback>
        </mc:AlternateContent>
      </w:r>
      <w:r>
        <w:rPr>
          <w:rFonts w:hint="eastAsia" w:ascii="Times New Roman" w:hAnsi="Times New Roman"/>
          <w:kern w:val="0"/>
        </w:rPr>
        <w:t>。</w:t>
      </w:r>
    </w:p>
    <w:p>
      <w:pPr>
        <w:spacing w:line="460" w:lineRule="exact"/>
        <w:ind w:firstLine="480" w:firstLineChars="200"/>
        <w:rPr>
          <w:rFonts w:ascii="Times New Roman" w:hAnsi="Times New Roman"/>
          <w:kern w:val="0"/>
        </w:rPr>
      </w:pPr>
    </w:p>
    <w:bookmarkEnd w:id="34"/>
    <w:p>
      <w:pPr>
        <w:spacing w:line="460" w:lineRule="exact"/>
        <w:rPr>
          <w:rFonts w:ascii="Times New Roman" w:hAnsi="Times New Roman"/>
          <w:kern w:val="0"/>
        </w:rPr>
      </w:pPr>
      <w:bookmarkStart w:id="35" w:name="_Toc249807663"/>
      <w:bookmarkStart w:id="36" w:name="_Toc310369008"/>
      <w:bookmarkStart w:id="37" w:name="_Toc310369357"/>
      <w:r>
        <w:rPr>
          <w:rFonts w:hint="eastAsia" w:ascii="Times New Roman" w:hAnsi="Times New Roman"/>
          <w:kern w:val="0"/>
        </w:rPr>
        <w:t>3.2.5 架底走纤槽</w:t>
      </w:r>
      <w:bookmarkEnd w:id="35"/>
      <w:bookmarkEnd w:id="36"/>
      <w:bookmarkEnd w:id="37"/>
    </w:p>
    <w:p>
      <w:pPr>
        <w:spacing w:line="460" w:lineRule="exact"/>
        <w:rPr>
          <w:rFonts w:ascii="Times New Roman" w:hAnsi="Times New Roman"/>
          <w:kern w:val="0"/>
        </w:rPr>
      </w:pPr>
    </w:p>
    <w:p>
      <w:bookmarkStart w:id="38" w:name="_Toc62619419"/>
      <w:r>
        <w:drawing>
          <wp:inline distT="0" distB="0" distL="0" distR="0">
            <wp:extent cx="5600700" cy="904875"/>
            <wp:effectExtent l="1905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3"/>
                    <a:srcRect/>
                    <a:stretch>
                      <a:fillRect/>
                    </a:stretch>
                  </pic:blipFill>
                  <pic:spPr>
                    <a:xfrm>
                      <a:off x="0" y="0"/>
                      <a:ext cx="5600700" cy="904875"/>
                    </a:xfrm>
                    <a:prstGeom prst="rect">
                      <a:avLst/>
                    </a:prstGeom>
                    <a:noFill/>
                    <a:ln w="9525">
                      <a:noFill/>
                      <a:miter lim="800000"/>
                      <a:headEnd/>
                      <a:tailEnd/>
                    </a:ln>
                  </pic:spPr>
                </pic:pic>
              </a:graphicData>
            </a:graphic>
          </wp:inline>
        </w:drawing>
      </w:r>
    </w:p>
    <w:p>
      <w:pPr>
        <w:jc w:val="center"/>
        <w:rPr>
          <w:rFonts w:ascii="Times New Roman"/>
          <w:szCs w:val="24"/>
        </w:rPr>
      </w:pPr>
      <w:bookmarkStart w:id="39" w:name="_Toc310369358"/>
      <w:bookmarkStart w:id="40" w:name="_Toc310369009"/>
      <w:r>
        <w:rPr>
          <w:rFonts w:hint="eastAsia" w:ascii="Times New Roman"/>
          <w:szCs w:val="24"/>
        </w:rPr>
        <w:t xml:space="preserve">图13   </w:t>
      </w:r>
      <w:bookmarkEnd w:id="38"/>
      <w:r>
        <w:rPr>
          <w:rFonts w:hint="eastAsia" w:ascii="Times New Roman"/>
          <w:szCs w:val="24"/>
        </w:rPr>
        <w:t>架底走纤槽</w:t>
      </w:r>
      <w:bookmarkEnd w:id="39"/>
      <w:bookmarkEnd w:id="40"/>
      <w:r>
        <w:rPr>
          <w:rFonts w:hint="eastAsia" w:ascii="Times New Roman"/>
          <w:szCs w:val="24"/>
        </w:rPr>
        <w:t>示意图</w:t>
      </w:r>
    </w:p>
    <w:p/>
    <w:p>
      <w:pPr>
        <w:pStyle w:val="2"/>
        <w:kinsoku/>
        <w:overflowPunct/>
        <w:autoSpaceDE/>
        <w:autoSpaceDN/>
        <w:snapToGrid/>
        <w:spacing w:before="0" w:line="560" w:lineRule="exact"/>
        <w:textAlignment w:val="baseline"/>
        <w:rPr>
          <w:rFonts w:ascii="Times New Roman" w:hAnsi="Times New Roman" w:eastAsia="宋体"/>
          <w:b w:val="0"/>
          <w:sz w:val="24"/>
        </w:rPr>
      </w:pPr>
      <w:bookmarkStart w:id="41" w:name="_Toc25470"/>
      <w:r>
        <w:rPr>
          <w:rFonts w:hint="eastAsia" w:ascii="Times New Roman" w:hAnsi="Times New Roman" w:eastAsia="宋体"/>
          <w:b w:val="0"/>
          <w:sz w:val="24"/>
        </w:rPr>
        <w:t>3.3 600×300mm机架</w:t>
      </w:r>
      <w:bookmarkEnd w:id="41"/>
      <w:bookmarkStart w:id="42" w:name="_Toc310369011"/>
      <w:bookmarkStart w:id="43" w:name="_Toc249807668"/>
      <w:bookmarkStart w:id="44" w:name="_Toc310369360"/>
    </w:p>
    <w:p>
      <w:pPr>
        <w:rPr>
          <w:rFonts w:ascii="Times New Roman" w:hAnsi="Times New Roman"/>
          <w:kern w:val="44"/>
        </w:rPr>
      </w:pPr>
      <w:r>
        <w:rPr>
          <w:rFonts w:hint="eastAsia" w:ascii="Times New Roman" w:hAnsi="Times New Roman"/>
          <w:kern w:val="44"/>
        </w:rPr>
        <w:t>3.3.1 走纤示意图</w:t>
      </w:r>
      <w:bookmarkEnd w:id="42"/>
      <w:bookmarkEnd w:id="43"/>
      <w:bookmarkEnd w:id="44"/>
    </w:p>
    <w:p>
      <w:pPr>
        <w:rPr>
          <w:szCs w:val="24"/>
        </w:rPr>
      </w:pPr>
      <w:bookmarkStart w:id="45" w:name="_Toc310369012"/>
      <w:bookmarkStart w:id="46" w:name="_Toc310369361"/>
    </w:p>
    <w:p>
      <w:pPr>
        <w:jc w:val="center"/>
        <w:rPr>
          <w:szCs w:val="24"/>
        </w:rPr>
      </w:pPr>
      <w:r>
        <w:rPr>
          <w:rFonts w:hint="eastAsia"/>
          <w:szCs w:val="24"/>
        </w:rPr>
        <w:drawing>
          <wp:inline distT="0" distB="0" distL="0" distR="0">
            <wp:extent cx="4991100" cy="7800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4"/>
                    <a:srcRect/>
                    <a:stretch>
                      <a:fillRect/>
                    </a:stretch>
                  </pic:blipFill>
                  <pic:spPr>
                    <a:xfrm>
                      <a:off x="0" y="0"/>
                      <a:ext cx="4991100" cy="7800975"/>
                    </a:xfrm>
                    <a:prstGeom prst="rect">
                      <a:avLst/>
                    </a:prstGeom>
                    <a:noFill/>
                    <a:ln w="9525">
                      <a:noFill/>
                      <a:miter lim="800000"/>
                      <a:headEnd/>
                      <a:tailEnd/>
                    </a:ln>
                  </pic:spPr>
                </pic:pic>
              </a:graphicData>
            </a:graphic>
          </wp:inline>
        </w:drawing>
      </w:r>
    </w:p>
    <w:bookmarkEnd w:id="45"/>
    <w:bookmarkEnd w:id="46"/>
    <w:p>
      <w:pPr>
        <w:jc w:val="center"/>
        <w:rPr>
          <w:szCs w:val="24"/>
        </w:rPr>
      </w:pPr>
      <w:r>
        <w:rPr>
          <w:rFonts w:hint="eastAsia"/>
          <w:szCs w:val="24"/>
        </w:rPr>
        <w:t>图</w:t>
      </w:r>
      <w:r>
        <w:rPr>
          <w:rFonts w:hint="eastAsia" w:ascii="Times New Roman" w:hAnsi="Times New Roman"/>
          <w:szCs w:val="24"/>
        </w:rPr>
        <w:t>14  600×300</w:t>
      </w:r>
      <w:r>
        <w:rPr>
          <w:rFonts w:hint="eastAsia"/>
          <w:szCs w:val="24"/>
        </w:rPr>
        <w:t>机架走纤示意图（左出纤）</w:t>
      </w:r>
    </w:p>
    <w:p>
      <w:pPr>
        <w:rPr>
          <w:kern w:val="44"/>
        </w:rPr>
      </w:pPr>
    </w:p>
    <w:p>
      <w:pPr>
        <w:rPr>
          <w:sz w:val="28"/>
          <w:szCs w:val="28"/>
        </w:rPr>
      </w:pPr>
      <w:r>
        <w:rPr>
          <w:rFonts w:hint="eastAsia" w:ascii="Times New Roman" w:hAnsi="Times New Roman"/>
          <w:kern w:val="44"/>
        </w:rPr>
        <w:t>3.3.2 机架结</w:t>
      </w:r>
      <w:r>
        <w:rPr>
          <w:rFonts w:hint="eastAsia" w:ascii="Times New Roman" w:hAnsi="Times New Roman"/>
          <w:szCs w:val="24"/>
        </w:rPr>
        <w:t>构示意图</w:t>
      </w:r>
    </w:p>
    <w:p>
      <w:pPr>
        <w:jc w:val="center"/>
        <w:rPr>
          <w:szCs w:val="24"/>
        </w:rPr>
      </w:pPr>
      <w:r>
        <w:drawing>
          <wp:anchor distT="0" distB="0" distL="114300" distR="114300" simplePos="0" relativeHeight="251657216" behindDoc="0" locked="0" layoutInCell="1" allowOverlap="1">
            <wp:simplePos x="0" y="0"/>
            <wp:positionH relativeFrom="column">
              <wp:posOffset>791845</wp:posOffset>
            </wp:positionH>
            <wp:positionV relativeFrom="paragraph">
              <wp:posOffset>25400</wp:posOffset>
            </wp:positionV>
            <wp:extent cx="4502150" cy="8227695"/>
            <wp:effectExtent l="19050" t="0" r="0" b="0"/>
            <wp:wrapTopAndBottom/>
            <wp:docPr id="3147" name="图片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 name="图片 3147"/>
                    <pic:cNvPicPr>
                      <a:picLocks noChangeAspect="1" noChangeArrowheads="1"/>
                    </pic:cNvPicPr>
                  </pic:nvPicPr>
                  <pic:blipFill>
                    <a:blip r:embed="rId25"/>
                    <a:srcRect/>
                    <a:stretch>
                      <a:fillRect/>
                    </a:stretch>
                  </pic:blipFill>
                  <pic:spPr>
                    <a:xfrm>
                      <a:off x="0" y="0"/>
                      <a:ext cx="4502150" cy="8227695"/>
                    </a:xfrm>
                    <a:prstGeom prst="rect">
                      <a:avLst/>
                    </a:prstGeom>
                    <a:noFill/>
                    <a:ln w="9525">
                      <a:noFill/>
                      <a:miter lim="800000"/>
                      <a:headEnd/>
                      <a:tailEnd/>
                    </a:ln>
                  </pic:spPr>
                </pic:pic>
              </a:graphicData>
            </a:graphic>
          </wp:anchor>
        </w:drawing>
      </w:r>
    </w:p>
    <w:p>
      <w:pPr>
        <w:jc w:val="center"/>
        <w:rPr>
          <w:rFonts w:ascii="Times New Roman" w:hAnsi="Times New Roman"/>
          <w:szCs w:val="24"/>
        </w:rPr>
      </w:pPr>
      <w:bookmarkStart w:id="47" w:name="_Toc310369363"/>
      <w:bookmarkStart w:id="48" w:name="_Toc310369014"/>
      <w:bookmarkStart w:id="49" w:name="_Toc310369015"/>
      <w:bookmarkStart w:id="50" w:name="_Toc249807671"/>
      <w:bookmarkStart w:id="51" w:name="_Toc310369364"/>
      <w:r>
        <w:rPr>
          <w:rFonts w:hint="eastAsia" w:ascii="Times New Roman" w:hAnsi="Times New Roman"/>
          <w:szCs w:val="24"/>
        </w:rPr>
        <w:t>图15  504芯容量机架结构示意图</w:t>
      </w:r>
      <w:bookmarkEnd w:id="47"/>
      <w:bookmarkEnd w:id="48"/>
    </w:p>
    <w:p>
      <w:pPr>
        <w:rPr>
          <w:rFonts w:ascii="Times New Roman" w:hAnsi="Times New Roman"/>
          <w:kern w:val="0"/>
        </w:rPr>
      </w:pPr>
    </w:p>
    <w:p>
      <w:pPr>
        <w:rPr>
          <w:rFonts w:ascii="Times New Roman" w:hAnsi="Times New Roman"/>
          <w:kern w:val="0"/>
        </w:rPr>
      </w:pPr>
    </w:p>
    <w:p>
      <w:pPr>
        <w:rPr>
          <w:rFonts w:ascii="Times New Roman" w:hAnsi="Times New Roman"/>
          <w:kern w:val="0"/>
        </w:rPr>
      </w:pPr>
    </w:p>
    <w:p>
      <w:pPr>
        <w:rPr>
          <w:rFonts w:ascii="Times New Roman" w:hAnsi="Times New Roman"/>
          <w:szCs w:val="24"/>
        </w:rPr>
      </w:pPr>
      <w:r>
        <w:rPr>
          <w:rFonts w:hint="eastAsia" w:ascii="Times New Roman" w:hAnsi="Times New Roman"/>
          <w:kern w:val="44"/>
        </w:rPr>
        <w:t>3.3.3 机架结</w:t>
      </w:r>
      <w:r>
        <w:rPr>
          <w:rFonts w:hint="eastAsia" w:ascii="Times New Roman" w:hAnsi="Times New Roman"/>
          <w:szCs w:val="24"/>
        </w:rPr>
        <w:t>构示意图（选配机框）</w:t>
      </w:r>
    </w:p>
    <w:p>
      <w:pPr>
        <w:spacing w:line="460" w:lineRule="exact"/>
        <w:ind w:firstLine="480" w:firstLineChars="200"/>
        <w:rPr>
          <w:rFonts w:ascii="Times New Roman" w:hAnsi="Times New Roman"/>
          <w:kern w:val="0"/>
        </w:rPr>
      </w:pPr>
      <w:r>
        <w:rPr>
          <w:rFonts w:hint="eastAsia" w:ascii="Times New Roman" w:hAnsi="Times New Roman"/>
          <w:kern w:val="0"/>
        </w:rPr>
        <w:t>600x300mm（宽x厚）的机架如果需要配置机框，</w:t>
      </w:r>
      <w:r>
        <w:rPr>
          <w:rFonts w:hint="eastAsia"/>
        </w:rPr>
        <w:t>机框结构形式参照840x300mm机架熔配一体化结构形式</w:t>
      </w:r>
      <w:r>
        <w:rPr>
          <w:rFonts w:hint="eastAsia" w:ascii="Times New Roman" w:hAnsi="Times New Roman"/>
          <w:kern w:val="0"/>
        </w:rPr>
        <w:t>。</w:t>
      </w:r>
    </w:p>
    <w:p>
      <w:pPr>
        <w:rPr>
          <w:rFonts w:ascii="Times New Roman" w:hAnsi="Times New Roman"/>
          <w:kern w:val="0"/>
        </w:rPr>
      </w:pPr>
      <w:r>
        <w:rPr>
          <w:rFonts w:hint="eastAsia" w:ascii="Times New Roman" w:hAnsi="Times New Roman"/>
          <w:kern w:val="0"/>
        </w:rPr>
        <w:drawing>
          <wp:inline distT="0" distB="0" distL="0" distR="0">
            <wp:extent cx="5715000" cy="82010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6"/>
                    <a:srcRect/>
                    <a:stretch>
                      <a:fillRect/>
                    </a:stretch>
                  </pic:blipFill>
                  <pic:spPr>
                    <a:xfrm>
                      <a:off x="0" y="0"/>
                      <a:ext cx="5715000" cy="8201025"/>
                    </a:xfrm>
                    <a:prstGeom prst="rect">
                      <a:avLst/>
                    </a:prstGeom>
                    <a:noFill/>
                    <a:ln w="9525">
                      <a:noFill/>
                      <a:miter lim="800000"/>
                      <a:headEnd/>
                      <a:tailEnd/>
                    </a:ln>
                  </pic:spPr>
                </pic:pic>
              </a:graphicData>
            </a:graphic>
          </wp:inline>
        </w:drawing>
      </w:r>
    </w:p>
    <w:bookmarkEnd w:id="49"/>
    <w:bookmarkEnd w:id="50"/>
    <w:bookmarkEnd w:id="51"/>
    <w:p>
      <w:pPr>
        <w:jc w:val="center"/>
        <w:rPr>
          <w:szCs w:val="24"/>
        </w:rPr>
      </w:pPr>
      <w:r>
        <w:rPr>
          <w:rFonts w:hint="eastAsia" w:ascii="Times New Roman" w:hAnsi="Times New Roman"/>
          <w:szCs w:val="24"/>
        </w:rPr>
        <w:t>图16  504芯容量机架结构示意图（选配机框）</w:t>
      </w:r>
    </w:p>
    <w:p>
      <w:pPr>
        <w:spacing w:line="460" w:lineRule="exact"/>
        <w:rPr>
          <w:rFonts w:ascii="Times New Roman" w:hAnsi="Times New Roman"/>
          <w:kern w:val="44"/>
        </w:rPr>
      </w:pPr>
      <w:bookmarkStart w:id="52" w:name="_Toc310369021"/>
      <w:bookmarkStart w:id="53" w:name="_Toc310369370"/>
      <w:bookmarkStart w:id="54" w:name="_Toc249807674"/>
    </w:p>
    <w:p>
      <w:pPr>
        <w:spacing w:line="460" w:lineRule="exact"/>
        <w:rPr>
          <w:rFonts w:ascii="Times New Roman" w:hAnsi="Times New Roman"/>
          <w:kern w:val="44"/>
        </w:rPr>
      </w:pPr>
      <w:r>
        <w:rPr>
          <w:rFonts w:hint="eastAsia" w:ascii="Times New Roman" w:hAnsi="Times New Roman"/>
          <w:kern w:val="44"/>
        </w:rPr>
        <w:t>3.3.4</w:t>
      </w:r>
      <w:bookmarkEnd w:id="52"/>
      <w:bookmarkEnd w:id="53"/>
      <w:bookmarkEnd w:id="54"/>
      <w:r>
        <w:rPr>
          <w:rFonts w:hint="eastAsia" w:ascii="Times New Roman" w:hAnsi="Times New Roman"/>
          <w:kern w:val="44"/>
        </w:rPr>
        <w:t xml:space="preserve"> 光缆固定单元</w:t>
      </w:r>
    </w:p>
    <w:p>
      <w:pPr>
        <w:spacing w:line="460" w:lineRule="exact"/>
        <w:rPr>
          <w:rFonts w:ascii="Times New Roman" w:hAnsi="Times New Roman"/>
          <w:kern w:val="44"/>
        </w:rPr>
      </w:pPr>
      <w:r>
        <w:rPr>
          <w:rFonts w:hint="eastAsia" w:ascii="Times New Roman" w:hAnsi="Times New Roman"/>
          <w:kern w:val="44"/>
        </w:rPr>
        <w:t>3.3.4.1 光缆固定单元应能兼容带状、束状光缆的固定、开剥。</w:t>
      </w:r>
    </w:p>
    <w:p>
      <w:pPr>
        <w:jc w:val="center"/>
        <w:rPr>
          <w:sz w:val="28"/>
          <w:szCs w:val="28"/>
        </w:rPr>
      </w:pPr>
      <w:r>
        <w:rPr>
          <w:rFonts w:hint="eastAsia"/>
          <w:sz w:val="28"/>
          <w:szCs w:val="28"/>
        </w:rPr>
        <w:drawing>
          <wp:inline distT="0" distB="0" distL="0" distR="0">
            <wp:extent cx="4371975" cy="295275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7"/>
                    <a:srcRect/>
                    <a:stretch>
                      <a:fillRect/>
                    </a:stretch>
                  </pic:blipFill>
                  <pic:spPr>
                    <a:xfrm>
                      <a:off x="0" y="0"/>
                      <a:ext cx="4371975" cy="2952750"/>
                    </a:xfrm>
                    <a:prstGeom prst="rect">
                      <a:avLst/>
                    </a:prstGeom>
                    <a:noFill/>
                    <a:ln w="9525">
                      <a:noFill/>
                      <a:miter lim="800000"/>
                      <a:headEnd/>
                      <a:tailEnd/>
                    </a:ln>
                  </pic:spPr>
                </pic:pic>
              </a:graphicData>
            </a:graphic>
          </wp:inline>
        </w:drawing>
      </w:r>
    </w:p>
    <w:p>
      <w:pPr>
        <w:spacing w:line="460" w:lineRule="exact"/>
        <w:jc w:val="center"/>
        <w:rPr>
          <w:szCs w:val="24"/>
        </w:rPr>
      </w:pPr>
      <w:bookmarkStart w:id="55" w:name="_Toc310369371"/>
      <w:bookmarkStart w:id="56" w:name="_Toc310369022"/>
      <w:r>
        <w:rPr>
          <w:rFonts w:hint="eastAsia"/>
          <w:szCs w:val="24"/>
        </w:rPr>
        <w:t>图</w:t>
      </w:r>
      <w:r>
        <w:rPr>
          <w:rFonts w:hint="eastAsia" w:ascii="Times New Roman" w:hAnsi="Times New Roman"/>
          <w:kern w:val="0"/>
        </w:rPr>
        <w:t>17</w:t>
      </w:r>
      <w:r>
        <w:rPr>
          <w:rFonts w:hint="eastAsia"/>
          <w:szCs w:val="24"/>
        </w:rPr>
        <w:t xml:space="preserve">  光缆固定板</w:t>
      </w:r>
      <w:bookmarkEnd w:id="55"/>
      <w:bookmarkEnd w:id="56"/>
      <w:r>
        <w:rPr>
          <w:rFonts w:hint="eastAsia"/>
          <w:szCs w:val="24"/>
        </w:rPr>
        <w:t>示意图</w:t>
      </w:r>
    </w:p>
    <w:p>
      <w:pPr>
        <w:spacing w:line="460" w:lineRule="exact"/>
        <w:rPr>
          <w:rFonts w:ascii="Times New Roman" w:hAnsi="Times New Roman"/>
          <w:kern w:val="44"/>
        </w:rPr>
      </w:pPr>
      <w:bookmarkStart w:id="57" w:name="_Toc310369372"/>
      <w:r>
        <w:rPr>
          <w:rFonts w:hint="eastAsia" w:ascii="Times New Roman" w:hAnsi="Times New Roman"/>
          <w:kern w:val="44"/>
        </w:rPr>
        <w:t>3</w:t>
      </w:r>
      <w:r>
        <w:rPr>
          <w:rFonts w:ascii="Times New Roman" w:hAnsi="Times New Roman"/>
          <w:kern w:val="44"/>
        </w:rPr>
        <w:t>.</w:t>
      </w:r>
      <w:r>
        <w:rPr>
          <w:rFonts w:hint="eastAsia" w:ascii="Times New Roman" w:hAnsi="Times New Roman"/>
          <w:kern w:val="44"/>
        </w:rPr>
        <w:t>3.4.2 光缆固定装置中的接地标识粘贴一个于上图中位置处。</w:t>
      </w:r>
      <w:bookmarkEnd w:id="57"/>
      <w:bookmarkStart w:id="58" w:name="_Toc249807675"/>
      <w:bookmarkStart w:id="59" w:name="_Toc310369375"/>
    </w:p>
    <w:p>
      <w:pPr>
        <w:spacing w:line="460" w:lineRule="exact"/>
        <w:rPr>
          <w:rFonts w:ascii="Times New Roman" w:hAnsi="Times New Roman"/>
          <w:kern w:val="44"/>
        </w:rPr>
      </w:pPr>
      <w:r>
        <w:rPr>
          <w:rFonts w:hint="eastAsia" w:ascii="Times New Roman" w:hAnsi="Times New Roman"/>
          <w:kern w:val="44"/>
        </w:rPr>
        <w:t>3.3.5 光纤存贮单元</w:t>
      </w:r>
      <w:bookmarkEnd w:id="58"/>
      <w:bookmarkEnd w:id="59"/>
    </w:p>
    <w:p>
      <w:pPr>
        <w:jc w:val="center"/>
        <w:rPr>
          <w:sz w:val="28"/>
          <w:szCs w:val="28"/>
        </w:rPr>
      </w:pPr>
      <w:r>
        <w:rPr>
          <w:sz w:val="28"/>
          <w:szCs w:val="28"/>
        </w:rPr>
        <w:drawing>
          <wp:inline distT="0" distB="0" distL="0" distR="0">
            <wp:extent cx="4552950" cy="14954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8"/>
                    <a:srcRect/>
                    <a:stretch>
                      <a:fillRect/>
                    </a:stretch>
                  </pic:blipFill>
                  <pic:spPr>
                    <a:xfrm>
                      <a:off x="0" y="0"/>
                      <a:ext cx="4552950" cy="1495425"/>
                    </a:xfrm>
                    <a:prstGeom prst="rect">
                      <a:avLst/>
                    </a:prstGeom>
                    <a:noFill/>
                    <a:ln w="9525">
                      <a:noFill/>
                      <a:miter lim="800000"/>
                      <a:headEnd/>
                      <a:tailEnd/>
                    </a:ln>
                  </pic:spPr>
                </pic:pic>
              </a:graphicData>
            </a:graphic>
          </wp:inline>
        </w:drawing>
      </w:r>
    </w:p>
    <w:p>
      <w:pPr>
        <w:jc w:val="center"/>
        <w:rPr>
          <w:kern w:val="0"/>
        </w:rPr>
      </w:pPr>
      <w:bookmarkStart w:id="60" w:name="_Toc310369376"/>
      <w:r>
        <w:rPr>
          <w:rFonts w:hint="eastAsia"/>
          <w:kern w:val="0"/>
        </w:rPr>
        <w:t>图</w:t>
      </w:r>
      <w:r>
        <w:rPr>
          <w:rFonts w:hint="eastAsia" w:ascii="Times New Roman" w:hAnsi="Times New Roman"/>
          <w:kern w:val="44"/>
        </w:rPr>
        <w:t xml:space="preserve">18 </w:t>
      </w:r>
      <w:r>
        <w:rPr>
          <w:rFonts w:hint="eastAsia"/>
          <w:kern w:val="0"/>
        </w:rPr>
        <w:t>存贮单元</w:t>
      </w:r>
      <w:bookmarkEnd w:id="60"/>
      <w:r>
        <w:rPr>
          <w:rFonts w:hint="eastAsia" w:ascii="Times New Roman" w:hAnsi="Times New Roman"/>
          <w:kern w:val="44"/>
        </w:rPr>
        <w:t>结构示意图</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61" w:name="_Toc19725"/>
      <w:r>
        <w:rPr>
          <w:rFonts w:hint="eastAsia" w:ascii="Times New Roman" w:hAnsi="Times New Roman" w:eastAsia="宋体"/>
          <w:b w:val="0"/>
          <w:sz w:val="24"/>
        </w:rPr>
        <w:t>3.4 绕纤轮</w:t>
      </w:r>
      <w:bookmarkEnd w:id="61"/>
    </w:p>
    <w:p>
      <w:pPr>
        <w:spacing w:line="460" w:lineRule="exact"/>
        <w:rPr>
          <w:rFonts w:ascii="Times New Roman" w:hAnsi="Times New Roman"/>
          <w:kern w:val="44"/>
        </w:rPr>
      </w:pPr>
      <w:r>
        <w:rPr>
          <w:rFonts w:hint="eastAsia" w:ascii="Times New Roman" w:hAnsi="Times New Roman"/>
          <w:kern w:val="44"/>
        </w:rPr>
        <w:t>绕纤轮的截面为圆形，其外径不小于Φ60mm，采用工程PVC材料。</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62" w:name="_Toc15501"/>
      <w:r>
        <w:rPr>
          <w:rFonts w:ascii="Times New Roman" w:hAnsi="Times New Roman" w:eastAsia="宋体"/>
          <w:b w:val="0"/>
          <w:sz w:val="24"/>
        </w:rPr>
        <w:t xml:space="preserve">4 </w:t>
      </w:r>
      <w:bookmarkStart w:id="63" w:name="_Toc322287266"/>
      <w:r>
        <w:rPr>
          <w:rFonts w:hint="eastAsia" w:ascii="Times New Roman" w:hAnsi="Times New Roman" w:eastAsia="宋体"/>
          <w:b w:val="0"/>
          <w:sz w:val="24"/>
        </w:rPr>
        <w:t>技术要求</w:t>
      </w:r>
      <w:bookmarkEnd w:id="62"/>
      <w:bookmarkEnd w:id="63"/>
      <w:bookmarkStart w:id="64" w:name="_Toc131219969"/>
      <w:bookmarkStart w:id="65" w:name="_Toc131219960"/>
    </w:p>
    <w:bookmarkEnd w:id="64"/>
    <w:bookmarkEnd w:id="65"/>
    <w:p>
      <w:pPr>
        <w:pStyle w:val="2"/>
        <w:kinsoku/>
        <w:overflowPunct/>
        <w:autoSpaceDE/>
        <w:autoSpaceDN/>
        <w:snapToGrid/>
        <w:spacing w:before="0" w:line="560" w:lineRule="exact"/>
        <w:textAlignment w:val="baseline"/>
        <w:rPr>
          <w:rFonts w:ascii="Times New Roman" w:hAnsi="Times New Roman" w:eastAsia="宋体"/>
          <w:b w:val="0"/>
          <w:sz w:val="24"/>
        </w:rPr>
      </w:pPr>
      <w:bookmarkStart w:id="66" w:name="_Toc9909"/>
      <w:r>
        <w:rPr>
          <w:rFonts w:ascii="Times New Roman" w:hAnsi="Times New Roman" w:eastAsia="宋体"/>
          <w:b w:val="0"/>
          <w:sz w:val="24"/>
        </w:rPr>
        <w:t>4.1</w:t>
      </w:r>
      <w:r>
        <w:rPr>
          <w:rFonts w:hint="eastAsia" w:ascii="Times New Roman" w:hAnsi="Times New Roman" w:eastAsia="宋体"/>
          <w:b w:val="0"/>
          <w:sz w:val="24"/>
        </w:rPr>
        <w:t>光纤连接器型号</w:t>
      </w:r>
      <w:bookmarkEnd w:id="66"/>
    </w:p>
    <w:p>
      <w:pPr>
        <w:spacing w:line="460" w:lineRule="exact"/>
        <w:rPr>
          <w:kern w:val="44"/>
        </w:rPr>
      </w:pPr>
      <w:r>
        <w:rPr>
          <w:rFonts w:hint="eastAsia" w:ascii="Times New Roman" w:hAnsi="Times New Roman"/>
          <w:kern w:val="44"/>
        </w:rPr>
        <w:t>适合于SC或FC型光纤适配器的安装，可灵活接入SC或FC跳线/尾纤。</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67" w:name="_Toc363569813"/>
      <w:bookmarkStart w:id="68" w:name="_Toc18104"/>
      <w:r>
        <w:rPr>
          <w:rFonts w:ascii="Times New Roman" w:hAnsi="Times New Roman" w:eastAsia="宋体"/>
          <w:b w:val="0"/>
          <w:sz w:val="24"/>
        </w:rPr>
        <w:t>4.</w:t>
      </w:r>
      <w:r>
        <w:rPr>
          <w:rFonts w:hint="eastAsia" w:ascii="Times New Roman" w:hAnsi="Times New Roman" w:eastAsia="宋体"/>
          <w:b w:val="0"/>
          <w:sz w:val="24"/>
        </w:rPr>
        <w:t>2 光纤活动连接器、尾纤光学性能及外观要求</w:t>
      </w:r>
      <w:bookmarkEnd w:id="67"/>
      <w:bookmarkEnd w:id="68"/>
    </w:p>
    <w:p>
      <w:pPr>
        <w:spacing w:line="360" w:lineRule="auto"/>
        <w:ind w:firstLine="480" w:firstLineChars="200"/>
        <w:rPr>
          <w:rFonts w:ascii="Times New Roman" w:hAnsi="Times New Roman"/>
          <w:kern w:val="21"/>
        </w:rPr>
      </w:pPr>
      <w:r>
        <w:rPr>
          <w:rFonts w:hint="eastAsia" w:ascii="Times New Roman" w:hAnsi="Times New Roman"/>
          <w:kern w:val="21"/>
        </w:rPr>
        <w:t>光纤连接器是由跳纤、尾纤和适配器组成，</w:t>
      </w:r>
      <w:r>
        <w:rPr>
          <w:rFonts w:hint="eastAsia"/>
          <w:kern w:val="0"/>
          <w:szCs w:val="24"/>
        </w:rPr>
        <w:t>光纤连接器光学性能指标应不低于YD/T778-2011标准5.5.2.1节的要求。</w:t>
      </w:r>
      <w:r>
        <w:rPr>
          <w:rFonts w:hint="eastAsia" w:ascii="Times New Roman" w:hAnsi="Times New Roman"/>
          <w:kern w:val="21"/>
        </w:rPr>
        <w:t>其主要光学性能及外观要求应满足表2要求。</w:t>
      </w:r>
    </w:p>
    <w:p>
      <w:pPr>
        <w:spacing w:line="460" w:lineRule="exact"/>
        <w:jc w:val="center"/>
        <w:rPr>
          <w:rFonts w:ascii="Times New Roman" w:hAnsi="Times New Roman"/>
          <w:b/>
        </w:rPr>
      </w:pPr>
      <w:r>
        <w:rPr>
          <w:rFonts w:hint="eastAsia" w:ascii="Times New Roman" w:hAnsi="Times New Roman"/>
          <w:kern w:val="44"/>
        </w:rPr>
        <w:t>表2 光纤活动连接器及尾纤光学性能及外观要求    单位：dB</w:t>
      </w:r>
    </w:p>
    <w:tbl>
      <w:tblPr>
        <w:tblStyle w:val="17"/>
        <w:tblW w:w="10516" w:type="dxa"/>
        <w:jc w:val="center"/>
        <w:tblLayout w:type="fixed"/>
        <w:tblCellMar>
          <w:top w:w="0" w:type="dxa"/>
          <w:left w:w="108" w:type="dxa"/>
          <w:bottom w:w="0" w:type="dxa"/>
          <w:right w:w="108" w:type="dxa"/>
        </w:tblCellMar>
      </w:tblPr>
      <w:tblGrid>
        <w:gridCol w:w="709"/>
        <w:gridCol w:w="986"/>
        <w:gridCol w:w="850"/>
        <w:gridCol w:w="851"/>
        <w:gridCol w:w="1000"/>
        <w:gridCol w:w="720"/>
        <w:gridCol w:w="720"/>
        <w:gridCol w:w="900"/>
        <w:gridCol w:w="900"/>
        <w:gridCol w:w="2880"/>
      </w:tblGrid>
      <w:tr>
        <w:tblPrEx>
          <w:tblCellMar>
            <w:top w:w="0" w:type="dxa"/>
            <w:left w:w="108" w:type="dxa"/>
            <w:bottom w:w="0" w:type="dxa"/>
            <w:right w:w="108" w:type="dxa"/>
          </w:tblCellMar>
        </w:tblPrEx>
        <w:trPr>
          <w:trHeight w:val="285" w:hRule="atLeast"/>
          <w:tblHeader/>
          <w:jc w:val="center"/>
        </w:trPr>
        <w:tc>
          <w:tcPr>
            <w:tcW w:w="16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检验项目</w:t>
            </w:r>
          </w:p>
        </w:tc>
        <w:tc>
          <w:tcPr>
            <w:tcW w:w="1701"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多模（1300nm)</w:t>
            </w:r>
          </w:p>
        </w:tc>
        <w:tc>
          <w:tcPr>
            <w:tcW w:w="4240" w:type="dxa"/>
            <w:gridSpan w:val="5"/>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单模（1310nm及1550nm)</w:t>
            </w:r>
          </w:p>
        </w:tc>
        <w:tc>
          <w:tcPr>
            <w:tcW w:w="2880" w:type="dxa"/>
            <w:vMerge w:val="restart"/>
            <w:tcBorders>
              <w:top w:val="single" w:color="auto" w:sz="4" w:space="0"/>
              <w:left w:val="nil"/>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外观要求</w:t>
            </w:r>
          </w:p>
        </w:tc>
      </w:tr>
      <w:tr>
        <w:tblPrEx>
          <w:tblCellMar>
            <w:top w:w="0" w:type="dxa"/>
            <w:left w:w="108" w:type="dxa"/>
            <w:bottom w:w="0" w:type="dxa"/>
            <w:right w:w="108" w:type="dxa"/>
          </w:tblCellMar>
        </w:tblPrEx>
        <w:trPr>
          <w:trHeight w:val="285" w:hRule="atLeast"/>
          <w:tblHeader/>
          <w:jc w:val="center"/>
        </w:trPr>
        <w:tc>
          <w:tcPr>
            <w:tcW w:w="70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编码</w:t>
            </w:r>
          </w:p>
        </w:tc>
        <w:tc>
          <w:tcPr>
            <w:tcW w:w="986"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项目名称</w:t>
            </w:r>
          </w:p>
        </w:tc>
        <w:tc>
          <w:tcPr>
            <w:tcW w:w="85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插入</w:t>
            </w:r>
          </w:p>
          <w:p>
            <w:pPr>
              <w:widowControl/>
              <w:jc w:val="center"/>
              <w:rPr>
                <w:rFonts w:cs="宋体"/>
                <w:kern w:val="0"/>
                <w:sz w:val="18"/>
                <w:szCs w:val="18"/>
              </w:rPr>
            </w:pPr>
            <w:r>
              <w:rPr>
                <w:rFonts w:hint="eastAsia" w:cs="宋体"/>
                <w:kern w:val="0"/>
                <w:sz w:val="18"/>
                <w:szCs w:val="18"/>
              </w:rPr>
              <w:t>损耗</w:t>
            </w:r>
          </w:p>
        </w:tc>
        <w:tc>
          <w:tcPr>
            <w:tcW w:w="851"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附加</w:t>
            </w:r>
          </w:p>
          <w:p>
            <w:pPr>
              <w:widowControl/>
              <w:jc w:val="center"/>
              <w:rPr>
                <w:rFonts w:cs="宋体"/>
                <w:kern w:val="0"/>
                <w:sz w:val="18"/>
                <w:szCs w:val="18"/>
              </w:rPr>
            </w:pPr>
            <w:r>
              <w:rPr>
                <w:rFonts w:hint="eastAsia" w:cs="宋体"/>
                <w:kern w:val="0"/>
                <w:sz w:val="18"/>
                <w:szCs w:val="18"/>
              </w:rPr>
              <w:t>损耗</w:t>
            </w:r>
          </w:p>
        </w:tc>
        <w:tc>
          <w:tcPr>
            <w:tcW w:w="100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插入损耗</w:t>
            </w:r>
          </w:p>
        </w:tc>
        <w:tc>
          <w:tcPr>
            <w:tcW w:w="72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附加</w:t>
            </w:r>
          </w:p>
          <w:p>
            <w:pPr>
              <w:widowControl/>
              <w:jc w:val="center"/>
              <w:rPr>
                <w:rFonts w:cs="宋体"/>
                <w:kern w:val="0"/>
                <w:sz w:val="18"/>
                <w:szCs w:val="18"/>
              </w:rPr>
            </w:pPr>
            <w:r>
              <w:rPr>
                <w:rFonts w:hint="eastAsia" w:cs="宋体"/>
                <w:kern w:val="0"/>
                <w:sz w:val="18"/>
                <w:szCs w:val="18"/>
              </w:rPr>
              <w:t>损耗</w:t>
            </w:r>
          </w:p>
        </w:tc>
        <w:tc>
          <w:tcPr>
            <w:tcW w:w="1620"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回波损耗</w:t>
            </w:r>
          </w:p>
        </w:tc>
        <w:tc>
          <w:tcPr>
            <w:tcW w:w="90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回波损耗变化量</w:t>
            </w:r>
          </w:p>
        </w:tc>
        <w:tc>
          <w:tcPr>
            <w:tcW w:w="2880" w:type="dxa"/>
            <w:vMerge w:val="continue"/>
            <w:tcBorders>
              <w:left w:val="single" w:color="auto" w:sz="4" w:space="0"/>
              <w:right w:val="single" w:color="auto" w:sz="4" w:space="0"/>
            </w:tcBorders>
            <w:shd w:val="clear" w:color="auto" w:fill="auto"/>
            <w:vAlign w:val="center"/>
          </w:tcPr>
          <w:p>
            <w:pPr>
              <w:widowControl/>
              <w:jc w:val="center"/>
              <w:rPr>
                <w:rFonts w:cs="宋体"/>
                <w:kern w:val="0"/>
                <w:sz w:val="18"/>
                <w:szCs w:val="18"/>
              </w:rPr>
            </w:pPr>
          </w:p>
        </w:tc>
      </w:tr>
      <w:tr>
        <w:tblPrEx>
          <w:tblCellMar>
            <w:top w:w="0" w:type="dxa"/>
            <w:left w:w="108" w:type="dxa"/>
            <w:bottom w:w="0" w:type="dxa"/>
            <w:right w:w="108" w:type="dxa"/>
          </w:tblCellMar>
        </w:tblPrEx>
        <w:trPr>
          <w:trHeight w:val="570" w:hRule="atLeast"/>
          <w:tblHeader/>
          <w:jc w:val="center"/>
        </w:trPr>
        <w:tc>
          <w:tcPr>
            <w:tcW w:w="709"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986"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850"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851"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PC、</w:t>
            </w:r>
            <w:r>
              <w:rPr>
                <w:rFonts w:hint="eastAsia" w:cs="宋体"/>
                <w:kern w:val="0"/>
                <w:sz w:val="18"/>
                <w:szCs w:val="18"/>
              </w:rPr>
              <w:br w:type="textWrapping"/>
            </w:r>
            <w:r>
              <w:rPr>
                <w:rFonts w:hint="eastAsia" w:cs="宋体"/>
                <w:kern w:val="0"/>
                <w:sz w:val="18"/>
                <w:szCs w:val="18"/>
              </w:rPr>
              <w:t>UPC型</w:t>
            </w:r>
          </w:p>
        </w:tc>
        <w:tc>
          <w:tcPr>
            <w:tcW w:w="720"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PC型</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UPC型</w:t>
            </w:r>
          </w:p>
        </w:tc>
        <w:tc>
          <w:tcPr>
            <w:tcW w:w="900"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2880" w:type="dxa"/>
            <w:vMerge w:val="continue"/>
            <w:tcBorders>
              <w:left w:val="single" w:color="auto" w:sz="4" w:space="0"/>
              <w:bottom w:val="single" w:color="auto" w:sz="4" w:space="0"/>
              <w:right w:val="single" w:color="auto" w:sz="4" w:space="0"/>
            </w:tcBorders>
            <w:vAlign w:val="center"/>
          </w:tcPr>
          <w:p>
            <w:pPr>
              <w:widowControl/>
              <w:jc w:val="left"/>
              <w:rPr>
                <w:rFonts w:cs="宋体"/>
                <w:kern w:val="0"/>
                <w:sz w:val="18"/>
                <w:szCs w:val="18"/>
              </w:rPr>
            </w:pP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w:t>
            </w:r>
            <w:r>
              <w:rPr>
                <w:rFonts w:hint="eastAsia" w:cs="宋体"/>
                <w:kern w:val="0"/>
                <w:sz w:val="18"/>
                <w:szCs w:val="18"/>
              </w:rPr>
              <w:t>试验前</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≤0.35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≤0.3</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≥45</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≥50</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28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w:t>
            </w:r>
            <w:r>
              <w:rPr>
                <w:rFonts w:hint="eastAsia" w:cs="宋体"/>
                <w:kern w:val="0"/>
                <w:sz w:val="18"/>
                <w:szCs w:val="18"/>
              </w:rPr>
              <w:t>互换性试验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机械耐久性</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试验后，不得有机械损伤，插针表面无明显划痕。试验后的试样不能出现螺纹滑丝、锁扣失去弹性、部件出现裂痕等。</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w:t>
            </w:r>
            <w:r>
              <w:rPr>
                <w:rFonts w:hint="eastAsia" w:cs="宋体"/>
                <w:kern w:val="0"/>
                <w:sz w:val="18"/>
                <w:szCs w:val="18"/>
              </w:rPr>
              <w:t>抗拉试验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≤0.1</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≤0.1</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试验后，不得有机械损伤，如变形、脱落、松驰等现象，插针表面无明显划痕。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扭转试验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试验后，不得有机械损伤，插针表面无明显划痕。试验后，试样不能出现外观变形等异常现象。</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6</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跌落试验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w:t>
            </w:r>
            <w:r>
              <w:rPr>
                <w:rFonts w:hint="eastAsia" w:cs="宋体"/>
                <w:kern w:val="0"/>
                <w:sz w:val="18"/>
                <w:szCs w:val="18"/>
              </w:rPr>
              <w:t>重复性</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运输试验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≤0.1</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高温试验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试验后，不得有机械损伤，如变形、龟裂、松弛等现象，插针表面无明显划痕。</w:t>
            </w:r>
            <w:r>
              <w:rPr>
                <w:rFonts w:cs="宋体"/>
                <w:kern w:val="0"/>
                <w:sz w:val="18"/>
                <w:szCs w:val="18"/>
              </w:rPr>
              <w:t xml:space="preserve"> </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10</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低温试验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试验后，不得有机械损伤，如变形、龟裂、松弛等现象，插针表面无明显划痕。</w:t>
            </w:r>
            <w:r>
              <w:rPr>
                <w:rFonts w:cs="宋体"/>
                <w:kern w:val="0"/>
                <w:sz w:val="18"/>
                <w:szCs w:val="18"/>
              </w:rPr>
              <w:t xml:space="preserve"> </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湿热试验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试验后，不得有机械损伤，如变形、龟裂、松弛等现象，插针表面无明显划痕。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12</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盐雾试验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试验后，不得有机械损伤，插针表面无明显划痕。试样的外观不能有锈蚀、剥落、沙眼、破损等。</w:t>
            </w:r>
          </w:p>
        </w:tc>
      </w:tr>
      <w:tr>
        <w:tblPrEx>
          <w:tblCellMar>
            <w:top w:w="0" w:type="dxa"/>
            <w:left w:w="108" w:type="dxa"/>
            <w:bottom w:w="0" w:type="dxa"/>
            <w:right w:w="108" w:type="dxa"/>
          </w:tblCellMar>
        </w:tblPrEx>
        <w:trPr>
          <w:trHeight w:val="560" w:hRule="atLeast"/>
          <w:jc w:val="center"/>
        </w:trPr>
        <w:tc>
          <w:tcPr>
            <w:tcW w:w="10516" w:type="dxa"/>
            <w:gridSpan w:val="10"/>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注1：附加损耗＝例行试验后插入损耗－常态插入损耗，出现负值为零。</w:t>
            </w:r>
            <w:r>
              <w:rPr>
                <w:rFonts w:hint="eastAsia" w:cs="宋体"/>
                <w:kern w:val="0"/>
                <w:sz w:val="18"/>
                <w:szCs w:val="18"/>
              </w:rPr>
              <w:br w:type="textWrapping"/>
            </w:r>
            <w:r>
              <w:rPr>
                <w:rFonts w:hint="eastAsia" w:cs="宋体"/>
                <w:kern w:val="0"/>
                <w:sz w:val="18"/>
                <w:szCs w:val="18"/>
              </w:rPr>
              <w:t>注2：回波损耗变化量＝常态回波损耗－例行试验后回波损耗，出现负值为零。</w:t>
            </w:r>
          </w:p>
        </w:tc>
      </w:tr>
    </w:tbl>
    <w:p>
      <w:pPr>
        <w:spacing w:line="460" w:lineRule="exact"/>
        <w:ind w:firstLine="480" w:firstLineChars="200"/>
        <w:rPr>
          <w:rFonts w:ascii="Times New Roman" w:hAnsi="Times New Roman"/>
          <w:kern w:val="44"/>
        </w:rPr>
      </w:pPr>
      <w:r>
        <w:rPr>
          <w:rFonts w:hint="eastAsia" w:ascii="Times New Roman" w:hAnsi="Times New Roman"/>
          <w:kern w:val="44"/>
        </w:rPr>
        <w:t>如投标方设备的性能优于上述指标，请补充提供投标设备的详细性能指标数据，并提供相关测试数据。</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69" w:name="_Toc29169"/>
      <w:r>
        <w:rPr>
          <w:rFonts w:ascii="Times New Roman" w:hAnsi="Times New Roman" w:eastAsia="宋体"/>
          <w:b w:val="0"/>
          <w:sz w:val="24"/>
        </w:rPr>
        <w:t>4.</w:t>
      </w:r>
      <w:r>
        <w:rPr>
          <w:rFonts w:hint="eastAsia" w:ascii="Times New Roman" w:hAnsi="Times New Roman" w:eastAsia="宋体"/>
          <w:b w:val="0"/>
          <w:sz w:val="24"/>
        </w:rPr>
        <w:t>3 光纤连接器几何尺寸指标</w:t>
      </w:r>
      <w:bookmarkEnd w:id="69"/>
    </w:p>
    <w:p>
      <w:pPr>
        <w:spacing w:line="460" w:lineRule="exact"/>
        <w:ind w:firstLine="480" w:firstLineChars="200"/>
        <w:rPr>
          <w:rFonts w:ascii="Times New Roman" w:hAnsi="Times New Roman"/>
          <w:kern w:val="0"/>
        </w:rPr>
      </w:pPr>
      <w:r>
        <w:rPr>
          <w:rFonts w:hint="eastAsia"/>
          <w:color w:val="000000"/>
          <w:szCs w:val="21"/>
        </w:rPr>
        <w:t>光纤连接器几何尺寸指标</w:t>
      </w:r>
      <w:r>
        <w:rPr>
          <w:rFonts w:hint="eastAsia"/>
          <w:kern w:val="0"/>
          <w:szCs w:val="24"/>
        </w:rPr>
        <w:t>应不低于YD/T778-2011标准5.5.2.2节的要求</w:t>
      </w:r>
      <w:r>
        <w:rPr>
          <w:rFonts w:hint="eastAsia" w:ascii="Times New Roman" w:hAnsi="Times New Roman"/>
          <w:kern w:val="0"/>
        </w:rPr>
        <w:t>。</w:t>
      </w:r>
    </w:p>
    <w:p>
      <w:pPr>
        <w:spacing w:line="460" w:lineRule="exact"/>
        <w:ind w:firstLine="480" w:firstLineChars="200"/>
        <w:rPr>
          <w:szCs w:val="24"/>
        </w:rPr>
      </w:pPr>
      <w:r>
        <w:rPr>
          <w:rFonts w:hint="eastAsia"/>
          <w:szCs w:val="24"/>
        </w:rPr>
        <w:t>光纤连接器端面几何尺寸指标应符合表</w:t>
      </w:r>
      <w:r>
        <w:rPr>
          <w:rFonts w:hint="eastAsia" w:ascii="Times New Roman" w:hAnsi="Times New Roman"/>
          <w:kern w:val="44"/>
        </w:rPr>
        <w:t>3要</w:t>
      </w:r>
      <w:r>
        <w:rPr>
          <w:rFonts w:hint="eastAsia"/>
          <w:szCs w:val="24"/>
        </w:rPr>
        <w:t>求。</w:t>
      </w:r>
    </w:p>
    <w:p>
      <w:pPr>
        <w:widowControl/>
        <w:spacing w:line="360" w:lineRule="auto"/>
        <w:jc w:val="center"/>
        <w:rPr>
          <w:kern w:val="21"/>
        </w:rPr>
      </w:pPr>
      <w:r>
        <w:rPr>
          <w:rFonts w:hint="eastAsia"/>
          <w:kern w:val="21"/>
        </w:rPr>
        <w:t>表3  光纤连接器端面几何尺寸指标</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1"/>
        <w:gridCol w:w="7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6" w:hRule="atLeast"/>
        </w:trPr>
        <w:tc>
          <w:tcPr>
            <w:tcW w:w="1951" w:type="dxa"/>
            <w:shd w:val="clear" w:color="auto" w:fill="auto"/>
            <w:vAlign w:val="center"/>
          </w:tcPr>
          <w:p>
            <w:pPr>
              <w:spacing w:line="360" w:lineRule="auto"/>
              <w:jc w:val="center"/>
              <w:rPr>
                <w:kern w:val="21"/>
                <w:sz w:val="20"/>
              </w:rPr>
            </w:pPr>
            <w:r>
              <w:rPr>
                <w:rFonts w:hint="eastAsia" w:cs="宋体"/>
                <w:kern w:val="0"/>
                <w:sz w:val="20"/>
                <w:szCs w:val="21"/>
              </w:rPr>
              <w:t>PC端面几何尺寸</w:t>
            </w:r>
          </w:p>
        </w:tc>
        <w:tc>
          <w:tcPr>
            <w:tcW w:w="7563" w:type="dxa"/>
            <w:shd w:val="clear" w:color="auto" w:fill="auto"/>
          </w:tcPr>
          <w:p>
            <w:pPr>
              <w:spacing w:line="360" w:lineRule="auto"/>
              <w:rPr>
                <w:kern w:val="21"/>
                <w:sz w:val="20"/>
                <w:szCs w:val="21"/>
              </w:rPr>
            </w:pPr>
            <w:r>
              <w:rPr>
                <w:rFonts w:hint="eastAsia"/>
                <w:kern w:val="21"/>
                <w:sz w:val="20"/>
                <w:szCs w:val="21"/>
              </w:rPr>
              <w:t>试验条件: 试验前用端面几何尺寸测量仪检测，打印测量结果。</w:t>
            </w:r>
          </w:p>
          <w:p>
            <w:pPr>
              <w:spacing w:line="360" w:lineRule="auto"/>
              <w:rPr>
                <w:kern w:val="21"/>
                <w:sz w:val="20"/>
                <w:szCs w:val="21"/>
              </w:rPr>
            </w:pPr>
            <w:r>
              <w:rPr>
                <w:rFonts w:hint="eastAsia"/>
                <w:kern w:val="21"/>
                <w:sz w:val="20"/>
                <w:szCs w:val="21"/>
              </w:rPr>
              <w:t>判定标准：</w:t>
            </w:r>
          </w:p>
          <w:tbl>
            <w:tblPr>
              <w:tblStyle w:val="17"/>
              <w:tblW w:w="0" w:type="auto"/>
              <w:tblInd w:w="3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04" w:type="dxa"/>
                  <w:vMerge w:val="restart"/>
                  <w:shd w:val="clear" w:color="auto" w:fill="auto"/>
                  <w:vAlign w:val="center"/>
                </w:tcPr>
                <w:p>
                  <w:pPr>
                    <w:spacing w:line="360" w:lineRule="auto"/>
                    <w:jc w:val="center"/>
                    <w:rPr>
                      <w:kern w:val="21"/>
                      <w:sz w:val="20"/>
                      <w:szCs w:val="21"/>
                    </w:rPr>
                  </w:pPr>
                  <w:r>
                    <w:rPr>
                      <w:rFonts w:hint="eastAsia"/>
                      <w:kern w:val="21"/>
                      <w:sz w:val="20"/>
                      <w:szCs w:val="21"/>
                    </w:rPr>
                    <w:t>纤芯下陷</w:t>
                  </w:r>
                </w:p>
              </w:tc>
              <w:tc>
                <w:tcPr>
                  <w:tcW w:w="5103" w:type="dxa"/>
                  <w:shd w:val="clear" w:color="auto" w:fill="auto"/>
                </w:tcPr>
                <w:p>
                  <w:pPr>
                    <w:spacing w:line="360" w:lineRule="auto"/>
                    <w:rPr>
                      <w:kern w:val="21"/>
                      <w:sz w:val="20"/>
                      <w:szCs w:val="21"/>
                    </w:rPr>
                  </w:pPr>
                  <w:r>
                    <w:rPr>
                      <w:rFonts w:hint="eastAsia" w:cs="宋体"/>
                      <w:i/>
                      <w:kern w:val="0"/>
                      <w:sz w:val="20"/>
                      <w:szCs w:val="21"/>
                    </w:rPr>
                    <w:t>X</w:t>
                  </w:r>
                  <w:r>
                    <w:rPr>
                      <w:rFonts w:hint="eastAsia" w:cs="宋体"/>
                      <w:kern w:val="0"/>
                      <w:sz w:val="20"/>
                      <w:szCs w:val="21"/>
                    </w:rPr>
                    <w:t>≤125nm(</w:t>
                  </w:r>
                  <w:r>
                    <w:rPr>
                      <w:rFonts w:hint="eastAsia"/>
                      <w:kern w:val="21"/>
                      <w:sz w:val="20"/>
                      <w:szCs w:val="21"/>
                    </w:rPr>
                    <w:t>曲率半径在7～10mm)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04" w:type="dxa"/>
                  <w:vMerge w:val="continue"/>
                  <w:shd w:val="clear" w:color="auto" w:fill="auto"/>
                </w:tcPr>
                <w:p>
                  <w:pPr>
                    <w:spacing w:line="360" w:lineRule="auto"/>
                    <w:rPr>
                      <w:kern w:val="21"/>
                      <w:sz w:val="20"/>
                      <w:szCs w:val="21"/>
                    </w:rPr>
                  </w:pPr>
                </w:p>
              </w:tc>
              <w:tc>
                <w:tcPr>
                  <w:tcW w:w="5103" w:type="dxa"/>
                  <w:shd w:val="clear" w:color="auto" w:fill="auto"/>
                </w:tcPr>
                <w:p>
                  <w:pPr>
                    <w:spacing w:line="360" w:lineRule="auto"/>
                    <w:rPr>
                      <w:kern w:val="21"/>
                      <w:sz w:val="20"/>
                      <w:szCs w:val="21"/>
                    </w:rPr>
                  </w:pPr>
                  <w:r>
                    <w:rPr>
                      <w:rFonts w:hint="eastAsia" w:cs="宋体"/>
                      <w:i/>
                      <w:kern w:val="0"/>
                      <w:sz w:val="20"/>
                      <w:szCs w:val="21"/>
                    </w:rPr>
                    <w:t>X</w:t>
                  </w:r>
                  <w:r>
                    <w:rPr>
                      <w:rFonts w:hint="eastAsia" w:cs="宋体"/>
                      <w:kern w:val="0"/>
                      <w:sz w:val="20"/>
                      <w:szCs w:val="21"/>
                    </w:rPr>
                    <w:t>≤-0.02R</w:t>
                  </w:r>
                  <w:r>
                    <w:rPr>
                      <w:rFonts w:hint="eastAsia" w:cs="宋体"/>
                      <w:kern w:val="0"/>
                      <w:sz w:val="20"/>
                      <w:szCs w:val="21"/>
                      <w:vertAlign w:val="superscript"/>
                    </w:rPr>
                    <w:t>3</w:t>
                  </w:r>
                  <w:r>
                    <w:rPr>
                      <w:rFonts w:hint="eastAsia" w:cs="宋体"/>
                      <w:kern w:val="0"/>
                      <w:sz w:val="20"/>
                      <w:szCs w:val="21"/>
                    </w:rPr>
                    <w:t>+1.3R</w:t>
                  </w:r>
                  <w:r>
                    <w:rPr>
                      <w:rFonts w:hint="eastAsia" w:cs="宋体"/>
                      <w:kern w:val="0"/>
                      <w:sz w:val="20"/>
                      <w:szCs w:val="21"/>
                      <w:vertAlign w:val="superscript"/>
                    </w:rPr>
                    <w:t>2</w:t>
                  </w:r>
                  <w:r>
                    <w:rPr>
                      <w:rFonts w:hint="eastAsia" w:cs="宋体"/>
                      <w:kern w:val="0"/>
                      <w:sz w:val="20"/>
                      <w:szCs w:val="21"/>
                    </w:rPr>
                    <w:t>-31R+325nm(其他</w:t>
                  </w:r>
                  <w:r>
                    <w:rPr>
                      <w:rFonts w:hint="eastAsia"/>
                      <w:kern w:val="21"/>
                      <w:sz w:val="20"/>
                      <w:szCs w:val="21"/>
                    </w:rPr>
                    <w:t>曲率半径)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04" w:type="dxa"/>
                  <w:shd w:val="clear" w:color="auto" w:fill="auto"/>
                </w:tcPr>
                <w:p>
                  <w:pPr>
                    <w:spacing w:line="360" w:lineRule="auto"/>
                    <w:jc w:val="center"/>
                    <w:rPr>
                      <w:kern w:val="21"/>
                      <w:sz w:val="20"/>
                      <w:szCs w:val="21"/>
                    </w:rPr>
                  </w:pPr>
                  <w:r>
                    <w:rPr>
                      <w:rFonts w:hint="eastAsia"/>
                      <w:kern w:val="21"/>
                      <w:sz w:val="20"/>
                      <w:szCs w:val="21"/>
                    </w:rPr>
                    <w:t>纤芯突出</w:t>
                  </w:r>
                </w:p>
              </w:tc>
              <w:tc>
                <w:tcPr>
                  <w:tcW w:w="5103" w:type="dxa"/>
                  <w:shd w:val="clear" w:color="auto" w:fill="auto"/>
                </w:tcPr>
                <w:p>
                  <w:pPr>
                    <w:spacing w:line="360" w:lineRule="auto"/>
                    <w:rPr>
                      <w:kern w:val="21"/>
                      <w:sz w:val="20"/>
                      <w:szCs w:val="21"/>
                    </w:rPr>
                  </w:pPr>
                  <w:r>
                    <w:rPr>
                      <w:rFonts w:hint="eastAsia"/>
                      <w:i/>
                      <w:kern w:val="21"/>
                      <w:sz w:val="20"/>
                      <w:szCs w:val="21"/>
                    </w:rPr>
                    <w:t>Y</w:t>
                  </w:r>
                  <w:r>
                    <w:rPr>
                      <w:rFonts w:hint="eastAsia" w:cs="宋体"/>
                      <w:kern w:val="0"/>
                      <w:sz w:val="20"/>
                      <w:szCs w:val="21"/>
                    </w:rPr>
                    <w:t>≤50nm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kern w:val="21"/>
                      <w:sz w:val="20"/>
                      <w:szCs w:val="21"/>
                    </w:rPr>
                  </w:pPr>
                  <w:r>
                    <w:rPr>
                      <w:rFonts w:hint="eastAsia"/>
                      <w:kern w:val="21"/>
                      <w:sz w:val="20"/>
                      <w:szCs w:val="21"/>
                    </w:rPr>
                    <w:t>曲率半径</w:t>
                  </w:r>
                </w:p>
              </w:tc>
              <w:tc>
                <w:tcPr>
                  <w:tcW w:w="5103" w:type="dxa"/>
                  <w:shd w:val="clear" w:color="auto" w:fill="auto"/>
                </w:tcPr>
                <w:p>
                  <w:pPr>
                    <w:spacing w:line="360" w:lineRule="auto"/>
                    <w:rPr>
                      <w:kern w:val="21"/>
                      <w:sz w:val="20"/>
                      <w:szCs w:val="21"/>
                    </w:rPr>
                  </w:pPr>
                  <w:r>
                    <w:rPr>
                      <w:rFonts w:hint="eastAsia"/>
                      <w:i/>
                      <w:kern w:val="21"/>
                      <w:sz w:val="20"/>
                      <w:szCs w:val="21"/>
                    </w:rPr>
                    <w:t>R</w:t>
                  </w:r>
                  <w:r>
                    <w:rPr>
                      <w:rFonts w:hint="eastAsia"/>
                      <w:kern w:val="21"/>
                      <w:sz w:val="20"/>
                      <w:szCs w:val="21"/>
                    </w:rPr>
                    <w:t>=10～25mm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kern w:val="21"/>
                      <w:sz w:val="20"/>
                      <w:szCs w:val="21"/>
                    </w:rPr>
                  </w:pPr>
                  <w:r>
                    <w:rPr>
                      <w:rFonts w:hint="eastAsia"/>
                      <w:kern w:val="21"/>
                      <w:sz w:val="20"/>
                      <w:szCs w:val="21"/>
                    </w:rPr>
                    <w:t>顶点偏移</w:t>
                  </w:r>
                </w:p>
              </w:tc>
              <w:tc>
                <w:tcPr>
                  <w:tcW w:w="5103" w:type="dxa"/>
                  <w:shd w:val="clear" w:color="auto" w:fill="auto"/>
                </w:tcPr>
                <w:p>
                  <w:pPr>
                    <w:spacing w:line="360" w:lineRule="auto"/>
                    <w:rPr>
                      <w:kern w:val="21"/>
                      <w:sz w:val="20"/>
                      <w:szCs w:val="21"/>
                    </w:rPr>
                  </w:pPr>
                  <w:r>
                    <w:rPr>
                      <w:rFonts w:hint="eastAsia"/>
                      <w:kern w:val="21"/>
                      <w:sz w:val="20"/>
                      <w:szCs w:val="21"/>
                    </w:rPr>
                    <w:t>0～50μm</w:t>
                  </w:r>
                </w:p>
              </w:tc>
            </w:tr>
          </w:tbl>
          <w:p>
            <w:pPr>
              <w:spacing w:line="360" w:lineRule="auto"/>
              <w:rPr>
                <w:kern w:val="21"/>
                <w:sz w:val="20"/>
              </w:rPr>
            </w:pPr>
          </w:p>
        </w:tc>
      </w:tr>
    </w:tbl>
    <w:p>
      <w:pPr>
        <w:spacing w:line="460" w:lineRule="exact"/>
        <w:ind w:firstLine="360" w:firstLineChars="150"/>
        <w:rPr>
          <w:rFonts w:ascii="Times New Roman" w:hAnsi="Times New Roman"/>
          <w:kern w:val="44"/>
        </w:rPr>
      </w:pPr>
      <w:bookmarkStart w:id="70" w:name="_Toc132100057"/>
      <w:bookmarkStart w:id="71" w:name="_Toc131219958"/>
      <w:r>
        <w:rPr>
          <w:rFonts w:hint="eastAsia" w:ascii="Times New Roman" w:hAnsi="Times New Roman"/>
          <w:kern w:val="44"/>
        </w:rPr>
        <w:t>如投标方设备的性能优于上述指标，请补充提供投标设备的详细性能指标数据。</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72" w:name="_Toc6767"/>
      <w:r>
        <w:rPr>
          <w:rFonts w:hint="eastAsia" w:ascii="Times New Roman" w:hAnsi="Times New Roman" w:eastAsia="宋体"/>
          <w:b w:val="0"/>
          <w:sz w:val="24"/>
        </w:rPr>
        <w:t>4.4</w:t>
      </w:r>
      <w:r>
        <w:rPr>
          <w:rFonts w:ascii="Times New Roman" w:hAnsi="Times New Roman" w:eastAsia="宋体"/>
          <w:b w:val="0"/>
          <w:sz w:val="24"/>
        </w:rPr>
        <w:t xml:space="preserve"> </w:t>
      </w:r>
      <w:r>
        <w:rPr>
          <w:rFonts w:hint="eastAsia" w:ascii="Times New Roman" w:hAnsi="Times New Roman" w:eastAsia="宋体"/>
          <w:b w:val="0"/>
          <w:sz w:val="24"/>
        </w:rPr>
        <w:t>尾纤及软光纤性能</w:t>
      </w:r>
      <w:bookmarkEnd w:id="72"/>
    </w:p>
    <w:p>
      <w:pPr>
        <w:snapToGrid w:val="0"/>
        <w:spacing w:line="440" w:lineRule="exact"/>
        <w:ind w:right="16" w:firstLine="480" w:firstLineChars="200"/>
        <w:outlineLvl w:val="0"/>
      </w:pPr>
      <w:r>
        <w:rPr>
          <w:rFonts w:hint="eastAsia" w:cs="宋体"/>
          <w:szCs w:val="24"/>
        </w:rPr>
        <w:t>4.4.1尾纤及软光纤的</w:t>
      </w:r>
      <w:r>
        <w:rPr>
          <w:rFonts w:hint="eastAsia"/>
        </w:rPr>
        <w:t>技术指标应不低于YD/T  1258.2-2009</w:t>
      </w:r>
      <w:r>
        <w:t>《</w:t>
      </w:r>
      <w:r>
        <w:rPr>
          <w:rFonts w:hint="eastAsia"/>
        </w:rPr>
        <w:t>室内光缆系列 第二</w:t>
      </w:r>
      <w:r>
        <w:t>部分</w:t>
      </w:r>
      <w:r>
        <w:rPr>
          <w:rFonts w:hint="eastAsia"/>
        </w:rPr>
        <w:t xml:space="preserve"> 终端光缆组件用单芯和双芯光缆</w:t>
      </w:r>
      <w:r>
        <w:t>》</w:t>
      </w:r>
      <w:r>
        <w:rPr>
          <w:rFonts w:hint="eastAsia"/>
        </w:rPr>
        <w:t>的要求。</w:t>
      </w:r>
    </w:p>
    <w:p>
      <w:pPr>
        <w:snapToGrid w:val="0"/>
        <w:spacing w:line="440" w:lineRule="exact"/>
        <w:ind w:right="16" w:firstLine="480" w:firstLineChars="200"/>
        <w:outlineLvl w:val="0"/>
        <w:rPr>
          <w:rFonts w:cs="宋体"/>
          <w:szCs w:val="24"/>
        </w:rPr>
      </w:pPr>
      <w:r>
        <w:rPr>
          <w:rFonts w:hint="eastAsia" w:cs="宋体"/>
          <w:szCs w:val="24"/>
        </w:rPr>
        <w:t>4.4</w:t>
      </w:r>
      <w:r>
        <w:rPr>
          <w:rFonts w:cs="宋体"/>
          <w:szCs w:val="24"/>
        </w:rPr>
        <w:t>.</w:t>
      </w:r>
      <w:r>
        <w:rPr>
          <w:rFonts w:hint="eastAsia" w:cs="宋体"/>
          <w:szCs w:val="24"/>
        </w:rPr>
        <w:t>2 尾纤及软光纤外径</w:t>
      </w:r>
    </w:p>
    <w:p>
      <w:pPr>
        <w:snapToGrid w:val="0"/>
        <w:spacing w:line="440" w:lineRule="exact"/>
        <w:ind w:right="16" w:firstLine="480" w:firstLineChars="200"/>
        <w:outlineLvl w:val="0"/>
        <w:rPr>
          <w:rFonts w:cs="宋体"/>
          <w:szCs w:val="24"/>
        </w:rPr>
      </w:pPr>
      <w:r>
        <w:rPr>
          <w:rFonts w:hint="eastAsia" w:cs="宋体"/>
          <w:szCs w:val="24"/>
        </w:rPr>
        <w:t xml:space="preserve">   尾纤及软光纤外径应符合下表要求。</w:t>
      </w:r>
    </w:p>
    <w:p>
      <w:pPr>
        <w:ind w:firstLine="2760" w:firstLineChars="1150"/>
        <w:rPr>
          <w:szCs w:val="21"/>
        </w:rPr>
      </w:pPr>
      <w:r>
        <w:rPr>
          <w:rFonts w:hint="eastAsia" w:cs="宋体"/>
          <w:szCs w:val="24"/>
        </w:rPr>
        <w:t xml:space="preserve">表4.3   </w:t>
      </w:r>
      <w:r>
        <w:rPr>
          <w:szCs w:val="21"/>
        </w:rPr>
        <w:t>单芯光缆护套尺寸                 单位：mm</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63"/>
        <w:gridCol w:w="5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63" w:type="dxa"/>
          </w:tcPr>
          <w:p>
            <w:pPr>
              <w:jc w:val="center"/>
              <w:rPr>
                <w:sz w:val="21"/>
                <w:szCs w:val="21"/>
              </w:rPr>
            </w:pPr>
            <w:r>
              <w:rPr>
                <w:sz w:val="21"/>
                <w:szCs w:val="21"/>
              </w:rPr>
              <w:t>护套最小厚度</w:t>
            </w:r>
          </w:p>
        </w:tc>
        <w:tc>
          <w:tcPr>
            <w:tcW w:w="5166" w:type="dxa"/>
          </w:tcPr>
          <w:p>
            <w:pPr>
              <w:jc w:val="center"/>
              <w:rPr>
                <w:sz w:val="21"/>
                <w:szCs w:val="21"/>
              </w:rPr>
            </w:pPr>
            <w:r>
              <w:rPr>
                <w:sz w:val="21"/>
                <w:szCs w:val="21"/>
              </w:rPr>
              <w:t>护套外径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63" w:type="dxa"/>
          </w:tcPr>
          <w:p>
            <w:pPr>
              <w:jc w:val="center"/>
              <w:rPr>
                <w:sz w:val="21"/>
                <w:szCs w:val="21"/>
              </w:rPr>
            </w:pPr>
            <w:r>
              <w:rPr>
                <w:sz w:val="21"/>
                <w:szCs w:val="21"/>
              </w:rPr>
              <w:t>0.2</w:t>
            </w:r>
          </w:p>
        </w:tc>
        <w:tc>
          <w:tcPr>
            <w:tcW w:w="5166" w:type="dxa"/>
          </w:tcPr>
          <w:p>
            <w:pPr>
              <w:jc w:val="center"/>
              <w:rPr>
                <w:sz w:val="21"/>
                <w:szCs w:val="21"/>
              </w:rPr>
            </w:pPr>
            <w:r>
              <w:rPr>
                <w:sz w:val="21"/>
                <w:szCs w:val="21"/>
              </w:rPr>
              <w:t>1.6±0.1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63" w:type="dxa"/>
          </w:tcPr>
          <w:p>
            <w:pPr>
              <w:jc w:val="center"/>
              <w:rPr>
                <w:sz w:val="21"/>
                <w:szCs w:val="21"/>
              </w:rPr>
            </w:pPr>
            <w:r>
              <w:rPr>
                <w:sz w:val="21"/>
                <w:szCs w:val="21"/>
              </w:rPr>
              <w:t>0.3</w:t>
            </w:r>
          </w:p>
        </w:tc>
        <w:tc>
          <w:tcPr>
            <w:tcW w:w="5166" w:type="dxa"/>
          </w:tcPr>
          <w:p>
            <w:pPr>
              <w:jc w:val="center"/>
              <w:rPr>
                <w:sz w:val="21"/>
                <w:szCs w:val="21"/>
              </w:rPr>
            </w:pPr>
            <w:r>
              <w:rPr>
                <w:sz w:val="21"/>
                <w:szCs w:val="21"/>
              </w:rPr>
              <w:t>2.0±0.1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63" w:type="dxa"/>
          </w:tcPr>
          <w:p>
            <w:pPr>
              <w:jc w:val="center"/>
              <w:rPr>
                <w:sz w:val="21"/>
                <w:szCs w:val="21"/>
              </w:rPr>
            </w:pPr>
            <w:r>
              <w:rPr>
                <w:sz w:val="21"/>
                <w:szCs w:val="21"/>
              </w:rPr>
              <w:t>0.4</w:t>
            </w:r>
          </w:p>
        </w:tc>
        <w:tc>
          <w:tcPr>
            <w:tcW w:w="5166" w:type="dxa"/>
          </w:tcPr>
          <w:p>
            <w:pPr>
              <w:jc w:val="center"/>
              <w:rPr>
                <w:sz w:val="21"/>
                <w:szCs w:val="21"/>
              </w:rPr>
            </w:pPr>
            <w:r>
              <w:rPr>
                <w:sz w:val="21"/>
                <w:szCs w:val="21"/>
              </w:rPr>
              <w:t>3.0±0.1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9" w:type="dxa"/>
            <w:gridSpan w:val="2"/>
          </w:tcPr>
          <w:p>
            <w:pPr>
              <w:rPr>
                <w:sz w:val="21"/>
                <w:szCs w:val="21"/>
              </w:rPr>
            </w:pPr>
            <w:r>
              <w:rPr>
                <w:sz w:val="21"/>
                <w:szCs w:val="21"/>
              </w:rPr>
              <w:t>注：也可根据用户要求生产其他尺寸的护套</w:t>
            </w:r>
          </w:p>
        </w:tc>
      </w:tr>
    </w:tbl>
    <w:p>
      <w:pPr>
        <w:snapToGrid w:val="0"/>
        <w:spacing w:line="440" w:lineRule="exact"/>
        <w:ind w:right="16" w:firstLine="480" w:firstLineChars="200"/>
        <w:outlineLvl w:val="0"/>
        <w:rPr>
          <w:rFonts w:cs="宋体"/>
          <w:szCs w:val="24"/>
        </w:rPr>
      </w:pPr>
      <w:r>
        <w:rPr>
          <w:rFonts w:hint="eastAsia" w:cs="宋体"/>
          <w:szCs w:val="24"/>
        </w:rPr>
        <w:t>标称值为0.9mm（带状）的最大值偏差不超过标称值的10%。</w:t>
      </w:r>
    </w:p>
    <w:p>
      <w:pPr>
        <w:snapToGrid w:val="0"/>
        <w:spacing w:line="440" w:lineRule="exact"/>
        <w:ind w:right="16" w:firstLine="480" w:firstLineChars="200"/>
        <w:outlineLvl w:val="0"/>
        <w:rPr>
          <w:rFonts w:cs="宋体"/>
          <w:szCs w:val="24"/>
        </w:rPr>
      </w:pPr>
      <w:r>
        <w:rPr>
          <w:rFonts w:hint="eastAsia" w:cs="宋体"/>
          <w:szCs w:val="24"/>
        </w:rPr>
        <w:t>4.4</w:t>
      </w:r>
      <w:r>
        <w:rPr>
          <w:rFonts w:cs="宋体"/>
          <w:szCs w:val="24"/>
        </w:rPr>
        <w:t>.</w:t>
      </w:r>
      <w:r>
        <w:rPr>
          <w:rFonts w:hint="eastAsia" w:cs="宋体"/>
          <w:szCs w:val="24"/>
        </w:rPr>
        <w:t>3 光缆</w:t>
      </w:r>
      <w:r>
        <w:rPr>
          <w:rFonts w:cs="宋体"/>
          <w:szCs w:val="24"/>
        </w:rPr>
        <w:t>的机械性能应包括拉伸、压扁、冲击、反复弯曲、扭转、曲挠、卷绕和护套抽拔等项目, 并应通过YD/T 1258.2-2009中 5.6 规定的试验方法和试验条件来检验。</w:t>
      </w:r>
    </w:p>
    <w:p>
      <w:pPr>
        <w:snapToGrid w:val="0"/>
        <w:spacing w:line="440" w:lineRule="exact"/>
        <w:ind w:right="16" w:firstLine="480" w:firstLineChars="200"/>
        <w:outlineLvl w:val="0"/>
        <w:rPr>
          <w:rFonts w:cs="宋体"/>
          <w:szCs w:val="24"/>
        </w:rPr>
      </w:pPr>
      <w:r>
        <w:rPr>
          <w:rFonts w:hint="eastAsia" w:cs="宋体"/>
          <w:szCs w:val="24"/>
        </w:rPr>
        <w:t>4.4.4</w:t>
      </w:r>
      <w:r>
        <w:rPr>
          <w:rFonts w:cs="宋体"/>
          <w:szCs w:val="24"/>
        </w:rPr>
        <w:t xml:space="preserve"> 光缆允许承受的拉伸力和压扁力应符合</w:t>
      </w:r>
      <w:r>
        <w:rPr>
          <w:rFonts w:hint="eastAsia" w:cs="宋体"/>
          <w:szCs w:val="24"/>
        </w:rPr>
        <w:t>下表</w:t>
      </w:r>
      <w:r>
        <w:rPr>
          <w:rFonts w:cs="宋体"/>
          <w:szCs w:val="24"/>
        </w:rPr>
        <w:t xml:space="preserve">规定。 </w:t>
      </w:r>
    </w:p>
    <w:p>
      <w:pPr>
        <w:snapToGrid w:val="0"/>
        <w:spacing w:line="440" w:lineRule="exact"/>
        <w:ind w:right="16" w:firstLine="2040" w:firstLineChars="850"/>
        <w:outlineLvl w:val="0"/>
      </w:pPr>
      <w:r>
        <w:rPr>
          <w:rFonts w:hint="eastAsia" w:cs="宋体"/>
          <w:szCs w:val="24"/>
        </w:rPr>
        <w:t>表4.4</w:t>
      </w:r>
      <w:r>
        <w:tab/>
      </w:r>
      <w:r>
        <w:t>光缆允许拉伸力和压扁力的最小值</w:t>
      </w:r>
    </w:p>
    <w:tbl>
      <w:tblPr>
        <w:tblStyle w:val="17"/>
        <w:tblW w:w="5000" w:type="pct"/>
        <w:jc w:val="center"/>
        <w:tblLayout w:type="autofit"/>
        <w:tblCellMar>
          <w:top w:w="0" w:type="dxa"/>
          <w:left w:w="108" w:type="dxa"/>
          <w:bottom w:w="0" w:type="dxa"/>
          <w:right w:w="108" w:type="dxa"/>
        </w:tblCellMar>
      </w:tblPr>
      <w:tblGrid>
        <w:gridCol w:w="1868"/>
        <w:gridCol w:w="1530"/>
        <w:gridCol w:w="1530"/>
        <w:gridCol w:w="1530"/>
        <w:gridCol w:w="1530"/>
        <w:gridCol w:w="1526"/>
      </w:tblGrid>
      <w:tr>
        <w:tblPrEx>
          <w:tblCellMar>
            <w:top w:w="0" w:type="dxa"/>
            <w:left w:w="108" w:type="dxa"/>
            <w:bottom w:w="0" w:type="dxa"/>
            <w:right w:w="108" w:type="dxa"/>
          </w:tblCellMar>
        </w:tblPrEx>
        <w:trPr>
          <w:trHeight w:val="300" w:hRule="atLeast"/>
          <w:jc w:val="center"/>
        </w:trPr>
        <w:tc>
          <w:tcPr>
            <w:tcW w:w="1786" w:type="pct"/>
            <w:gridSpan w:val="2"/>
            <w:vMerge w:val="restart"/>
            <w:tcBorders>
              <w:top w:val="single" w:color="auto" w:sz="8" w:space="0"/>
              <w:left w:val="single" w:color="auto" w:sz="8" w:space="0"/>
              <w:bottom w:val="single" w:color="000000" w:sz="8" w:space="0"/>
              <w:right w:val="single" w:color="000000" w:sz="8" w:space="0"/>
            </w:tcBorders>
            <w:shd w:val="clear" w:color="auto" w:fill="auto"/>
            <w:noWrap/>
            <w:vAlign w:val="center"/>
          </w:tcPr>
          <w:p>
            <w:pPr>
              <w:widowControl/>
              <w:jc w:val="center"/>
              <w:rPr>
                <w:sz w:val="21"/>
                <w:szCs w:val="21"/>
              </w:rPr>
            </w:pPr>
            <w:r>
              <w:rPr>
                <w:sz w:val="21"/>
                <w:szCs w:val="21"/>
              </w:rPr>
              <w:t>光缆类型</w:t>
            </w:r>
          </w:p>
        </w:tc>
        <w:tc>
          <w:tcPr>
            <w:tcW w:w="1608" w:type="pct"/>
            <w:gridSpan w:val="2"/>
            <w:tcBorders>
              <w:top w:val="single" w:color="auto" w:sz="8" w:space="0"/>
              <w:left w:val="nil"/>
              <w:bottom w:val="single" w:color="auto" w:sz="8" w:space="0"/>
              <w:right w:val="single" w:color="000000" w:sz="8" w:space="0"/>
            </w:tcBorders>
            <w:shd w:val="clear" w:color="auto" w:fill="auto"/>
          </w:tcPr>
          <w:p>
            <w:pPr>
              <w:widowControl/>
              <w:jc w:val="center"/>
              <w:rPr>
                <w:sz w:val="21"/>
                <w:szCs w:val="21"/>
              </w:rPr>
            </w:pPr>
            <w:r>
              <w:rPr>
                <w:sz w:val="21"/>
                <w:szCs w:val="21"/>
              </w:rPr>
              <w:t>拉伸力（N）</w:t>
            </w:r>
          </w:p>
        </w:tc>
        <w:tc>
          <w:tcPr>
            <w:tcW w:w="1606" w:type="pct"/>
            <w:gridSpan w:val="2"/>
            <w:tcBorders>
              <w:top w:val="single" w:color="auto" w:sz="8" w:space="0"/>
              <w:left w:val="nil"/>
              <w:bottom w:val="single" w:color="auto" w:sz="8" w:space="0"/>
              <w:right w:val="single" w:color="000000" w:sz="8" w:space="0"/>
            </w:tcBorders>
            <w:shd w:val="clear" w:color="auto" w:fill="auto"/>
            <w:vAlign w:val="center"/>
          </w:tcPr>
          <w:p>
            <w:pPr>
              <w:widowControl/>
              <w:jc w:val="center"/>
              <w:rPr>
                <w:sz w:val="21"/>
                <w:szCs w:val="21"/>
              </w:rPr>
            </w:pPr>
            <w:r>
              <w:rPr>
                <w:sz w:val="21"/>
                <w:szCs w:val="21"/>
              </w:rPr>
              <w:t>压扁力（N/100mm）</w:t>
            </w:r>
          </w:p>
        </w:tc>
      </w:tr>
      <w:tr>
        <w:tblPrEx>
          <w:tblCellMar>
            <w:top w:w="0" w:type="dxa"/>
            <w:left w:w="108" w:type="dxa"/>
            <w:bottom w:w="0" w:type="dxa"/>
            <w:right w:w="108" w:type="dxa"/>
          </w:tblCellMar>
        </w:tblPrEx>
        <w:trPr>
          <w:trHeight w:val="300" w:hRule="atLeast"/>
          <w:jc w:val="center"/>
        </w:trPr>
        <w:tc>
          <w:tcPr>
            <w:tcW w:w="1786" w:type="pct"/>
            <w:gridSpan w:val="2"/>
            <w:vMerge w:val="continue"/>
            <w:tcBorders>
              <w:top w:val="single" w:color="auto" w:sz="8" w:space="0"/>
              <w:left w:val="single" w:color="auto" w:sz="8" w:space="0"/>
              <w:bottom w:val="single" w:color="000000" w:sz="8" w:space="0"/>
              <w:right w:val="single" w:color="000000" w:sz="8" w:space="0"/>
            </w:tcBorders>
            <w:vAlign w:val="center"/>
          </w:tcPr>
          <w:p>
            <w:pPr>
              <w:widowControl/>
              <w:jc w:val="left"/>
              <w:rPr>
                <w:sz w:val="21"/>
                <w:szCs w:val="21"/>
              </w:rPr>
            </w:pPr>
          </w:p>
        </w:tc>
        <w:tc>
          <w:tcPr>
            <w:tcW w:w="804" w:type="pct"/>
            <w:tcBorders>
              <w:top w:val="nil"/>
              <w:left w:val="nil"/>
              <w:bottom w:val="single" w:color="auto" w:sz="8" w:space="0"/>
              <w:right w:val="single" w:color="auto" w:sz="8" w:space="0"/>
            </w:tcBorders>
            <w:shd w:val="clear" w:color="auto" w:fill="auto"/>
          </w:tcPr>
          <w:p>
            <w:pPr>
              <w:widowControl/>
              <w:jc w:val="center"/>
              <w:rPr>
                <w:sz w:val="21"/>
                <w:szCs w:val="21"/>
              </w:rPr>
            </w:pPr>
            <w:r>
              <w:rPr>
                <w:sz w:val="21"/>
                <w:szCs w:val="21"/>
              </w:rPr>
              <w:t>短暂受力</w:t>
            </w:r>
          </w:p>
        </w:tc>
        <w:tc>
          <w:tcPr>
            <w:tcW w:w="804" w:type="pct"/>
            <w:tcBorders>
              <w:top w:val="nil"/>
              <w:left w:val="nil"/>
              <w:bottom w:val="single" w:color="auto" w:sz="8" w:space="0"/>
              <w:right w:val="single" w:color="auto" w:sz="8" w:space="0"/>
            </w:tcBorders>
            <w:shd w:val="clear" w:color="auto" w:fill="auto"/>
            <w:vAlign w:val="center"/>
          </w:tcPr>
          <w:p>
            <w:pPr>
              <w:widowControl/>
              <w:jc w:val="center"/>
              <w:rPr>
                <w:sz w:val="21"/>
                <w:szCs w:val="21"/>
              </w:rPr>
            </w:pPr>
            <w:r>
              <w:rPr>
                <w:sz w:val="21"/>
                <w:szCs w:val="21"/>
              </w:rPr>
              <w:t>长期受力</w:t>
            </w:r>
          </w:p>
        </w:tc>
        <w:tc>
          <w:tcPr>
            <w:tcW w:w="804" w:type="pct"/>
            <w:tcBorders>
              <w:top w:val="nil"/>
              <w:left w:val="nil"/>
              <w:bottom w:val="single" w:color="auto" w:sz="8" w:space="0"/>
              <w:right w:val="single" w:color="auto" w:sz="8" w:space="0"/>
            </w:tcBorders>
            <w:shd w:val="clear" w:color="auto" w:fill="auto"/>
            <w:vAlign w:val="center"/>
          </w:tcPr>
          <w:p>
            <w:pPr>
              <w:widowControl/>
              <w:jc w:val="center"/>
              <w:rPr>
                <w:sz w:val="21"/>
                <w:szCs w:val="21"/>
              </w:rPr>
            </w:pPr>
            <w:r>
              <w:rPr>
                <w:sz w:val="21"/>
                <w:szCs w:val="21"/>
              </w:rPr>
              <w:t>短暂受力</w:t>
            </w:r>
          </w:p>
        </w:tc>
        <w:tc>
          <w:tcPr>
            <w:tcW w:w="802" w:type="pct"/>
            <w:tcBorders>
              <w:top w:val="nil"/>
              <w:left w:val="nil"/>
              <w:bottom w:val="single" w:color="auto" w:sz="8" w:space="0"/>
              <w:right w:val="single" w:color="auto" w:sz="8" w:space="0"/>
            </w:tcBorders>
            <w:shd w:val="clear" w:color="auto" w:fill="auto"/>
            <w:vAlign w:val="center"/>
          </w:tcPr>
          <w:p>
            <w:pPr>
              <w:widowControl/>
              <w:jc w:val="center"/>
              <w:rPr>
                <w:sz w:val="21"/>
                <w:szCs w:val="21"/>
              </w:rPr>
            </w:pPr>
            <w:r>
              <w:rPr>
                <w:sz w:val="21"/>
                <w:szCs w:val="21"/>
              </w:rPr>
              <w:t>长期受力</w:t>
            </w:r>
          </w:p>
        </w:tc>
      </w:tr>
      <w:tr>
        <w:tblPrEx>
          <w:tblCellMar>
            <w:top w:w="0" w:type="dxa"/>
            <w:left w:w="108" w:type="dxa"/>
            <w:bottom w:w="0" w:type="dxa"/>
            <w:right w:w="108" w:type="dxa"/>
          </w:tblCellMar>
        </w:tblPrEx>
        <w:trPr>
          <w:trHeight w:val="300" w:hRule="atLeast"/>
          <w:jc w:val="center"/>
        </w:trPr>
        <w:tc>
          <w:tcPr>
            <w:tcW w:w="982" w:type="pct"/>
            <w:vMerge w:val="restart"/>
            <w:tcBorders>
              <w:top w:val="nil"/>
              <w:left w:val="single" w:color="auto" w:sz="8" w:space="0"/>
              <w:bottom w:val="single" w:color="000000" w:sz="8" w:space="0"/>
              <w:right w:val="single" w:color="auto" w:sz="8" w:space="0"/>
            </w:tcBorders>
            <w:shd w:val="clear" w:color="auto" w:fill="auto"/>
            <w:vAlign w:val="center"/>
          </w:tcPr>
          <w:p>
            <w:pPr>
              <w:widowControl/>
              <w:jc w:val="center"/>
              <w:rPr>
                <w:sz w:val="21"/>
                <w:szCs w:val="21"/>
              </w:rPr>
            </w:pPr>
            <w:r>
              <w:rPr>
                <w:sz w:val="21"/>
                <w:szCs w:val="21"/>
              </w:rPr>
              <w:t>普通光跳纤</w:t>
            </w:r>
          </w:p>
        </w:tc>
        <w:tc>
          <w:tcPr>
            <w:tcW w:w="804" w:type="pct"/>
            <w:tcBorders>
              <w:top w:val="nil"/>
              <w:left w:val="nil"/>
              <w:bottom w:val="single" w:color="auto" w:sz="8" w:space="0"/>
              <w:right w:val="single" w:color="auto" w:sz="8" w:space="0"/>
            </w:tcBorders>
            <w:shd w:val="clear" w:color="auto" w:fill="auto"/>
            <w:vAlign w:val="center"/>
          </w:tcPr>
          <w:p>
            <w:pPr>
              <w:widowControl/>
              <w:jc w:val="center"/>
              <w:rPr>
                <w:sz w:val="21"/>
                <w:szCs w:val="21"/>
              </w:rPr>
            </w:pPr>
            <w:r>
              <w:rPr>
                <w:rFonts w:hint="eastAsia" w:cs="宋体"/>
                <w:sz w:val="21"/>
                <w:szCs w:val="21"/>
              </w:rPr>
              <w:t>Ⅰ</w:t>
            </w:r>
          </w:p>
        </w:tc>
        <w:tc>
          <w:tcPr>
            <w:tcW w:w="804" w:type="pct"/>
            <w:tcBorders>
              <w:top w:val="nil"/>
              <w:left w:val="nil"/>
              <w:bottom w:val="single" w:color="auto" w:sz="8" w:space="0"/>
              <w:right w:val="single" w:color="auto" w:sz="8" w:space="0"/>
            </w:tcBorders>
            <w:shd w:val="clear" w:color="auto" w:fill="auto"/>
          </w:tcPr>
          <w:p>
            <w:pPr>
              <w:widowControl/>
              <w:jc w:val="center"/>
              <w:rPr>
                <w:sz w:val="21"/>
                <w:szCs w:val="21"/>
              </w:rPr>
            </w:pPr>
            <w:r>
              <w:rPr>
                <w:sz w:val="21"/>
                <w:szCs w:val="21"/>
              </w:rPr>
              <w:t>150</w:t>
            </w:r>
          </w:p>
        </w:tc>
        <w:tc>
          <w:tcPr>
            <w:tcW w:w="804" w:type="pct"/>
            <w:tcBorders>
              <w:top w:val="nil"/>
              <w:left w:val="nil"/>
              <w:bottom w:val="single" w:color="auto" w:sz="8" w:space="0"/>
              <w:right w:val="single" w:color="auto" w:sz="8" w:space="0"/>
            </w:tcBorders>
            <w:shd w:val="clear" w:color="auto" w:fill="auto"/>
            <w:vAlign w:val="center"/>
          </w:tcPr>
          <w:p>
            <w:pPr>
              <w:widowControl/>
              <w:jc w:val="center"/>
              <w:rPr>
                <w:sz w:val="21"/>
                <w:szCs w:val="21"/>
              </w:rPr>
            </w:pPr>
            <w:r>
              <w:rPr>
                <w:sz w:val="21"/>
                <w:szCs w:val="21"/>
              </w:rPr>
              <w:t>80</w:t>
            </w:r>
          </w:p>
        </w:tc>
        <w:tc>
          <w:tcPr>
            <w:tcW w:w="804" w:type="pct"/>
            <w:vMerge w:val="restart"/>
            <w:tcBorders>
              <w:top w:val="nil"/>
              <w:left w:val="single" w:color="auto" w:sz="8" w:space="0"/>
              <w:bottom w:val="single" w:color="000000" w:sz="8" w:space="0"/>
              <w:right w:val="single" w:color="auto" w:sz="8" w:space="0"/>
            </w:tcBorders>
            <w:shd w:val="clear" w:color="auto" w:fill="auto"/>
            <w:vAlign w:val="center"/>
          </w:tcPr>
          <w:p>
            <w:pPr>
              <w:widowControl/>
              <w:jc w:val="center"/>
              <w:rPr>
                <w:sz w:val="21"/>
                <w:szCs w:val="21"/>
              </w:rPr>
            </w:pPr>
            <w:r>
              <w:rPr>
                <w:sz w:val="21"/>
                <w:szCs w:val="21"/>
              </w:rPr>
              <w:t>500</w:t>
            </w:r>
          </w:p>
        </w:tc>
        <w:tc>
          <w:tcPr>
            <w:tcW w:w="802" w:type="pct"/>
            <w:vMerge w:val="restart"/>
            <w:tcBorders>
              <w:top w:val="nil"/>
              <w:left w:val="single" w:color="auto" w:sz="8" w:space="0"/>
              <w:bottom w:val="single" w:color="000000" w:sz="8" w:space="0"/>
              <w:right w:val="single" w:color="auto" w:sz="8" w:space="0"/>
            </w:tcBorders>
            <w:shd w:val="clear" w:color="auto" w:fill="auto"/>
            <w:vAlign w:val="center"/>
          </w:tcPr>
          <w:p>
            <w:pPr>
              <w:widowControl/>
              <w:jc w:val="center"/>
              <w:rPr>
                <w:sz w:val="21"/>
                <w:szCs w:val="21"/>
              </w:rPr>
            </w:pPr>
            <w:r>
              <w:rPr>
                <w:sz w:val="21"/>
                <w:szCs w:val="21"/>
              </w:rPr>
              <w:t>100</w:t>
            </w:r>
          </w:p>
        </w:tc>
      </w:tr>
      <w:tr>
        <w:tblPrEx>
          <w:tblCellMar>
            <w:top w:w="0" w:type="dxa"/>
            <w:left w:w="108" w:type="dxa"/>
            <w:bottom w:w="0" w:type="dxa"/>
            <w:right w:w="108" w:type="dxa"/>
          </w:tblCellMar>
        </w:tblPrEx>
        <w:trPr>
          <w:trHeight w:val="300" w:hRule="atLeast"/>
          <w:jc w:val="center"/>
        </w:trPr>
        <w:tc>
          <w:tcPr>
            <w:tcW w:w="982" w:type="pct"/>
            <w:vMerge w:val="continue"/>
            <w:tcBorders>
              <w:top w:val="nil"/>
              <w:left w:val="single" w:color="auto" w:sz="8" w:space="0"/>
              <w:bottom w:val="single" w:color="000000" w:sz="8" w:space="0"/>
              <w:right w:val="single" w:color="auto" w:sz="8" w:space="0"/>
            </w:tcBorders>
            <w:vAlign w:val="center"/>
          </w:tcPr>
          <w:p>
            <w:pPr>
              <w:widowControl/>
              <w:jc w:val="left"/>
              <w:rPr>
                <w:sz w:val="21"/>
                <w:szCs w:val="21"/>
              </w:rPr>
            </w:pPr>
          </w:p>
        </w:tc>
        <w:tc>
          <w:tcPr>
            <w:tcW w:w="804" w:type="pct"/>
            <w:tcBorders>
              <w:top w:val="nil"/>
              <w:left w:val="nil"/>
              <w:bottom w:val="single" w:color="auto" w:sz="8" w:space="0"/>
              <w:right w:val="single" w:color="auto" w:sz="8" w:space="0"/>
            </w:tcBorders>
            <w:shd w:val="clear" w:color="auto" w:fill="auto"/>
            <w:vAlign w:val="center"/>
          </w:tcPr>
          <w:p>
            <w:pPr>
              <w:widowControl/>
              <w:jc w:val="center"/>
              <w:rPr>
                <w:sz w:val="21"/>
                <w:szCs w:val="21"/>
              </w:rPr>
            </w:pPr>
            <w:r>
              <w:rPr>
                <w:rFonts w:hint="eastAsia" w:cs="宋体"/>
                <w:sz w:val="21"/>
                <w:szCs w:val="21"/>
              </w:rPr>
              <w:t>Ⅱ</w:t>
            </w:r>
          </w:p>
        </w:tc>
        <w:tc>
          <w:tcPr>
            <w:tcW w:w="804" w:type="pct"/>
            <w:tcBorders>
              <w:top w:val="nil"/>
              <w:left w:val="nil"/>
              <w:bottom w:val="single" w:color="auto" w:sz="8" w:space="0"/>
              <w:right w:val="single" w:color="auto" w:sz="8" w:space="0"/>
            </w:tcBorders>
            <w:shd w:val="clear" w:color="auto" w:fill="auto"/>
          </w:tcPr>
          <w:p>
            <w:pPr>
              <w:widowControl/>
              <w:jc w:val="center"/>
              <w:rPr>
                <w:sz w:val="21"/>
                <w:szCs w:val="21"/>
              </w:rPr>
            </w:pPr>
            <w:r>
              <w:rPr>
                <w:sz w:val="21"/>
                <w:szCs w:val="21"/>
              </w:rPr>
              <w:t>100</w:t>
            </w:r>
          </w:p>
        </w:tc>
        <w:tc>
          <w:tcPr>
            <w:tcW w:w="804" w:type="pct"/>
            <w:tcBorders>
              <w:top w:val="nil"/>
              <w:left w:val="nil"/>
              <w:bottom w:val="single" w:color="auto" w:sz="8" w:space="0"/>
              <w:right w:val="single" w:color="auto" w:sz="8" w:space="0"/>
            </w:tcBorders>
            <w:shd w:val="clear" w:color="auto" w:fill="auto"/>
            <w:vAlign w:val="center"/>
          </w:tcPr>
          <w:p>
            <w:pPr>
              <w:widowControl/>
              <w:jc w:val="center"/>
              <w:rPr>
                <w:sz w:val="21"/>
                <w:szCs w:val="21"/>
              </w:rPr>
            </w:pPr>
            <w:r>
              <w:rPr>
                <w:sz w:val="21"/>
                <w:szCs w:val="21"/>
              </w:rPr>
              <w:t>60</w:t>
            </w:r>
          </w:p>
        </w:tc>
        <w:tc>
          <w:tcPr>
            <w:tcW w:w="804" w:type="pct"/>
            <w:vMerge w:val="continue"/>
            <w:tcBorders>
              <w:top w:val="nil"/>
              <w:left w:val="single" w:color="auto" w:sz="8" w:space="0"/>
              <w:bottom w:val="single" w:color="000000" w:sz="8" w:space="0"/>
              <w:right w:val="single" w:color="auto" w:sz="8" w:space="0"/>
            </w:tcBorders>
            <w:vAlign w:val="center"/>
          </w:tcPr>
          <w:p>
            <w:pPr>
              <w:widowControl/>
              <w:jc w:val="left"/>
              <w:rPr>
                <w:sz w:val="21"/>
                <w:szCs w:val="21"/>
              </w:rPr>
            </w:pPr>
          </w:p>
        </w:tc>
        <w:tc>
          <w:tcPr>
            <w:tcW w:w="802" w:type="pct"/>
            <w:vMerge w:val="continue"/>
            <w:tcBorders>
              <w:top w:val="nil"/>
              <w:left w:val="single" w:color="auto" w:sz="8" w:space="0"/>
              <w:bottom w:val="single" w:color="000000" w:sz="8" w:space="0"/>
              <w:right w:val="single" w:color="auto" w:sz="8" w:space="0"/>
            </w:tcBorders>
            <w:vAlign w:val="center"/>
          </w:tcPr>
          <w:p>
            <w:pPr>
              <w:widowControl/>
              <w:jc w:val="left"/>
              <w:rPr>
                <w:sz w:val="21"/>
                <w:szCs w:val="21"/>
              </w:rPr>
            </w:pPr>
          </w:p>
        </w:tc>
      </w:tr>
      <w:tr>
        <w:tblPrEx>
          <w:tblCellMar>
            <w:top w:w="0" w:type="dxa"/>
            <w:left w:w="108" w:type="dxa"/>
            <w:bottom w:w="0" w:type="dxa"/>
            <w:right w:w="108" w:type="dxa"/>
          </w:tblCellMar>
        </w:tblPrEx>
        <w:trPr>
          <w:trHeight w:val="300" w:hRule="atLeast"/>
          <w:jc w:val="center"/>
        </w:trPr>
        <w:tc>
          <w:tcPr>
            <w:tcW w:w="982" w:type="pct"/>
            <w:vMerge w:val="continue"/>
            <w:tcBorders>
              <w:top w:val="nil"/>
              <w:left w:val="single" w:color="auto" w:sz="8" w:space="0"/>
              <w:bottom w:val="single" w:color="000000" w:sz="8" w:space="0"/>
              <w:right w:val="single" w:color="auto" w:sz="8" w:space="0"/>
            </w:tcBorders>
            <w:vAlign w:val="center"/>
          </w:tcPr>
          <w:p>
            <w:pPr>
              <w:widowControl/>
              <w:jc w:val="left"/>
              <w:rPr>
                <w:sz w:val="21"/>
                <w:szCs w:val="21"/>
              </w:rPr>
            </w:pPr>
          </w:p>
        </w:tc>
        <w:tc>
          <w:tcPr>
            <w:tcW w:w="804" w:type="pct"/>
            <w:tcBorders>
              <w:top w:val="nil"/>
              <w:left w:val="nil"/>
              <w:bottom w:val="single" w:color="auto" w:sz="8" w:space="0"/>
              <w:right w:val="single" w:color="auto" w:sz="8" w:space="0"/>
            </w:tcBorders>
            <w:shd w:val="clear" w:color="auto" w:fill="auto"/>
            <w:vAlign w:val="center"/>
          </w:tcPr>
          <w:p>
            <w:pPr>
              <w:widowControl/>
              <w:jc w:val="center"/>
              <w:rPr>
                <w:sz w:val="21"/>
                <w:szCs w:val="21"/>
              </w:rPr>
            </w:pPr>
            <w:r>
              <w:rPr>
                <w:rFonts w:hint="eastAsia" w:cs="宋体"/>
                <w:sz w:val="21"/>
                <w:szCs w:val="21"/>
              </w:rPr>
              <w:t>Ⅲ</w:t>
            </w:r>
          </w:p>
        </w:tc>
        <w:tc>
          <w:tcPr>
            <w:tcW w:w="804" w:type="pct"/>
            <w:tcBorders>
              <w:top w:val="nil"/>
              <w:left w:val="nil"/>
              <w:bottom w:val="single" w:color="auto" w:sz="8" w:space="0"/>
              <w:right w:val="single" w:color="auto" w:sz="8" w:space="0"/>
            </w:tcBorders>
            <w:shd w:val="clear" w:color="auto" w:fill="auto"/>
          </w:tcPr>
          <w:p>
            <w:pPr>
              <w:widowControl/>
              <w:jc w:val="center"/>
              <w:rPr>
                <w:sz w:val="21"/>
                <w:szCs w:val="21"/>
              </w:rPr>
            </w:pPr>
            <w:r>
              <w:rPr>
                <w:sz w:val="21"/>
                <w:szCs w:val="21"/>
              </w:rPr>
              <w:t>80</w:t>
            </w:r>
          </w:p>
        </w:tc>
        <w:tc>
          <w:tcPr>
            <w:tcW w:w="804" w:type="pct"/>
            <w:tcBorders>
              <w:top w:val="nil"/>
              <w:left w:val="nil"/>
              <w:bottom w:val="single" w:color="auto" w:sz="8" w:space="0"/>
              <w:right w:val="single" w:color="auto" w:sz="8" w:space="0"/>
            </w:tcBorders>
            <w:shd w:val="clear" w:color="auto" w:fill="auto"/>
            <w:vAlign w:val="center"/>
          </w:tcPr>
          <w:p>
            <w:pPr>
              <w:widowControl/>
              <w:jc w:val="center"/>
              <w:rPr>
                <w:sz w:val="21"/>
                <w:szCs w:val="21"/>
              </w:rPr>
            </w:pPr>
            <w:r>
              <w:rPr>
                <w:sz w:val="21"/>
                <w:szCs w:val="21"/>
              </w:rPr>
              <w:t>40</w:t>
            </w:r>
          </w:p>
        </w:tc>
        <w:tc>
          <w:tcPr>
            <w:tcW w:w="804" w:type="pct"/>
            <w:vMerge w:val="continue"/>
            <w:tcBorders>
              <w:top w:val="nil"/>
              <w:left w:val="single" w:color="auto" w:sz="8" w:space="0"/>
              <w:bottom w:val="single" w:color="000000" w:sz="8" w:space="0"/>
              <w:right w:val="single" w:color="auto" w:sz="8" w:space="0"/>
            </w:tcBorders>
            <w:vAlign w:val="center"/>
          </w:tcPr>
          <w:p>
            <w:pPr>
              <w:widowControl/>
              <w:jc w:val="left"/>
              <w:rPr>
                <w:sz w:val="21"/>
                <w:szCs w:val="21"/>
              </w:rPr>
            </w:pPr>
          </w:p>
        </w:tc>
        <w:tc>
          <w:tcPr>
            <w:tcW w:w="802" w:type="pct"/>
            <w:vMerge w:val="continue"/>
            <w:tcBorders>
              <w:top w:val="nil"/>
              <w:left w:val="single" w:color="auto" w:sz="8" w:space="0"/>
              <w:bottom w:val="single" w:color="000000" w:sz="8" w:space="0"/>
              <w:right w:val="single" w:color="auto" w:sz="8" w:space="0"/>
            </w:tcBorders>
            <w:vAlign w:val="center"/>
          </w:tcPr>
          <w:p>
            <w:pPr>
              <w:widowControl/>
              <w:jc w:val="left"/>
              <w:rPr>
                <w:sz w:val="21"/>
                <w:szCs w:val="21"/>
              </w:rPr>
            </w:pPr>
          </w:p>
        </w:tc>
      </w:tr>
      <w:tr>
        <w:tblPrEx>
          <w:tblCellMar>
            <w:top w:w="0" w:type="dxa"/>
            <w:left w:w="108" w:type="dxa"/>
            <w:bottom w:w="0" w:type="dxa"/>
            <w:right w:w="108" w:type="dxa"/>
          </w:tblCellMar>
        </w:tblPrEx>
        <w:trPr>
          <w:trHeight w:val="675" w:hRule="atLeast"/>
          <w:jc w:val="center"/>
        </w:trPr>
        <w:tc>
          <w:tcPr>
            <w:tcW w:w="5000" w:type="pct"/>
            <w:gridSpan w:val="6"/>
            <w:tcBorders>
              <w:top w:val="single" w:color="auto" w:sz="8" w:space="0"/>
              <w:left w:val="single" w:color="auto" w:sz="8" w:space="0"/>
              <w:bottom w:val="single" w:color="auto" w:sz="8" w:space="0"/>
              <w:right w:val="single" w:color="000000" w:sz="8" w:space="0"/>
            </w:tcBorders>
            <w:shd w:val="clear" w:color="auto" w:fill="auto"/>
            <w:vAlign w:val="center"/>
          </w:tcPr>
          <w:p>
            <w:pPr>
              <w:widowControl/>
              <w:rPr>
                <w:sz w:val="21"/>
                <w:szCs w:val="21"/>
              </w:rPr>
            </w:pPr>
            <w:r>
              <w:rPr>
                <w:sz w:val="21"/>
                <w:szCs w:val="21"/>
              </w:rPr>
              <w:t>注：拉伸力中，</w:t>
            </w:r>
            <w:r>
              <w:rPr>
                <w:rFonts w:hint="eastAsia" w:cs="宋体"/>
                <w:sz w:val="21"/>
                <w:szCs w:val="21"/>
              </w:rPr>
              <w:t>Ⅰ</w:t>
            </w:r>
            <w:r>
              <w:rPr>
                <w:sz w:val="21"/>
                <w:szCs w:val="21"/>
              </w:rPr>
              <w:t>适用于标称外径为2.8mm及以上的单芯光缆；</w:t>
            </w:r>
            <w:r>
              <w:rPr>
                <w:rFonts w:hint="eastAsia" w:cs="宋体"/>
                <w:sz w:val="21"/>
                <w:szCs w:val="21"/>
              </w:rPr>
              <w:t>Ⅱ</w:t>
            </w:r>
            <w:r>
              <w:rPr>
                <w:sz w:val="21"/>
                <w:szCs w:val="21"/>
              </w:rPr>
              <w:t>适用于标称外径为2.0mm及小于2.8mm,大于1.6mm的单芯光缆；</w:t>
            </w:r>
            <w:r>
              <w:rPr>
                <w:rFonts w:hint="eastAsia" w:cs="宋体"/>
                <w:sz w:val="21"/>
                <w:szCs w:val="21"/>
              </w:rPr>
              <w:t>Ⅲ</w:t>
            </w:r>
            <w:r>
              <w:rPr>
                <w:sz w:val="21"/>
                <w:szCs w:val="21"/>
              </w:rPr>
              <w:t>适用于标称外径为1.6mm及以下的单芯光缆。</w:t>
            </w:r>
          </w:p>
        </w:tc>
      </w:tr>
    </w:tbl>
    <w:p>
      <w:pPr>
        <w:snapToGrid w:val="0"/>
        <w:spacing w:line="440" w:lineRule="exact"/>
        <w:ind w:right="16" w:firstLine="480" w:firstLineChars="200"/>
        <w:outlineLvl w:val="0"/>
        <w:rPr>
          <w:rFonts w:cs="宋体"/>
          <w:szCs w:val="24"/>
        </w:rPr>
      </w:pPr>
      <w:r>
        <w:rPr>
          <w:rFonts w:hint="eastAsia" w:cs="宋体"/>
          <w:szCs w:val="24"/>
        </w:rPr>
        <w:t>4.4</w:t>
      </w:r>
      <w:r>
        <w:rPr>
          <w:rFonts w:cs="宋体"/>
          <w:szCs w:val="24"/>
        </w:rPr>
        <w:t>.</w:t>
      </w:r>
      <w:r>
        <w:rPr>
          <w:rFonts w:hint="eastAsia" w:cs="宋体"/>
          <w:szCs w:val="24"/>
        </w:rPr>
        <w:t>5 尾纤及软光纤的</w:t>
      </w:r>
      <w:r>
        <w:rPr>
          <w:rFonts w:cs="宋体"/>
          <w:szCs w:val="24"/>
        </w:rPr>
        <w:t>2m</w:t>
      </w:r>
      <w:r>
        <w:rPr>
          <w:rFonts w:hint="eastAsia" w:cs="宋体"/>
          <w:szCs w:val="24"/>
        </w:rPr>
        <w:t>截止波长</w:t>
      </w:r>
    </w:p>
    <w:p>
      <w:pPr>
        <w:snapToGrid w:val="0"/>
        <w:spacing w:line="440" w:lineRule="exact"/>
        <w:ind w:right="16" w:firstLine="480" w:firstLineChars="200"/>
        <w:outlineLvl w:val="0"/>
        <w:rPr>
          <w:rFonts w:cs="宋体"/>
          <w:szCs w:val="24"/>
        </w:rPr>
      </w:pPr>
      <w:r>
        <w:rPr>
          <w:rFonts w:hint="eastAsia" w:cs="宋体"/>
          <w:szCs w:val="24"/>
          <w:highlight w:val="yellow"/>
        </w:rPr>
        <w:t>λ</w:t>
      </w:r>
      <w:r>
        <w:rPr>
          <w:rFonts w:cs="宋体"/>
          <w:szCs w:val="24"/>
          <w:highlight w:val="yellow"/>
        </w:rPr>
        <w:t>c</w:t>
      </w:r>
      <w:r>
        <w:rPr>
          <w:rFonts w:hint="eastAsia" w:cs="宋体"/>
          <w:szCs w:val="24"/>
          <w:highlight w:val="yellow"/>
        </w:rPr>
        <w:t>≤1250</w:t>
      </w:r>
      <w:r>
        <w:rPr>
          <w:rFonts w:cs="宋体"/>
          <w:szCs w:val="24"/>
          <w:highlight w:val="yellow"/>
        </w:rPr>
        <w:t>nm</w:t>
      </w:r>
      <w:r>
        <w:rPr>
          <w:rFonts w:hint="eastAsia" w:cs="宋体"/>
          <w:szCs w:val="24"/>
          <w:highlight w:val="yellow"/>
        </w:rPr>
        <w:t>(G</w:t>
      </w:r>
      <w:r>
        <w:rPr>
          <w:rFonts w:cs="宋体"/>
          <w:szCs w:val="24"/>
          <w:highlight w:val="yellow"/>
        </w:rPr>
        <w:t>.65</w:t>
      </w:r>
      <w:r>
        <w:rPr>
          <w:rFonts w:hint="eastAsia" w:cs="宋体"/>
          <w:szCs w:val="24"/>
          <w:highlight w:val="yellow"/>
        </w:rPr>
        <w:t>2光纤)、λ</w:t>
      </w:r>
      <w:r>
        <w:rPr>
          <w:rFonts w:cs="宋体"/>
          <w:szCs w:val="24"/>
          <w:highlight w:val="yellow"/>
        </w:rPr>
        <w:t>c</w:t>
      </w:r>
      <w:r>
        <w:rPr>
          <w:rFonts w:hint="eastAsia" w:cs="宋体"/>
          <w:szCs w:val="24"/>
          <w:highlight w:val="yellow"/>
        </w:rPr>
        <w:t>≤</w:t>
      </w:r>
      <w:r>
        <w:rPr>
          <w:rFonts w:cs="宋体"/>
          <w:szCs w:val="24"/>
          <w:highlight w:val="yellow"/>
        </w:rPr>
        <w:t>1470nm</w:t>
      </w:r>
      <w:r>
        <w:rPr>
          <w:rFonts w:hint="eastAsia" w:cs="宋体"/>
          <w:szCs w:val="24"/>
          <w:highlight w:val="yellow"/>
        </w:rPr>
        <w:t>(G</w:t>
      </w:r>
      <w:r>
        <w:rPr>
          <w:rFonts w:cs="宋体"/>
          <w:szCs w:val="24"/>
          <w:highlight w:val="yellow"/>
        </w:rPr>
        <w:t>.655</w:t>
      </w:r>
      <w:r>
        <w:rPr>
          <w:rFonts w:hint="eastAsia" w:cs="宋体"/>
          <w:szCs w:val="24"/>
          <w:highlight w:val="yellow"/>
        </w:rPr>
        <w:t>光纤)</w:t>
      </w:r>
    </w:p>
    <w:p>
      <w:pPr>
        <w:snapToGrid w:val="0"/>
        <w:spacing w:line="440" w:lineRule="exact"/>
        <w:ind w:right="16" w:firstLine="480" w:firstLineChars="200"/>
        <w:outlineLvl w:val="0"/>
        <w:rPr>
          <w:rFonts w:cs="宋体"/>
          <w:szCs w:val="24"/>
        </w:rPr>
      </w:pPr>
      <w:r>
        <w:rPr>
          <w:rFonts w:hint="eastAsia" w:cs="宋体"/>
          <w:szCs w:val="24"/>
        </w:rPr>
        <w:t>4.4.6 尾纤及软光纤应有标识</w:t>
      </w:r>
    </w:p>
    <w:p>
      <w:pPr>
        <w:snapToGrid w:val="0"/>
        <w:spacing w:line="440" w:lineRule="exact"/>
        <w:ind w:right="16" w:firstLine="480" w:firstLineChars="200"/>
        <w:outlineLvl w:val="0"/>
        <w:rPr>
          <w:rFonts w:cs="宋体"/>
          <w:szCs w:val="24"/>
        </w:rPr>
      </w:pPr>
      <w:r>
        <w:rPr>
          <w:rFonts w:hint="eastAsia" w:cs="宋体"/>
          <w:szCs w:val="24"/>
        </w:rPr>
        <w:t>在尾纤及软光纤的护套上应有产品型号、生产批次、生产日期、厂商名称；连接器应有商标或生产厂家的标记。</w:t>
      </w:r>
    </w:p>
    <w:p>
      <w:pPr>
        <w:snapToGrid w:val="0"/>
        <w:spacing w:line="440" w:lineRule="exact"/>
        <w:ind w:right="16" w:firstLine="480" w:firstLineChars="200"/>
        <w:outlineLvl w:val="0"/>
        <w:rPr>
          <w:rFonts w:cs="宋体"/>
          <w:szCs w:val="24"/>
        </w:rPr>
      </w:pPr>
      <w:r>
        <w:rPr>
          <w:rFonts w:hint="eastAsia" w:cs="宋体"/>
          <w:szCs w:val="24"/>
        </w:rPr>
        <w:t>护套上格式为：UNICOM-T（骨干网）/U(本地网)-厂商标识，由连接器开始位置起每米应有标识。</w:t>
      </w:r>
    </w:p>
    <w:p>
      <w:pPr>
        <w:snapToGrid w:val="0"/>
        <w:spacing w:line="440" w:lineRule="exact"/>
        <w:ind w:right="16" w:firstLine="480" w:firstLineChars="200"/>
        <w:outlineLvl w:val="0"/>
        <w:rPr>
          <w:rFonts w:cs="宋体"/>
          <w:szCs w:val="24"/>
        </w:rPr>
      </w:pPr>
      <w:r>
        <w:rPr>
          <w:rFonts w:hint="eastAsia" w:cs="宋体"/>
          <w:szCs w:val="24"/>
        </w:rPr>
        <w:t>应用不同颜色外护套表示和区分不同种类的光纤（</w:t>
      </w:r>
      <w:r>
        <w:rPr>
          <w:rFonts w:cs="宋体"/>
          <w:szCs w:val="24"/>
        </w:rPr>
        <w:t>绿色表示G.655光纤,黄色表示G.652光纤</w:t>
      </w:r>
      <w:r>
        <w:rPr>
          <w:rFonts w:hint="eastAsia" w:cs="宋体"/>
          <w:szCs w:val="24"/>
        </w:rPr>
        <w:t>）。</w:t>
      </w:r>
    </w:p>
    <w:p>
      <w:pPr>
        <w:pStyle w:val="2"/>
        <w:kinsoku/>
        <w:overflowPunct/>
        <w:autoSpaceDE/>
        <w:autoSpaceDN/>
        <w:snapToGrid/>
        <w:spacing w:before="0" w:line="560" w:lineRule="exact"/>
        <w:ind w:firstLine="240" w:firstLineChars="100"/>
        <w:textAlignment w:val="baseline"/>
        <w:rPr>
          <w:rFonts w:ascii="宋体" w:eastAsia="宋体" w:cs="宋体"/>
          <w:b w:val="0"/>
          <w:sz w:val="24"/>
        </w:rPr>
      </w:pPr>
      <w:bookmarkStart w:id="73" w:name="_Toc442107700"/>
      <w:bookmarkStart w:id="74" w:name="_Toc32424"/>
      <w:r>
        <w:rPr>
          <w:rFonts w:ascii="宋体" w:eastAsia="宋体" w:cs="宋体"/>
          <w:b w:val="0"/>
          <w:sz w:val="24"/>
        </w:rPr>
        <w:t>4.</w:t>
      </w:r>
      <w:r>
        <w:rPr>
          <w:rFonts w:hint="eastAsia" w:ascii="宋体" w:eastAsia="宋体" w:cs="宋体"/>
          <w:b w:val="0"/>
          <w:sz w:val="24"/>
        </w:rPr>
        <w:t>5试验条件</w:t>
      </w:r>
      <w:bookmarkEnd w:id="73"/>
      <w:bookmarkEnd w:id="74"/>
    </w:p>
    <w:p>
      <w:pPr>
        <w:spacing w:line="360" w:lineRule="auto"/>
        <w:ind w:firstLine="480" w:firstLineChars="200"/>
        <w:rPr>
          <w:rFonts w:ascii="Times New Roman" w:hAnsi="Times New Roman"/>
          <w:kern w:val="21"/>
        </w:rPr>
      </w:pPr>
      <w:r>
        <w:rPr>
          <w:rFonts w:hint="eastAsia" w:ascii="Times New Roman" w:hAnsi="Times New Roman"/>
          <w:kern w:val="21"/>
        </w:rPr>
        <w:t>光纤活动连接器及尾纤各试验条件见表5。</w:t>
      </w:r>
    </w:p>
    <w:p>
      <w:pPr>
        <w:spacing w:line="360" w:lineRule="auto"/>
        <w:ind w:firstLine="2520" w:firstLineChars="1050"/>
        <w:rPr>
          <w:rFonts w:ascii="Times New Roman" w:hAnsi="Times New Roman"/>
          <w:kern w:val="21"/>
        </w:rPr>
      </w:pPr>
      <w:r>
        <w:rPr>
          <w:rFonts w:hint="eastAsia" w:ascii="Times New Roman" w:hAnsi="Times New Roman"/>
          <w:kern w:val="21"/>
        </w:rPr>
        <w:t>表5 光纤活动连接器及尾纤各试验条件</w:t>
      </w:r>
    </w:p>
    <w:tbl>
      <w:tblPr>
        <w:tblStyle w:val="17"/>
        <w:tblW w:w="8910" w:type="dxa"/>
        <w:jc w:val="center"/>
        <w:tblLayout w:type="fixed"/>
        <w:tblCellMar>
          <w:top w:w="0" w:type="dxa"/>
          <w:left w:w="108" w:type="dxa"/>
          <w:bottom w:w="0" w:type="dxa"/>
          <w:right w:w="108" w:type="dxa"/>
        </w:tblCellMar>
      </w:tblPr>
      <w:tblGrid>
        <w:gridCol w:w="703"/>
        <w:gridCol w:w="1307"/>
        <w:gridCol w:w="6900"/>
      </w:tblGrid>
      <w:tr>
        <w:tblPrEx>
          <w:tblCellMar>
            <w:top w:w="0" w:type="dxa"/>
            <w:left w:w="108" w:type="dxa"/>
            <w:bottom w:w="0" w:type="dxa"/>
            <w:right w:w="108" w:type="dxa"/>
          </w:tblCellMar>
        </w:tblPrEx>
        <w:trPr>
          <w:trHeight w:val="460" w:hRule="atLeast"/>
          <w:tblHeader/>
          <w:jc w:val="center"/>
        </w:trPr>
        <w:tc>
          <w:tcPr>
            <w:tcW w:w="70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编码</w:t>
            </w:r>
          </w:p>
        </w:tc>
        <w:tc>
          <w:tcPr>
            <w:tcW w:w="130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项目名称</w:t>
            </w:r>
          </w:p>
        </w:tc>
        <w:tc>
          <w:tcPr>
            <w:tcW w:w="690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条件要求</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1</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机械耐久性</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插拔</w:t>
            </w:r>
            <w:r>
              <w:rPr>
                <w:rFonts w:cs="宋体"/>
                <w:kern w:val="0"/>
                <w:sz w:val="21"/>
                <w:szCs w:val="21"/>
              </w:rPr>
              <w:t>1000</w:t>
            </w:r>
            <w:r>
              <w:rPr>
                <w:rFonts w:hint="eastAsia" w:cs="宋体"/>
                <w:kern w:val="0"/>
                <w:sz w:val="21"/>
                <w:szCs w:val="21"/>
              </w:rPr>
              <w:t>次</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2</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抗拉试验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拉力50N，10min（Φ1.0mm以下尾纤（缆）的连接器不适用）</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3</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高温试验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配线架：+55℃±2℃</w:t>
            </w:r>
            <w:r>
              <w:rPr>
                <w:rFonts w:cs="宋体"/>
                <w:kern w:val="0"/>
                <w:sz w:val="21"/>
                <w:szCs w:val="21"/>
              </w:rPr>
              <w:t>，2h</w:t>
            </w:r>
          </w:p>
          <w:p>
            <w:pPr>
              <w:widowControl/>
              <w:jc w:val="center"/>
              <w:rPr>
                <w:rFonts w:cs="宋体"/>
                <w:kern w:val="0"/>
                <w:sz w:val="21"/>
                <w:szCs w:val="21"/>
              </w:rPr>
            </w:pPr>
            <w:r>
              <w:rPr>
                <w:rFonts w:hint="eastAsia" w:cs="宋体"/>
                <w:kern w:val="0"/>
                <w:sz w:val="21"/>
                <w:szCs w:val="21"/>
              </w:rPr>
              <w:t>（FC +80℃，SC +70℃</w:t>
            </w:r>
            <w:r>
              <w:rPr>
                <w:rFonts w:cs="宋体"/>
                <w:kern w:val="0"/>
                <w:sz w:val="21"/>
                <w:szCs w:val="21"/>
              </w:rPr>
              <w:t>），</w:t>
            </w:r>
            <w:r>
              <w:rPr>
                <w:rFonts w:hint="eastAsia" w:cs="宋体"/>
                <w:kern w:val="0"/>
                <w:sz w:val="21"/>
                <w:szCs w:val="21"/>
              </w:rPr>
              <w:t>96</w:t>
            </w:r>
            <w:r>
              <w:rPr>
                <w:rFonts w:cs="宋体"/>
                <w:kern w:val="0"/>
                <w:sz w:val="21"/>
                <w:szCs w:val="21"/>
              </w:rPr>
              <w:t>h</w:t>
            </w:r>
            <w:r>
              <w:rPr>
                <w:rFonts w:hint="eastAsia" w:cs="宋体"/>
                <w:kern w:val="0"/>
                <w:sz w:val="21"/>
                <w:szCs w:val="21"/>
              </w:rPr>
              <w:t>，温度变化速率不大于1℃/min</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4</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低温试验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配线架：-25℃±3℃</w:t>
            </w:r>
            <w:r>
              <w:rPr>
                <w:rFonts w:cs="宋体"/>
                <w:kern w:val="0"/>
                <w:sz w:val="21"/>
                <w:szCs w:val="21"/>
              </w:rPr>
              <w:t>，2h</w:t>
            </w:r>
          </w:p>
          <w:p>
            <w:pPr>
              <w:widowControl/>
              <w:jc w:val="center"/>
              <w:rPr>
                <w:rFonts w:cs="宋体"/>
                <w:kern w:val="0"/>
                <w:sz w:val="21"/>
                <w:szCs w:val="21"/>
              </w:rPr>
            </w:pPr>
            <w:r>
              <w:rPr>
                <w:rFonts w:hint="eastAsia" w:cs="宋体"/>
                <w:kern w:val="0"/>
                <w:sz w:val="21"/>
                <w:szCs w:val="21"/>
              </w:rPr>
              <w:t>(FC -40℃, SC -25℃</w:t>
            </w:r>
            <w:r>
              <w:rPr>
                <w:rFonts w:cs="宋体"/>
                <w:kern w:val="0"/>
                <w:sz w:val="21"/>
                <w:szCs w:val="21"/>
              </w:rPr>
              <w:t>），</w:t>
            </w:r>
            <w:r>
              <w:rPr>
                <w:rFonts w:hint="eastAsia" w:cs="宋体"/>
                <w:kern w:val="0"/>
                <w:sz w:val="21"/>
                <w:szCs w:val="21"/>
              </w:rPr>
              <w:t>96</w:t>
            </w:r>
            <w:r>
              <w:rPr>
                <w:rFonts w:cs="宋体"/>
                <w:kern w:val="0"/>
                <w:sz w:val="21"/>
                <w:szCs w:val="21"/>
              </w:rPr>
              <w:t>h</w:t>
            </w:r>
            <w:r>
              <w:rPr>
                <w:rFonts w:hint="eastAsia" w:cs="宋体"/>
                <w:kern w:val="0"/>
                <w:sz w:val="21"/>
                <w:szCs w:val="21"/>
              </w:rPr>
              <w:t>，温度变化速率不大于1℃/min</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5</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湿热试验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配线架：+40℃±2℃</w:t>
            </w:r>
            <w:r>
              <w:rPr>
                <w:rFonts w:cs="宋体"/>
                <w:kern w:val="0"/>
                <w:sz w:val="21"/>
                <w:szCs w:val="21"/>
              </w:rPr>
              <w:t>，</w:t>
            </w:r>
            <w:r>
              <w:rPr>
                <w:rFonts w:hint="eastAsia" w:cs="宋体"/>
                <w:kern w:val="0"/>
                <w:sz w:val="21"/>
                <w:szCs w:val="21"/>
              </w:rPr>
              <w:t xml:space="preserve"> 相对湿度93%±3%，48</w:t>
            </w:r>
            <w:r>
              <w:rPr>
                <w:rFonts w:cs="宋体"/>
                <w:kern w:val="0"/>
                <w:sz w:val="21"/>
                <w:szCs w:val="21"/>
              </w:rPr>
              <w:t>h</w:t>
            </w:r>
            <w:r>
              <w:rPr>
                <w:rFonts w:hint="eastAsia" w:cs="宋体"/>
                <w:kern w:val="0"/>
                <w:sz w:val="21"/>
                <w:szCs w:val="21"/>
              </w:rPr>
              <w:t>（GB/T 2423.3）</w:t>
            </w:r>
          </w:p>
          <w:p>
            <w:pPr>
              <w:widowControl/>
              <w:jc w:val="center"/>
              <w:rPr>
                <w:rFonts w:cs="宋体"/>
                <w:kern w:val="0"/>
                <w:sz w:val="21"/>
                <w:szCs w:val="21"/>
              </w:rPr>
            </w:pPr>
            <w:r>
              <w:rPr>
                <w:rFonts w:hint="eastAsia" w:cs="宋体"/>
                <w:kern w:val="0"/>
                <w:sz w:val="21"/>
                <w:szCs w:val="21"/>
              </w:rPr>
              <w:t>FC和SC光纤连接器：+40℃，相对湿度90%～95%，96</w:t>
            </w:r>
            <w:r>
              <w:rPr>
                <w:rFonts w:cs="宋体"/>
                <w:kern w:val="0"/>
                <w:sz w:val="21"/>
                <w:szCs w:val="21"/>
              </w:rPr>
              <w:t>h</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6</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盐雾试验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盐水浓度（5±0.1）%（质量百分比），PH值6.5～7.2（35±2℃）之间，48h</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7</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振动试验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频率</w:t>
            </w:r>
            <w:r>
              <w:rPr>
                <w:rFonts w:cs="宋体"/>
                <w:kern w:val="0"/>
                <w:sz w:val="21"/>
                <w:szCs w:val="21"/>
              </w:rPr>
              <w:t>(10</w:t>
            </w:r>
            <w:r>
              <w:rPr>
                <w:rFonts w:hint="eastAsia" w:cs="宋体"/>
                <w:kern w:val="0"/>
                <w:sz w:val="21"/>
                <w:szCs w:val="21"/>
              </w:rPr>
              <w:t>～</w:t>
            </w:r>
            <w:r>
              <w:rPr>
                <w:rFonts w:cs="宋体"/>
                <w:kern w:val="0"/>
                <w:sz w:val="21"/>
                <w:szCs w:val="21"/>
              </w:rPr>
              <w:t>55)Hz</w:t>
            </w:r>
            <w:r>
              <w:rPr>
                <w:rFonts w:hint="eastAsia" w:cs="宋体"/>
                <w:kern w:val="0"/>
                <w:sz w:val="21"/>
                <w:szCs w:val="21"/>
              </w:rPr>
              <w:t>；振幅0.75</w:t>
            </w:r>
            <w:r>
              <w:rPr>
                <w:rFonts w:cs="宋体"/>
                <w:kern w:val="0"/>
                <w:sz w:val="21"/>
                <w:szCs w:val="21"/>
              </w:rPr>
              <w:t>mm</w:t>
            </w:r>
            <w:r>
              <w:rPr>
                <w:rFonts w:hint="eastAsia" w:cs="宋体"/>
                <w:kern w:val="0"/>
                <w:sz w:val="21"/>
                <w:szCs w:val="21"/>
              </w:rPr>
              <w:t>；扫描速度</w:t>
            </w:r>
            <w:r>
              <w:rPr>
                <w:rFonts w:cs="宋体"/>
                <w:kern w:val="0"/>
                <w:sz w:val="21"/>
                <w:szCs w:val="21"/>
              </w:rPr>
              <w:t>loct/min</w:t>
            </w:r>
            <w:r>
              <w:rPr>
                <w:rFonts w:hint="eastAsia" w:cs="宋体"/>
                <w:kern w:val="0"/>
                <w:sz w:val="21"/>
                <w:szCs w:val="21"/>
              </w:rPr>
              <w:t>，容差10%；每个方向持续30min</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8</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扭转试验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负载量14.7N（Φ2.0），24.5N（Φ3.0），10次/min，200次</w:t>
            </w:r>
          </w:p>
        </w:tc>
      </w:tr>
      <w:tr>
        <w:tblPrEx>
          <w:tblCellMar>
            <w:top w:w="0" w:type="dxa"/>
            <w:left w:w="108" w:type="dxa"/>
            <w:bottom w:w="0" w:type="dxa"/>
            <w:right w:w="108" w:type="dxa"/>
          </w:tblCellMar>
        </w:tblPrEx>
        <w:trPr>
          <w:trHeight w:val="285" w:hRule="atLeast"/>
          <w:jc w:val="center"/>
        </w:trPr>
        <w:tc>
          <w:tcPr>
            <w:tcW w:w="70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9</w:t>
            </w:r>
          </w:p>
        </w:tc>
        <w:tc>
          <w:tcPr>
            <w:tcW w:w="1307" w:type="dxa"/>
            <w:tcBorders>
              <w:top w:val="single" w:color="auto" w:sz="4" w:space="0"/>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跌落试验</w:t>
            </w:r>
          </w:p>
        </w:tc>
        <w:tc>
          <w:tcPr>
            <w:tcW w:w="690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高度1m，跌落5次</w:t>
            </w:r>
          </w:p>
        </w:tc>
      </w:tr>
      <w:tr>
        <w:tblPrEx>
          <w:tblCellMar>
            <w:top w:w="0" w:type="dxa"/>
            <w:left w:w="108" w:type="dxa"/>
            <w:bottom w:w="0" w:type="dxa"/>
            <w:right w:w="108" w:type="dxa"/>
          </w:tblCellMar>
        </w:tblPrEx>
        <w:trPr>
          <w:trHeight w:val="285" w:hRule="atLeast"/>
          <w:jc w:val="center"/>
        </w:trPr>
        <w:tc>
          <w:tcPr>
            <w:tcW w:w="70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105" w:firstLineChars="50"/>
              <w:jc w:val="left"/>
              <w:rPr>
                <w:rFonts w:cs="宋体"/>
                <w:kern w:val="0"/>
                <w:sz w:val="21"/>
                <w:szCs w:val="21"/>
              </w:rPr>
            </w:pPr>
            <w:r>
              <w:rPr>
                <w:rFonts w:hint="eastAsia" w:cs="宋体"/>
                <w:kern w:val="0"/>
                <w:sz w:val="21"/>
                <w:szCs w:val="21"/>
              </w:rPr>
              <w:t>10</w:t>
            </w:r>
          </w:p>
        </w:tc>
        <w:tc>
          <w:tcPr>
            <w:tcW w:w="1307" w:type="dxa"/>
            <w:tcBorders>
              <w:top w:val="single" w:color="auto" w:sz="4" w:space="0"/>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重复性</w:t>
            </w:r>
          </w:p>
        </w:tc>
        <w:tc>
          <w:tcPr>
            <w:tcW w:w="690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连续插拔10次</w:t>
            </w:r>
          </w:p>
        </w:tc>
      </w:tr>
    </w:tbl>
    <w:p>
      <w:pPr>
        <w:spacing w:line="360" w:lineRule="auto"/>
        <w:ind w:firstLine="2520" w:firstLineChars="1050"/>
        <w:rPr>
          <w:rFonts w:ascii="Times New Roman" w:hAnsi="Times New Roman"/>
          <w:kern w:val="21"/>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75" w:name="_Toc25680"/>
      <w:r>
        <w:rPr>
          <w:rFonts w:hint="eastAsia" w:ascii="Times New Roman" w:hAnsi="Times New Roman" w:eastAsia="宋体"/>
          <w:b w:val="0"/>
          <w:sz w:val="24"/>
        </w:rPr>
        <w:t>4.</w:t>
      </w:r>
      <w:bookmarkEnd w:id="70"/>
      <w:bookmarkEnd w:id="71"/>
      <w:bookmarkStart w:id="76" w:name="_Toc131219970"/>
      <w:r>
        <w:rPr>
          <w:rFonts w:hint="eastAsia" w:ascii="Times New Roman" w:hAnsi="Times New Roman" w:eastAsia="宋体"/>
          <w:b w:val="0"/>
          <w:sz w:val="24"/>
        </w:rPr>
        <w:t>6 高压防护接地装置</w:t>
      </w:r>
      <w:bookmarkEnd w:id="75"/>
    </w:p>
    <w:p>
      <w:pPr>
        <w:spacing w:line="460" w:lineRule="exact"/>
        <w:ind w:firstLine="480" w:firstLineChars="200"/>
        <w:rPr>
          <w:rFonts w:ascii="Times New Roman" w:hAnsi="Times New Roman"/>
          <w:kern w:val="0"/>
        </w:rPr>
      </w:pPr>
      <w:bookmarkStart w:id="77" w:name="_Toc310369378"/>
      <w:r>
        <w:rPr>
          <w:rFonts w:hint="eastAsia" w:ascii="Times New Roman" w:hAnsi="Times New Roman"/>
          <w:kern w:val="0"/>
        </w:rPr>
        <w:t>机架高压防护接地装置与地相连的连接端子的截面积应不小于35mm</w:t>
      </w:r>
      <w:r>
        <w:rPr>
          <w:rFonts w:hint="eastAsia" w:ascii="Times New Roman" w:hAnsi="Times New Roman"/>
          <w:kern w:val="0"/>
          <w:vertAlign w:val="superscript"/>
        </w:rPr>
        <w:t>2</w:t>
      </w:r>
      <w:r>
        <w:rPr>
          <w:rFonts w:hint="eastAsia" w:ascii="Times New Roman" w:hAnsi="Times New Roman"/>
          <w:kern w:val="0"/>
        </w:rPr>
        <w:t>。</w:t>
      </w:r>
      <w:bookmarkEnd w:id="77"/>
    </w:p>
    <w:p>
      <w:pPr>
        <w:spacing w:line="460" w:lineRule="exact"/>
        <w:ind w:firstLine="480" w:firstLineChars="200"/>
        <w:rPr>
          <w:rFonts w:ascii="Times New Roman" w:hAnsi="Times New Roman"/>
          <w:kern w:val="0"/>
        </w:rPr>
      </w:pPr>
      <w:bookmarkStart w:id="78" w:name="_Toc310369379"/>
      <w:r>
        <w:rPr>
          <w:rFonts w:hint="eastAsia" w:ascii="Times New Roman" w:hAnsi="Times New Roman"/>
          <w:kern w:val="0"/>
        </w:rPr>
        <w:t>机架高压防护接地装置与机架间绝缘，绝缘电阻不小于1000MΩ/500V（DC）。</w:t>
      </w:r>
      <w:bookmarkEnd w:id="78"/>
    </w:p>
    <w:p>
      <w:pPr>
        <w:spacing w:line="460" w:lineRule="exact"/>
        <w:ind w:firstLine="480" w:firstLineChars="200"/>
        <w:rPr>
          <w:rFonts w:ascii="Times New Roman" w:hAnsi="Times New Roman"/>
          <w:kern w:val="0"/>
        </w:rPr>
      </w:pPr>
      <w:bookmarkStart w:id="79" w:name="_Toc310369380"/>
      <w:r>
        <w:rPr>
          <w:rFonts w:hint="eastAsia" w:ascii="Times New Roman" w:hAnsi="Times New Roman"/>
          <w:kern w:val="0"/>
        </w:rPr>
        <w:t>机架高压防护接地装置与机架间耐电压不小于3000V（DC）/1min不击穿、无飞弧。</w:t>
      </w:r>
      <w:bookmarkEnd w:id="79"/>
    </w:p>
    <w:p>
      <w:pPr>
        <w:spacing w:line="460" w:lineRule="exact"/>
        <w:ind w:firstLine="480" w:firstLineChars="200"/>
        <w:rPr>
          <w:rFonts w:ascii="Times New Roman" w:hAnsi="Times New Roman"/>
          <w:kern w:val="0"/>
        </w:rPr>
      </w:pPr>
      <w:bookmarkStart w:id="80" w:name="_Toc310369381"/>
      <w:r>
        <w:rPr>
          <w:rFonts w:hint="eastAsia" w:ascii="Times New Roman" w:hAnsi="Times New Roman"/>
          <w:kern w:val="0"/>
        </w:rPr>
        <w:t>机架高压防护接地装置应能可靠接地，接地处应有明显的接地标志。</w:t>
      </w:r>
      <w:bookmarkEnd w:id="80"/>
    </w:p>
    <w:p>
      <w:pPr>
        <w:spacing w:line="460" w:lineRule="exact"/>
        <w:ind w:firstLine="480" w:firstLineChars="200"/>
        <w:rPr>
          <w:rFonts w:ascii="Times New Roman" w:hAnsi="Times New Roman"/>
          <w:kern w:val="44"/>
        </w:rPr>
      </w:pPr>
      <w:r>
        <w:rPr>
          <w:rFonts w:hint="eastAsia" w:ascii="Times New Roman" w:hAnsi="Times New Roman"/>
          <w:kern w:val="44"/>
        </w:rPr>
        <w:t>如投标方设备的性能优于上述指标，请补充提供投标设备的详细性能指标数据。</w:t>
      </w:r>
    </w:p>
    <w:p>
      <w:pPr>
        <w:spacing w:line="460" w:lineRule="exact"/>
        <w:ind w:firstLine="480" w:firstLineChars="200"/>
        <w:rPr>
          <w:rFonts w:ascii="Times New Roman" w:hAnsi="Times New Roman"/>
          <w:kern w:val="0"/>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81" w:name="_Toc14862"/>
      <w:r>
        <w:rPr>
          <w:rFonts w:hint="eastAsia" w:ascii="Times New Roman" w:hAnsi="Times New Roman" w:eastAsia="宋体"/>
          <w:b w:val="0"/>
          <w:sz w:val="24"/>
        </w:rPr>
        <w:t>4.7光纤连接器寿命</w:t>
      </w:r>
      <w:bookmarkEnd w:id="81"/>
    </w:p>
    <w:p>
      <w:pPr>
        <w:spacing w:line="460" w:lineRule="exact"/>
        <w:ind w:firstLine="480" w:firstLineChars="200"/>
        <w:rPr>
          <w:rFonts w:ascii="Times New Roman" w:hAnsi="Times New Roman"/>
          <w:kern w:val="0"/>
        </w:rPr>
      </w:pPr>
      <w:r>
        <w:rPr>
          <w:rFonts w:hint="eastAsia" w:ascii="Times New Roman" w:hAnsi="Times New Roman"/>
          <w:kern w:val="0"/>
        </w:rPr>
        <w:t>插拔1000次仍能满足表2的性能要求。</w:t>
      </w:r>
    </w:p>
    <w:p>
      <w:pPr>
        <w:spacing w:line="460" w:lineRule="exact"/>
        <w:ind w:firstLine="480" w:firstLineChars="200"/>
        <w:rPr>
          <w:rFonts w:ascii="Times New Roman" w:hAnsi="Times New Roman"/>
          <w:kern w:val="0"/>
        </w:rPr>
      </w:pPr>
      <w:r>
        <w:rPr>
          <w:rFonts w:hint="eastAsia" w:ascii="Times New Roman" w:hAnsi="Times New Roman"/>
          <w:kern w:val="0"/>
        </w:rPr>
        <w:t>如投标方设备的性能优于上述指标，请补充提供投标设备的详细性能指标数据。</w:t>
      </w:r>
    </w:p>
    <w:p/>
    <w:p>
      <w:pPr>
        <w:pStyle w:val="2"/>
        <w:kinsoku/>
        <w:overflowPunct/>
        <w:autoSpaceDE/>
        <w:autoSpaceDN/>
        <w:snapToGrid/>
        <w:spacing w:before="0" w:line="560" w:lineRule="exact"/>
        <w:textAlignment w:val="baseline"/>
        <w:rPr>
          <w:rFonts w:ascii="宋体" w:eastAsia="宋体"/>
          <w:b w:val="0"/>
          <w:sz w:val="24"/>
        </w:rPr>
      </w:pPr>
      <w:bookmarkStart w:id="82" w:name="_Toc62619596"/>
      <w:bookmarkStart w:id="83" w:name="_Toc178150236"/>
      <w:bookmarkStart w:id="84" w:name="_Toc132100060"/>
      <w:bookmarkStart w:id="85" w:name="_Toc194133488"/>
      <w:bookmarkStart w:id="86" w:name="_Toc11174"/>
      <w:bookmarkStart w:id="87" w:name="_Toc132100058"/>
      <w:r>
        <w:rPr>
          <w:rFonts w:hint="eastAsia" w:ascii="Times New Roman" w:hAnsi="Times New Roman" w:eastAsia="宋体"/>
          <w:b w:val="0"/>
          <w:sz w:val="24"/>
        </w:rPr>
        <w:t>5 材料</w:t>
      </w:r>
      <w:bookmarkEnd w:id="82"/>
      <w:bookmarkEnd w:id="83"/>
      <w:bookmarkEnd w:id="84"/>
      <w:r>
        <w:rPr>
          <w:rFonts w:hint="eastAsia" w:ascii="Times New Roman" w:hAnsi="Times New Roman" w:eastAsia="宋体"/>
          <w:b w:val="0"/>
          <w:sz w:val="24"/>
        </w:rPr>
        <w:t>要求</w:t>
      </w:r>
      <w:bookmarkEnd w:id="85"/>
      <w:bookmarkEnd w:id="86"/>
    </w:p>
    <w:p>
      <w:pPr>
        <w:pStyle w:val="2"/>
        <w:kinsoku/>
        <w:overflowPunct/>
        <w:autoSpaceDE/>
        <w:autoSpaceDN/>
        <w:snapToGrid/>
        <w:spacing w:before="0" w:line="560" w:lineRule="exact"/>
        <w:textAlignment w:val="baseline"/>
        <w:rPr>
          <w:rFonts w:ascii="Times New Roman" w:hAnsi="Times New Roman" w:eastAsia="宋体"/>
          <w:b w:val="0"/>
          <w:sz w:val="24"/>
        </w:rPr>
      </w:pPr>
      <w:bookmarkStart w:id="88" w:name="_Toc62619597"/>
      <w:bookmarkStart w:id="89" w:name="_Toc178150237"/>
      <w:bookmarkStart w:id="90" w:name="_Toc194133489"/>
      <w:bookmarkStart w:id="91" w:name="_Toc10650"/>
      <w:r>
        <w:rPr>
          <w:rFonts w:hint="eastAsia" w:ascii="Times New Roman" w:hAnsi="Times New Roman" w:eastAsia="宋体"/>
          <w:b w:val="0"/>
          <w:sz w:val="24"/>
        </w:rPr>
        <w:t>5.1 机架</w:t>
      </w:r>
      <w:bookmarkEnd w:id="88"/>
      <w:bookmarkEnd w:id="89"/>
      <w:bookmarkEnd w:id="90"/>
      <w:bookmarkEnd w:id="91"/>
    </w:p>
    <w:p>
      <w:pPr>
        <w:spacing w:line="460" w:lineRule="exact"/>
        <w:ind w:firstLine="480" w:firstLineChars="200"/>
        <w:rPr>
          <w:kern w:val="0"/>
        </w:rPr>
      </w:pPr>
      <w:bookmarkStart w:id="92" w:name="_Toc310369384"/>
      <w:r>
        <w:rPr>
          <w:rFonts w:hint="eastAsia" w:ascii="Times New Roman" w:hAnsi="Times New Roman"/>
          <w:kern w:val="0"/>
        </w:rPr>
        <w:t>光纤配线架中使用的钢板应</w:t>
      </w:r>
      <w:r>
        <w:rPr>
          <w:rFonts w:ascii="Times New Roman" w:hAnsi="Times New Roman"/>
          <w:kern w:val="0"/>
        </w:rPr>
        <w:t>采用牌号为Q235-A冷轧钢板材料</w:t>
      </w:r>
      <w:r>
        <w:rPr>
          <w:rFonts w:hint="eastAsia" w:ascii="Times New Roman" w:hAnsi="Times New Roman"/>
          <w:kern w:val="0"/>
        </w:rPr>
        <w:t>，立柱等支撑部件材料厚度不小于2.0mm，其它部件材料厚度不小于1.2mm</w:t>
      </w:r>
      <w:r>
        <w:rPr>
          <w:rFonts w:ascii="Times New Roman" w:hAnsi="Times New Roman"/>
          <w:kern w:val="0"/>
        </w:rPr>
        <w:t>。冷轧钢板材质应符合GB/T11253-2007国家标准</w:t>
      </w:r>
      <w:r>
        <w:rPr>
          <w:rFonts w:hint="eastAsia" w:ascii="Times New Roman" w:hAnsi="Times New Roman"/>
          <w:kern w:val="0"/>
        </w:rPr>
        <w:t>要求</w:t>
      </w:r>
      <w:r>
        <w:rPr>
          <w:rFonts w:ascii="Times New Roman" w:hAnsi="Times New Roman"/>
          <w:kern w:val="0"/>
        </w:rPr>
        <w:t>，厚度偏差应符合GB/T708-2006国家标准</w:t>
      </w:r>
      <w:r>
        <w:rPr>
          <w:rFonts w:hint="eastAsia" w:ascii="Times New Roman" w:hAnsi="Times New Roman"/>
          <w:kern w:val="0"/>
        </w:rPr>
        <w:t>要求</w:t>
      </w:r>
      <w:r>
        <w:rPr>
          <w:rFonts w:ascii="Times New Roman" w:hAnsi="Times New Roman"/>
          <w:kern w:val="0"/>
        </w:rPr>
        <w:t>。</w:t>
      </w:r>
      <w:bookmarkEnd w:id="92"/>
    </w:p>
    <w:p>
      <w:pPr>
        <w:pStyle w:val="2"/>
        <w:kinsoku/>
        <w:overflowPunct/>
        <w:autoSpaceDE/>
        <w:autoSpaceDN/>
        <w:snapToGrid/>
        <w:spacing w:before="0" w:line="560" w:lineRule="exact"/>
        <w:textAlignment w:val="baseline"/>
        <w:rPr>
          <w:rFonts w:ascii="Times New Roman" w:hAnsi="Times New Roman" w:eastAsia="宋体"/>
          <w:b w:val="0"/>
          <w:sz w:val="24"/>
        </w:rPr>
      </w:pPr>
      <w:bookmarkStart w:id="93" w:name="_Toc62619598"/>
      <w:bookmarkStart w:id="94" w:name="_Toc178150240"/>
      <w:bookmarkStart w:id="95" w:name="_Toc194133490"/>
      <w:bookmarkStart w:id="96" w:name="_Toc30200"/>
      <w:r>
        <w:rPr>
          <w:rFonts w:hint="eastAsia" w:cs="宋体"/>
          <w:kern w:val="0"/>
          <w:sz w:val="18"/>
          <w:szCs w:val="18"/>
          <w:highlight w:val="yellow"/>
        </w:rPr>
        <w:t>★</w:t>
      </w:r>
      <w:r>
        <w:rPr>
          <w:rFonts w:hint="eastAsia" w:ascii="Times New Roman" w:hAnsi="Times New Roman" w:eastAsia="宋体"/>
          <w:b w:val="0"/>
          <w:sz w:val="24"/>
        </w:rPr>
        <w:t>5.2 塑料材料</w:t>
      </w:r>
      <w:bookmarkEnd w:id="93"/>
      <w:bookmarkEnd w:id="94"/>
      <w:bookmarkEnd w:id="95"/>
      <w:bookmarkEnd w:id="96"/>
    </w:p>
    <w:p>
      <w:pPr>
        <w:spacing w:line="460" w:lineRule="exact"/>
        <w:ind w:firstLine="480" w:firstLineChars="200"/>
        <w:rPr>
          <w:rFonts w:ascii="Times New Roman" w:hAnsi="Times New Roman"/>
          <w:kern w:val="0"/>
        </w:rPr>
      </w:pPr>
      <w:bookmarkStart w:id="97" w:name="_Toc310369386"/>
      <w:r>
        <w:rPr>
          <w:rFonts w:hint="eastAsia" w:ascii="Times New Roman" w:hAnsi="Times New Roman"/>
          <w:kern w:val="0"/>
        </w:rPr>
        <w:t>在光纤配线架中使用的塑料结构件，其材料应采用阻燃ABS、PC或PVC塑料材料。</w:t>
      </w:r>
      <w:bookmarkStart w:id="98" w:name="_Toc447215208"/>
    </w:p>
    <w:p>
      <w:pPr>
        <w:spacing w:line="460" w:lineRule="exact"/>
        <w:ind w:firstLine="480" w:firstLineChars="200"/>
        <w:rPr>
          <w:rFonts w:ascii="Times New Roman" w:hAnsi="Times New Roman"/>
          <w:kern w:val="0"/>
        </w:rPr>
      </w:pPr>
      <w:r>
        <w:rPr>
          <w:rFonts w:hint="eastAsia" w:ascii="Times New Roman" w:hAnsi="Times New Roman"/>
          <w:kern w:val="0"/>
        </w:rPr>
        <w:t>投标方需详细说明各部分塑料构件的使用材料。</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99" w:name="_Toc17120"/>
      <w:r>
        <w:rPr>
          <w:rFonts w:hint="eastAsia" w:ascii="Times New Roman" w:hAnsi="Times New Roman" w:eastAsia="宋体"/>
          <w:b w:val="0"/>
          <w:sz w:val="24"/>
        </w:rPr>
        <w:t>5.3非金属件的燃烧性能</w:t>
      </w:r>
      <w:bookmarkEnd w:id="98"/>
      <w:bookmarkEnd w:id="99"/>
    </w:p>
    <w:p>
      <w:pPr>
        <w:spacing w:line="460" w:lineRule="exact"/>
        <w:ind w:firstLine="480" w:firstLineChars="200"/>
        <w:rPr>
          <w:rFonts w:ascii="Times New Roman" w:hAnsi="Times New Roman"/>
          <w:kern w:val="0"/>
        </w:rPr>
      </w:pPr>
      <w:r>
        <w:rPr>
          <w:rFonts w:ascii="Times New Roman" w:hAnsi="Times New Roman"/>
          <w:kern w:val="0"/>
        </w:rPr>
        <w:t>零件的阻燃</w:t>
      </w:r>
      <w:r>
        <w:rPr>
          <w:rFonts w:hint="eastAsia" w:ascii="Times New Roman" w:hAnsi="Times New Roman"/>
          <w:kern w:val="0"/>
        </w:rPr>
        <w:t>性能</w:t>
      </w:r>
      <w:r>
        <w:rPr>
          <w:rFonts w:ascii="Times New Roman" w:hAnsi="Times New Roman"/>
          <w:kern w:val="0"/>
        </w:rPr>
        <w:t>应</w:t>
      </w:r>
      <w:r>
        <w:rPr>
          <w:rFonts w:hint="eastAsia" w:ascii="Times New Roman" w:hAnsi="Times New Roman"/>
          <w:kern w:val="0"/>
        </w:rPr>
        <w:t>满足行业标准YD/T778-2011中5.3.4节规定的ODF中非金属材料的结构件及光纤活动连接器的燃烧性能经试验后应能符合以下条件之一：</w:t>
      </w:r>
    </w:p>
    <w:p>
      <w:pPr>
        <w:spacing w:line="460" w:lineRule="exact"/>
        <w:rPr>
          <w:rFonts w:ascii="Times New Roman" w:hAnsi="Times New Roman"/>
          <w:kern w:val="0"/>
        </w:rPr>
      </w:pPr>
      <w:r>
        <w:rPr>
          <w:rFonts w:ascii="Times New Roman" w:hAnsi="Times New Roman"/>
          <w:kern w:val="0"/>
        </w:rPr>
        <w:t>a</w:t>
      </w:r>
      <w:r>
        <w:rPr>
          <w:rFonts w:hint="eastAsia" w:ascii="Times New Roman" w:hAnsi="Times New Roman"/>
          <w:kern w:val="0"/>
        </w:rPr>
        <w:t>）试验样品没有起燃；</w:t>
      </w:r>
    </w:p>
    <w:p>
      <w:pPr>
        <w:spacing w:line="460" w:lineRule="exact"/>
      </w:pPr>
      <w:r>
        <w:rPr>
          <w:rFonts w:ascii="Times New Roman" w:hAnsi="Times New Roman"/>
          <w:kern w:val="0"/>
        </w:rPr>
        <w:t>b</w:t>
      </w:r>
      <w:r>
        <w:rPr>
          <w:rFonts w:hint="eastAsia" w:ascii="Times New Roman" w:hAnsi="Times New Roman"/>
          <w:kern w:val="0"/>
        </w:rPr>
        <w:t>）试验样品离火后持续有焰燃烧时间不超过10s，并且火焰或从试验样品上掉落的燃烧或灼热颗粒未使燃烧蔓延到放在试验样品下面的底层。</w:t>
      </w:r>
    </w:p>
    <w:bookmarkEnd w:id="97"/>
    <w:p>
      <w:pPr>
        <w:pStyle w:val="2"/>
        <w:kinsoku/>
        <w:overflowPunct/>
        <w:autoSpaceDE/>
        <w:autoSpaceDN/>
        <w:snapToGrid/>
        <w:spacing w:before="0" w:line="560" w:lineRule="exact"/>
        <w:textAlignment w:val="baseline"/>
        <w:rPr>
          <w:rFonts w:ascii="Times New Roman" w:hAnsi="Times New Roman" w:eastAsia="宋体"/>
          <w:b w:val="0"/>
          <w:sz w:val="24"/>
        </w:rPr>
      </w:pPr>
      <w:bookmarkStart w:id="100" w:name="_Toc62619599"/>
      <w:bookmarkStart w:id="101" w:name="_Toc178150241"/>
      <w:bookmarkStart w:id="102" w:name="_Toc194133491"/>
      <w:bookmarkStart w:id="103" w:name="_Toc30735"/>
      <w:r>
        <w:rPr>
          <w:rFonts w:hint="eastAsia" w:cs="宋体"/>
          <w:kern w:val="0"/>
          <w:sz w:val="18"/>
          <w:szCs w:val="18"/>
          <w:highlight w:val="yellow"/>
        </w:rPr>
        <w:t>★</w:t>
      </w:r>
      <w:r>
        <w:rPr>
          <w:rFonts w:hint="eastAsia" w:ascii="Times New Roman" w:hAnsi="Times New Roman" w:eastAsia="宋体"/>
          <w:b w:val="0"/>
          <w:sz w:val="24"/>
        </w:rPr>
        <w:t>5.</w:t>
      </w:r>
      <w:bookmarkEnd w:id="100"/>
      <w:bookmarkEnd w:id="101"/>
      <w:bookmarkEnd w:id="102"/>
      <w:r>
        <w:rPr>
          <w:rFonts w:hint="eastAsia" w:ascii="Times New Roman" w:hAnsi="Times New Roman" w:eastAsia="宋体"/>
          <w:b w:val="0"/>
          <w:sz w:val="24"/>
        </w:rPr>
        <w:t>4 光纤连接器</w:t>
      </w:r>
      <w:bookmarkEnd w:id="103"/>
    </w:p>
    <w:p>
      <w:pPr>
        <w:spacing w:line="460" w:lineRule="exact"/>
        <w:rPr>
          <w:rFonts w:ascii="Times New Roman" w:hAnsi="Times New Roman"/>
          <w:kern w:val="0"/>
        </w:rPr>
      </w:pPr>
      <w:r>
        <w:rPr>
          <w:rFonts w:hint="eastAsia" w:ascii="Times New Roman" w:hAnsi="Times New Roman"/>
          <w:kern w:val="0"/>
        </w:rPr>
        <w:t>（1）FC适配器应使用HPb59-1的铜材或更好的材料；</w:t>
      </w:r>
    </w:p>
    <w:p>
      <w:pPr>
        <w:spacing w:line="460" w:lineRule="exact"/>
        <w:rPr>
          <w:rFonts w:ascii="Times New Roman" w:hAnsi="Times New Roman"/>
          <w:kern w:val="0"/>
        </w:rPr>
      </w:pPr>
      <w:r>
        <w:rPr>
          <w:rFonts w:hint="eastAsia" w:ascii="Times New Roman" w:hAnsi="Times New Roman"/>
          <w:kern w:val="0"/>
        </w:rPr>
        <w:t>（2）SC适配器采用全塑料结构，外壳等塑料零件应使用阻燃PBT 材料或更好的材料，所有材料能经受光纤连接器所需的试验条件。</w:t>
      </w:r>
    </w:p>
    <w:p>
      <w:pPr>
        <w:spacing w:line="460" w:lineRule="exact"/>
        <w:ind w:firstLine="480" w:firstLineChars="200"/>
        <w:rPr>
          <w:rFonts w:ascii="Times New Roman" w:hAnsi="Times New Roman"/>
          <w:kern w:val="0"/>
        </w:rPr>
      </w:pPr>
      <w:r>
        <w:rPr>
          <w:rFonts w:hint="eastAsia" w:ascii="Times New Roman" w:hAnsi="Times New Roman"/>
          <w:kern w:val="0"/>
        </w:rPr>
        <w:t>投标方需详细说明光纤连接器的使用材料。</w:t>
      </w:r>
    </w:p>
    <w:p>
      <w:pPr>
        <w:spacing w:line="460" w:lineRule="exact"/>
        <w:ind w:firstLine="480" w:firstLineChars="200"/>
        <w:rPr>
          <w:rFonts w:ascii="Times New Roman" w:hAnsi="Times New Roman"/>
          <w:kern w:val="0"/>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04" w:name="_Toc131219953"/>
      <w:bookmarkStart w:id="105" w:name="_Toc132100052"/>
      <w:bookmarkStart w:id="106" w:name="_Toc12035"/>
      <w:r>
        <w:rPr>
          <w:rFonts w:hint="eastAsia" w:ascii="Times New Roman" w:hAnsi="Times New Roman" w:eastAsia="宋体"/>
          <w:b w:val="0"/>
          <w:sz w:val="24"/>
        </w:rPr>
        <w:t>6 环境</w:t>
      </w:r>
      <w:bookmarkEnd w:id="104"/>
      <w:bookmarkEnd w:id="105"/>
      <w:r>
        <w:rPr>
          <w:rFonts w:hint="eastAsia" w:ascii="Times New Roman" w:hAnsi="Times New Roman" w:eastAsia="宋体"/>
          <w:b w:val="0"/>
          <w:sz w:val="24"/>
        </w:rPr>
        <w:t>要求</w:t>
      </w:r>
      <w:bookmarkEnd w:id="106"/>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07" w:name="_Toc18449"/>
      <w:r>
        <w:rPr>
          <w:rFonts w:hint="eastAsia" w:ascii="Times New Roman" w:hAnsi="Times New Roman" w:eastAsia="宋体"/>
          <w:b w:val="0"/>
          <w:sz w:val="24"/>
        </w:rPr>
        <w:t>6.1 使用环境条件</w:t>
      </w:r>
      <w:bookmarkEnd w:id="107"/>
    </w:p>
    <w:p>
      <w:pPr>
        <w:spacing w:line="460" w:lineRule="exact"/>
        <w:rPr>
          <w:rFonts w:ascii="Times New Roman" w:hAnsi="Times New Roman"/>
          <w:kern w:val="0"/>
        </w:rPr>
      </w:pPr>
      <w:r>
        <w:rPr>
          <w:rFonts w:hint="eastAsia" w:ascii="Times New Roman" w:hAnsi="Times New Roman"/>
          <w:kern w:val="0"/>
        </w:rPr>
        <w:t>工作温度：-25℃～＋55℃。</w:t>
      </w:r>
    </w:p>
    <w:p>
      <w:pPr>
        <w:spacing w:line="460" w:lineRule="exact"/>
        <w:rPr>
          <w:rFonts w:ascii="Times New Roman" w:hAnsi="Times New Roman"/>
          <w:kern w:val="0"/>
        </w:rPr>
      </w:pPr>
      <w:r>
        <w:rPr>
          <w:rFonts w:hint="eastAsia" w:ascii="Times New Roman" w:hAnsi="Times New Roman"/>
          <w:kern w:val="0"/>
        </w:rPr>
        <w:t>相对湿度：≤93％（+40℃）。</w:t>
      </w:r>
    </w:p>
    <w:p>
      <w:pPr>
        <w:spacing w:line="460" w:lineRule="exact"/>
        <w:rPr>
          <w:rFonts w:ascii="Times New Roman" w:hAnsi="Times New Roman"/>
          <w:kern w:val="44"/>
        </w:rPr>
      </w:pPr>
      <w:r>
        <w:rPr>
          <w:rFonts w:hint="eastAsia" w:ascii="Times New Roman" w:hAnsi="Times New Roman"/>
          <w:kern w:val="44"/>
        </w:rPr>
        <w:t>如投标方设备的使用环境条件优于上述指标，请补充提供投标设备的详细性能指标数据。</w:t>
      </w:r>
    </w:p>
    <w:p>
      <w:pPr>
        <w:spacing w:line="460" w:lineRule="exact"/>
        <w:rPr>
          <w:rFonts w:ascii="Times New Roman" w:hAnsi="Times New Roman"/>
          <w:kern w:val="0"/>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08" w:name="_Toc16085"/>
      <w:r>
        <w:rPr>
          <w:rFonts w:hint="eastAsia" w:ascii="Times New Roman" w:hAnsi="Times New Roman" w:eastAsia="宋体"/>
          <w:b w:val="0"/>
          <w:sz w:val="24"/>
        </w:rPr>
        <w:t>6.2 检验环境条件</w:t>
      </w:r>
      <w:bookmarkEnd w:id="108"/>
    </w:p>
    <w:p>
      <w:pPr>
        <w:spacing w:line="460" w:lineRule="exact"/>
        <w:ind w:firstLine="480" w:firstLineChars="200"/>
        <w:rPr>
          <w:rFonts w:ascii="Times New Roman" w:hAnsi="Times New Roman"/>
          <w:kern w:val="0"/>
        </w:rPr>
      </w:pPr>
      <w:r>
        <w:rPr>
          <w:rFonts w:hint="eastAsia" w:ascii="Times New Roman" w:hAnsi="Times New Roman"/>
          <w:kern w:val="0"/>
        </w:rPr>
        <w:t>试验在标准大气条件下进行。标准大气条件为温度：15℃～35℃，相对湿度不大于75％，大气压力为70kPa～106kPa。</w:t>
      </w:r>
    </w:p>
    <w:p>
      <w:pPr>
        <w:spacing w:line="460" w:lineRule="exact"/>
        <w:ind w:firstLine="480" w:firstLineChars="200"/>
        <w:rPr>
          <w:rFonts w:ascii="Times New Roman" w:hAnsi="Times New Roman"/>
          <w:kern w:val="0"/>
        </w:rPr>
      </w:pPr>
    </w:p>
    <w:bookmarkEnd w:id="76"/>
    <w:bookmarkEnd w:id="87"/>
    <w:p>
      <w:pPr>
        <w:pStyle w:val="2"/>
        <w:kinsoku/>
        <w:overflowPunct/>
        <w:autoSpaceDE/>
        <w:autoSpaceDN/>
        <w:snapToGrid/>
        <w:spacing w:before="0" w:line="560" w:lineRule="exact"/>
        <w:textAlignment w:val="baseline"/>
        <w:rPr>
          <w:rFonts w:ascii="Times New Roman" w:hAnsi="Times New Roman" w:eastAsia="宋体"/>
          <w:b w:val="0"/>
          <w:sz w:val="24"/>
        </w:rPr>
      </w:pPr>
      <w:bookmarkStart w:id="109" w:name="_Toc362255247"/>
      <w:bookmarkStart w:id="110" w:name="_Toc25007"/>
      <w:bookmarkStart w:id="111" w:name="_Toc249697576"/>
      <w:r>
        <w:rPr>
          <w:rFonts w:hint="eastAsia" w:ascii="Times New Roman" w:hAnsi="Times New Roman" w:eastAsia="宋体"/>
          <w:b w:val="0"/>
          <w:sz w:val="24"/>
        </w:rPr>
        <w:t>7 包装、运输和贮存</w:t>
      </w:r>
      <w:bookmarkEnd w:id="109"/>
      <w:bookmarkEnd w:id="110"/>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2" w:name="_Toc362255248"/>
      <w:bookmarkStart w:id="113" w:name="_Toc15587"/>
      <w:r>
        <w:rPr>
          <w:rFonts w:hint="eastAsia" w:ascii="Times New Roman" w:hAnsi="Times New Roman" w:eastAsia="宋体"/>
          <w:b w:val="0"/>
          <w:sz w:val="24"/>
        </w:rPr>
        <w:t>7.1 包装</w:t>
      </w:r>
      <w:bookmarkEnd w:id="112"/>
      <w:bookmarkEnd w:id="113"/>
    </w:p>
    <w:p>
      <w:pPr>
        <w:spacing w:line="460" w:lineRule="exact"/>
        <w:ind w:firstLine="480" w:firstLineChars="200"/>
        <w:rPr>
          <w:rFonts w:ascii="Times New Roman" w:hAnsi="Times New Roman"/>
          <w:kern w:val="0"/>
        </w:rPr>
      </w:pPr>
      <w:r>
        <w:rPr>
          <w:rFonts w:hint="eastAsia" w:ascii="Times New Roman" w:hAnsi="Times New Roman"/>
          <w:kern w:val="0"/>
        </w:rPr>
        <w:t>光纤总配纤架应包装出厂，包装要求及包装箱面标志应符合</w:t>
      </w:r>
      <w:r>
        <w:rPr>
          <w:rFonts w:ascii="Times New Roman" w:hAnsi="Times New Roman"/>
          <w:kern w:val="0"/>
        </w:rPr>
        <w:t>GB/T3873-1983</w:t>
      </w:r>
      <w:r>
        <w:rPr>
          <w:rFonts w:hint="eastAsia" w:ascii="Times New Roman" w:hAnsi="Times New Roman"/>
          <w:kern w:val="0"/>
        </w:rPr>
        <w:t>中的规定。</w:t>
      </w:r>
    </w:p>
    <w:p>
      <w:pPr>
        <w:spacing w:line="460" w:lineRule="exact"/>
        <w:ind w:firstLine="480" w:firstLineChars="200"/>
        <w:rPr>
          <w:rFonts w:ascii="Times New Roman" w:hAnsi="Times New Roman"/>
          <w:kern w:val="0"/>
        </w:rPr>
      </w:pPr>
      <w:r>
        <w:rPr>
          <w:rFonts w:hint="eastAsia" w:ascii="Times New Roman" w:hAnsi="Times New Roman"/>
          <w:kern w:val="0"/>
        </w:rPr>
        <w:t>包装箱内除产品外，还应装入以下物品和有关文件，文件可用塑料袋或纸袋封装：</w:t>
      </w:r>
    </w:p>
    <w:p>
      <w:pPr>
        <w:spacing w:line="460" w:lineRule="exact"/>
        <w:ind w:firstLine="480" w:firstLineChars="200"/>
        <w:rPr>
          <w:rFonts w:ascii="Times New Roman" w:hAnsi="Times New Roman"/>
          <w:kern w:val="0"/>
        </w:rPr>
      </w:pPr>
      <w:r>
        <w:rPr>
          <w:rFonts w:ascii="Times New Roman" w:hAnsi="Times New Roman"/>
          <w:kern w:val="0"/>
        </w:rPr>
        <w:t>a</w:t>
      </w:r>
      <w:r>
        <w:rPr>
          <w:rFonts w:hint="eastAsia" w:ascii="Times New Roman" w:hAnsi="Times New Roman"/>
          <w:kern w:val="0"/>
        </w:rPr>
        <w:t>）备附件及专用工具；</w:t>
      </w:r>
    </w:p>
    <w:p>
      <w:pPr>
        <w:spacing w:line="460" w:lineRule="exact"/>
        <w:ind w:firstLine="480" w:firstLineChars="200"/>
        <w:rPr>
          <w:rFonts w:ascii="Times New Roman" w:hAnsi="Times New Roman"/>
          <w:kern w:val="0"/>
        </w:rPr>
      </w:pPr>
      <w:r>
        <w:rPr>
          <w:rFonts w:ascii="Times New Roman" w:hAnsi="Times New Roman"/>
          <w:kern w:val="0"/>
        </w:rPr>
        <w:t>b</w:t>
      </w:r>
      <w:r>
        <w:rPr>
          <w:rFonts w:hint="eastAsia" w:ascii="Times New Roman" w:hAnsi="Times New Roman"/>
          <w:kern w:val="0"/>
        </w:rPr>
        <w:t>）产品使用说明书；</w:t>
      </w:r>
    </w:p>
    <w:p>
      <w:pPr>
        <w:spacing w:line="460" w:lineRule="exact"/>
        <w:ind w:firstLine="480" w:firstLineChars="200"/>
        <w:rPr>
          <w:rFonts w:ascii="Times New Roman" w:hAnsi="Times New Roman"/>
          <w:kern w:val="0"/>
        </w:rPr>
      </w:pPr>
      <w:r>
        <w:rPr>
          <w:rFonts w:ascii="Times New Roman" w:hAnsi="Times New Roman"/>
          <w:kern w:val="0"/>
        </w:rPr>
        <w:t>c</w:t>
      </w:r>
      <w:r>
        <w:rPr>
          <w:rFonts w:hint="eastAsia" w:ascii="Times New Roman" w:hAnsi="Times New Roman"/>
          <w:kern w:val="0"/>
        </w:rPr>
        <w:t>）产品合格证；</w:t>
      </w:r>
    </w:p>
    <w:p>
      <w:pPr>
        <w:spacing w:line="460" w:lineRule="exact"/>
        <w:ind w:firstLine="480" w:firstLineChars="200"/>
        <w:rPr>
          <w:rFonts w:ascii="Times New Roman" w:hAnsi="Times New Roman"/>
          <w:kern w:val="0"/>
        </w:rPr>
      </w:pPr>
      <w:r>
        <w:rPr>
          <w:rFonts w:ascii="Times New Roman" w:hAnsi="Times New Roman"/>
          <w:kern w:val="0"/>
        </w:rPr>
        <w:t>d</w:t>
      </w:r>
      <w:r>
        <w:rPr>
          <w:rFonts w:hint="eastAsia" w:ascii="Times New Roman" w:hAnsi="Times New Roman"/>
          <w:kern w:val="0"/>
        </w:rPr>
        <w:t>）装箱清单。</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4" w:name="_Toc362255249"/>
      <w:bookmarkStart w:id="115" w:name="_Toc5231"/>
      <w:r>
        <w:rPr>
          <w:rFonts w:hint="eastAsia" w:ascii="Times New Roman" w:hAnsi="Times New Roman" w:eastAsia="宋体"/>
          <w:b w:val="0"/>
          <w:sz w:val="24"/>
        </w:rPr>
        <w:t>7.2 运输</w:t>
      </w:r>
      <w:bookmarkEnd w:id="114"/>
      <w:bookmarkEnd w:id="115"/>
    </w:p>
    <w:p>
      <w:pPr>
        <w:spacing w:line="460" w:lineRule="exact"/>
        <w:ind w:firstLine="480" w:firstLineChars="200"/>
        <w:rPr>
          <w:rFonts w:ascii="Times New Roman" w:hAnsi="Times New Roman"/>
          <w:kern w:val="0"/>
        </w:rPr>
      </w:pPr>
      <w:r>
        <w:rPr>
          <w:rFonts w:hint="eastAsia" w:ascii="Times New Roman" w:hAnsi="Times New Roman"/>
          <w:kern w:val="0"/>
        </w:rPr>
        <w:t>包装合格的产品能经受运输的试验要求，试验结束后应能符合下列要求：产品完整：产品表面及零部件不应有机械损伤，紧固件不得松脱。</w:t>
      </w:r>
    </w:p>
    <w:p>
      <w:pPr>
        <w:spacing w:line="460" w:lineRule="exact"/>
        <w:ind w:firstLine="480" w:firstLineChars="200"/>
        <w:rPr>
          <w:rFonts w:ascii="Times New Roman" w:hAnsi="Times New Roman"/>
          <w:kern w:val="0"/>
        </w:rPr>
      </w:pPr>
      <w:r>
        <w:rPr>
          <w:rFonts w:hint="eastAsia" w:ascii="Times New Roman" w:hAnsi="Times New Roman"/>
          <w:kern w:val="0"/>
        </w:rPr>
        <w:t>包装后的产品，可用汽车、火车、轮船、飞机等运输，在运输中应避免碰撞、跌落、雨雪的直接淋袭和日光暴晒。</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6" w:name="_Toc362255250"/>
      <w:bookmarkStart w:id="117" w:name="_Toc29954"/>
      <w:r>
        <w:rPr>
          <w:rFonts w:hint="eastAsia" w:ascii="Times New Roman" w:hAnsi="Times New Roman" w:eastAsia="宋体"/>
          <w:b w:val="0"/>
          <w:sz w:val="24"/>
        </w:rPr>
        <w:t>7.3 贮存</w:t>
      </w:r>
      <w:bookmarkEnd w:id="116"/>
      <w:bookmarkEnd w:id="117"/>
    </w:p>
    <w:p>
      <w:pPr>
        <w:spacing w:line="460" w:lineRule="exact"/>
        <w:ind w:firstLine="480" w:firstLineChars="200"/>
        <w:rPr>
          <w:rFonts w:ascii="Times New Roman" w:hAnsi="Times New Roman"/>
          <w:kern w:val="0"/>
        </w:rPr>
      </w:pPr>
      <w:r>
        <w:rPr>
          <w:rFonts w:hint="eastAsia" w:ascii="Times New Roman" w:hAnsi="Times New Roman"/>
          <w:kern w:val="0"/>
        </w:rPr>
        <w:t>产品应贮存在通风良好、干燥的仓库中，其周围不应有腐蚀性气体存在，贮存温度为-25℃～+55℃。</w:t>
      </w:r>
      <w:bookmarkEnd w:id="111"/>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8" w:name="_Toc30105"/>
      <w:r>
        <w:rPr>
          <w:rFonts w:hint="eastAsia" w:ascii="Times New Roman" w:hAnsi="Times New Roman" w:eastAsia="宋体"/>
          <w:b w:val="0"/>
          <w:sz w:val="24"/>
        </w:rPr>
        <w:t>8</w:t>
      </w:r>
      <w:r>
        <w:rPr>
          <w:rFonts w:ascii="Times New Roman" w:hAnsi="Times New Roman" w:eastAsia="宋体"/>
          <w:b w:val="0"/>
          <w:sz w:val="24"/>
        </w:rPr>
        <w:t>.</w:t>
      </w:r>
      <w:r>
        <w:rPr>
          <w:rFonts w:hint="eastAsia" w:ascii="Times New Roman" w:hAnsi="Times New Roman" w:eastAsia="宋体"/>
          <w:b w:val="0"/>
          <w:sz w:val="24"/>
        </w:rPr>
        <w:t>抗震要求</w:t>
      </w:r>
      <w:bookmarkEnd w:id="118"/>
    </w:p>
    <w:p>
      <w:pPr>
        <w:spacing w:line="360" w:lineRule="auto"/>
        <w:ind w:firstLine="480" w:firstLineChars="200"/>
        <w:rPr>
          <w:color w:val="000000"/>
          <w:szCs w:val="24"/>
        </w:rPr>
      </w:pPr>
      <w:r>
        <w:rPr>
          <w:rFonts w:hint="eastAsia"/>
          <w:color w:val="000000"/>
          <w:szCs w:val="24"/>
        </w:rPr>
        <w:t>当遭受达到设备安装地区设防烈度加</w:t>
      </w:r>
      <w:r>
        <w:rPr>
          <w:color w:val="000000"/>
          <w:szCs w:val="24"/>
        </w:rPr>
        <w:t>1</w:t>
      </w:r>
      <w:r>
        <w:rPr>
          <w:rFonts w:hint="eastAsia"/>
          <w:color w:val="000000"/>
          <w:szCs w:val="24"/>
        </w:rPr>
        <w:t>度</w:t>
      </w:r>
      <w:r>
        <w:rPr>
          <w:color w:val="000000"/>
          <w:szCs w:val="24"/>
        </w:rPr>
        <w:t>(MM</w:t>
      </w:r>
      <w:r>
        <w:rPr>
          <w:rFonts w:hint="eastAsia"/>
          <w:color w:val="000000"/>
          <w:szCs w:val="24"/>
        </w:rPr>
        <w:t>表</w:t>
      </w:r>
      <w:r>
        <w:rPr>
          <w:color w:val="000000"/>
          <w:szCs w:val="24"/>
        </w:rPr>
        <w:t>)</w:t>
      </w:r>
      <w:r>
        <w:rPr>
          <w:rFonts w:hint="eastAsia"/>
          <w:color w:val="000000"/>
          <w:szCs w:val="24"/>
        </w:rPr>
        <w:t>的地震影响时，卖方所提供的设备应不受地震震动的影响。卖方在抗震设防</w:t>
      </w:r>
      <w:r>
        <w:rPr>
          <w:color w:val="000000"/>
          <w:szCs w:val="24"/>
        </w:rPr>
        <w:t>7</w:t>
      </w:r>
      <w:r>
        <w:rPr>
          <w:rFonts w:hint="eastAsia"/>
          <w:color w:val="000000"/>
          <w:szCs w:val="24"/>
        </w:rPr>
        <w:t>级烈度以上地区提供的设备，应具备抗震检测合格证。</w:t>
      </w:r>
    </w:p>
    <w:p>
      <w:pPr>
        <w:spacing w:line="360" w:lineRule="auto"/>
        <w:ind w:left="570" w:firstLine="480" w:firstLineChars="200"/>
        <w:rPr>
          <w:color w:val="000000"/>
          <w:szCs w:val="24"/>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9" w:name="_Toc17681"/>
      <w:r>
        <w:rPr>
          <w:rFonts w:hint="eastAsia" w:ascii="Times New Roman" w:hAnsi="Times New Roman" w:eastAsia="宋体"/>
          <w:b w:val="0"/>
          <w:sz w:val="24"/>
        </w:rPr>
        <w:t>9</w:t>
      </w:r>
      <w:r>
        <w:rPr>
          <w:rFonts w:ascii="Times New Roman" w:hAnsi="Times New Roman" w:eastAsia="宋体"/>
          <w:b w:val="0"/>
          <w:sz w:val="24"/>
        </w:rPr>
        <w:t>.</w:t>
      </w:r>
      <w:r>
        <w:rPr>
          <w:rFonts w:hint="eastAsia" w:ascii="Times New Roman" w:hAnsi="Times New Roman" w:eastAsia="宋体"/>
          <w:b w:val="0"/>
          <w:sz w:val="24"/>
        </w:rPr>
        <w:t>质量保证体系</w:t>
      </w:r>
      <w:bookmarkEnd w:id="119"/>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20" w:name="_Toc466544524"/>
      <w:bookmarkStart w:id="121" w:name="_Toc470781907"/>
      <w:bookmarkStart w:id="122" w:name="_Toc31324"/>
      <w:r>
        <w:rPr>
          <w:rFonts w:hint="eastAsia" w:ascii="Times New Roman" w:hAnsi="Times New Roman" w:eastAsia="宋体"/>
          <w:b w:val="0"/>
          <w:sz w:val="24"/>
        </w:rPr>
        <w:t>9.1　概述</w:t>
      </w:r>
      <w:bookmarkEnd w:id="120"/>
      <w:bookmarkEnd w:id="121"/>
      <w:bookmarkEnd w:id="122"/>
    </w:p>
    <w:p>
      <w:pPr>
        <w:spacing w:before="163" w:beforeLines="50" w:line="300" w:lineRule="auto"/>
        <w:ind w:firstLine="480" w:firstLineChars="200"/>
      </w:pPr>
      <w:r>
        <w:rPr>
          <w:rFonts w:hint="eastAsia"/>
        </w:rPr>
        <w:t>（1</w:t>
      </w:r>
      <w:r>
        <w:t>）</w:t>
      </w:r>
      <w:r>
        <w:rPr>
          <w:rFonts w:hint="eastAsia"/>
        </w:rPr>
        <w:t>投标方应采用符合</w:t>
      </w:r>
      <w:r>
        <w:t>ISO9000</w:t>
      </w:r>
      <w:r>
        <w:rPr>
          <w:rFonts w:hint="eastAsia"/>
        </w:rPr>
        <w:t>系列要求的质量管理系统。</w:t>
      </w:r>
    </w:p>
    <w:p>
      <w:pPr>
        <w:spacing w:before="163" w:beforeLines="50" w:line="300" w:lineRule="auto"/>
        <w:ind w:firstLine="480" w:firstLineChars="200"/>
      </w:pPr>
      <w:r>
        <w:rPr>
          <w:rFonts w:hint="eastAsia"/>
        </w:rPr>
        <w:t>（2</w:t>
      </w:r>
      <w:r>
        <w:t>）</w:t>
      </w:r>
      <w:r>
        <w:rPr>
          <w:rFonts w:hint="eastAsia"/>
        </w:rPr>
        <w:t>投标方应提供工信部</w:t>
      </w:r>
      <w:r>
        <w:t>或</w:t>
      </w:r>
      <w:r>
        <w:rPr>
          <w:rFonts w:hint="eastAsia"/>
        </w:rPr>
        <w:t>原信息产业部颁发的电信设备进网许可证。</w:t>
      </w:r>
    </w:p>
    <w:p>
      <w:pPr>
        <w:spacing w:before="163" w:beforeLines="50" w:line="300" w:lineRule="auto"/>
        <w:ind w:firstLine="480" w:firstLineChars="200"/>
      </w:pPr>
      <w:r>
        <w:rPr>
          <w:rFonts w:hint="eastAsia"/>
        </w:rPr>
        <w:t>（3</w:t>
      </w:r>
      <w:r>
        <w:t>）</w:t>
      </w:r>
      <w:r>
        <w:rPr>
          <w:rFonts w:hint="eastAsia"/>
        </w:rPr>
        <w:t>投标方应在履行合同的全过程</w:t>
      </w:r>
      <w:r>
        <w:t>(</w:t>
      </w:r>
      <w:r>
        <w:rPr>
          <w:rFonts w:hint="eastAsia"/>
        </w:rPr>
        <w:t>从开始供货到最终验收</w:t>
      </w:r>
      <w:r>
        <w:t>)</w:t>
      </w:r>
      <w:r>
        <w:rPr>
          <w:rFonts w:hint="eastAsia"/>
        </w:rPr>
        <w:t>，对所有供货和服务的质量负责。即要保证所有这些供货和服务的质量符合合同中有关技术、交付、验收和价格所规定的要求。</w:t>
      </w:r>
    </w:p>
    <w:p>
      <w:pPr>
        <w:pStyle w:val="44"/>
        <w:widowControl/>
        <w:autoSpaceDE w:val="0"/>
        <w:autoSpaceDN w:val="0"/>
        <w:spacing w:line="276" w:lineRule="auto"/>
        <w:ind w:firstLine="480"/>
        <w:textAlignment w:val="bottom"/>
        <w:rPr>
          <w:rFonts w:hAnsi="宋体"/>
          <w:sz w:val="24"/>
          <w:szCs w:val="24"/>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23" w:name="_Toc470781908"/>
      <w:bookmarkStart w:id="124" w:name="_Toc466544525"/>
      <w:bookmarkStart w:id="125" w:name="_Toc26900"/>
      <w:r>
        <w:rPr>
          <w:rFonts w:hint="eastAsia" w:ascii="Times New Roman" w:hAnsi="Times New Roman" w:eastAsia="宋体"/>
          <w:b w:val="0"/>
          <w:sz w:val="24"/>
        </w:rPr>
        <w:t>9.2　质量保证系统和要求</w:t>
      </w:r>
      <w:bookmarkEnd w:id="123"/>
      <w:bookmarkEnd w:id="124"/>
      <w:bookmarkEnd w:id="125"/>
    </w:p>
    <w:p>
      <w:pPr>
        <w:spacing w:before="163" w:beforeLines="50" w:line="300" w:lineRule="auto"/>
        <w:ind w:firstLine="480" w:firstLineChars="200"/>
      </w:pPr>
      <w:r>
        <w:rPr>
          <w:rFonts w:hint="eastAsia"/>
        </w:rPr>
        <w:t>投标方的质量保证系统应满足以下要求：</w:t>
      </w:r>
    </w:p>
    <w:p>
      <w:pPr>
        <w:spacing w:before="163" w:beforeLines="50" w:line="300" w:lineRule="auto"/>
        <w:ind w:firstLine="480" w:firstLineChars="200"/>
      </w:pPr>
      <w:r>
        <w:rPr>
          <w:rFonts w:hint="eastAsia"/>
        </w:rPr>
        <w:t>9.2.1　投标方质量保证系统应首先由合同双方之外的第三方确认符合</w:t>
      </w:r>
      <w:r>
        <w:t>ISO9001</w:t>
      </w:r>
      <w:r>
        <w:rPr>
          <w:rFonts w:hint="eastAsia"/>
        </w:rPr>
        <w:t>的要求，在合同履行期间，招标方应得到与该确认有关的所有评估和访问报告的副本。</w:t>
      </w:r>
    </w:p>
    <w:p>
      <w:pPr>
        <w:spacing w:before="163" w:beforeLines="50" w:line="300" w:lineRule="auto"/>
        <w:ind w:firstLine="480" w:firstLineChars="200"/>
      </w:pPr>
      <w:r>
        <w:rPr>
          <w:rFonts w:hint="eastAsia"/>
        </w:rPr>
        <w:t>9.2.2　投标方应提交公司质量手册、厂方的相关质量系统控制以及针对本合同的质量计划。</w:t>
      </w:r>
    </w:p>
    <w:p>
      <w:pPr>
        <w:spacing w:before="163" w:beforeLines="50" w:line="300" w:lineRule="auto"/>
        <w:ind w:firstLine="480" w:firstLineChars="200"/>
      </w:pPr>
      <w:r>
        <w:rPr>
          <w:rFonts w:hint="eastAsia"/>
        </w:rPr>
        <w:t>9.2.3　针对本合同质量计划的第一份正式文件应在签订合同前由招标和投标双方共同认可。该质量计划经认可后将作为合同文件的一部分，以后未经招标方同意不得修改。</w:t>
      </w:r>
    </w:p>
    <w:p>
      <w:pPr>
        <w:pStyle w:val="44"/>
        <w:widowControl/>
        <w:autoSpaceDE w:val="0"/>
        <w:autoSpaceDN w:val="0"/>
        <w:spacing w:line="276" w:lineRule="auto"/>
        <w:textAlignment w:val="bottom"/>
        <w:rPr>
          <w:rFonts w:hAnsi="宋体"/>
          <w:sz w:val="24"/>
          <w:szCs w:val="24"/>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26" w:name="_Toc470781909"/>
      <w:bookmarkStart w:id="127" w:name="_Toc466544526"/>
      <w:bookmarkStart w:id="128" w:name="_Toc17426"/>
      <w:r>
        <w:rPr>
          <w:rFonts w:hint="eastAsia" w:ascii="Times New Roman" w:hAnsi="Times New Roman" w:eastAsia="宋体"/>
          <w:b w:val="0"/>
          <w:sz w:val="24"/>
        </w:rPr>
        <w:t>9.3　附加质量保证要求</w:t>
      </w:r>
      <w:bookmarkEnd w:id="126"/>
      <w:bookmarkEnd w:id="127"/>
      <w:bookmarkEnd w:id="128"/>
    </w:p>
    <w:p>
      <w:pPr>
        <w:spacing w:before="163" w:beforeLines="50" w:line="300" w:lineRule="auto"/>
        <w:ind w:firstLine="480" w:firstLineChars="200"/>
      </w:pPr>
      <w:r>
        <w:rPr>
          <w:rFonts w:hint="eastAsia"/>
        </w:rPr>
        <w:t>9.3.1 招标方应能在双方商定的时间内与投标方接触，应有机会检查质量系统并及时提出新的要求。招标方还应有权进行现场考察，以就目前状况、具体事宜、进度等与投标方达成协议。</w:t>
      </w:r>
    </w:p>
    <w:p>
      <w:pPr>
        <w:spacing w:before="163" w:beforeLines="50" w:line="300" w:lineRule="auto"/>
        <w:ind w:firstLine="480" w:firstLineChars="200"/>
      </w:pPr>
      <w:r>
        <w:rPr>
          <w:rFonts w:hint="eastAsia"/>
        </w:rPr>
        <w:t>9.3.2　招标方应能得到所有相关文件，包括质量和生产检验指标以及合同规定的其它技术文件。以这些文件作为依据来确保质量执行过程与合同规定的质量计划一致。</w:t>
      </w:r>
    </w:p>
    <w:p>
      <w:pPr>
        <w:spacing w:before="163" w:beforeLines="50" w:line="300" w:lineRule="auto"/>
        <w:ind w:firstLine="480" w:firstLineChars="200"/>
      </w:pPr>
      <w:r>
        <w:rPr>
          <w:rFonts w:hint="eastAsia"/>
        </w:rPr>
        <w:t>9.3.3　当投标方认为可以依据文件规定过程完成供货和服务时，应征求招标方代表的同意。招标方代表也认为供货和服务可以结束时，应当签署一份依据性文件。该文件并不停止投标方对合同各项要求的负责，也不修改保证期的开始日期。</w:t>
      </w:r>
    </w:p>
    <w:p>
      <w:pPr>
        <w:spacing w:line="276" w:lineRule="auto"/>
        <w:jc w:val="left"/>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29" w:name="_Toc470781910"/>
      <w:bookmarkStart w:id="130" w:name="_Toc466544527"/>
      <w:bookmarkStart w:id="131" w:name="_Toc1232"/>
      <w:r>
        <w:rPr>
          <w:rFonts w:hint="eastAsia" w:ascii="Times New Roman" w:hAnsi="Times New Roman" w:eastAsia="宋体"/>
          <w:b w:val="0"/>
          <w:sz w:val="24"/>
        </w:rPr>
        <w:t>9.4　生产能力及规模</w:t>
      </w:r>
      <w:bookmarkEnd w:id="129"/>
      <w:bookmarkEnd w:id="130"/>
      <w:bookmarkEnd w:id="131"/>
    </w:p>
    <w:p>
      <w:pPr>
        <w:spacing w:before="163" w:beforeLines="50" w:line="300" w:lineRule="auto"/>
        <w:ind w:firstLine="480" w:firstLineChars="200"/>
      </w:pPr>
      <w:r>
        <w:rPr>
          <w:rFonts w:hint="eastAsia"/>
        </w:rPr>
        <w:t>投标方应如实填写生产能力情况，具体要求内容详见表</w:t>
      </w:r>
      <w:r>
        <w:t>6</w:t>
      </w:r>
      <w:r>
        <w:rPr>
          <w:rFonts w:hint="eastAsia"/>
        </w:rPr>
        <w:t>，</w:t>
      </w:r>
      <w:r>
        <w:t>并填写该表</w:t>
      </w:r>
      <w:r>
        <w:rPr>
          <w:rFonts w:hint="eastAsia"/>
        </w:rPr>
        <w:t>。</w:t>
      </w:r>
    </w:p>
    <w:p>
      <w:pPr>
        <w:pStyle w:val="8"/>
        <w:spacing w:line="360" w:lineRule="auto"/>
        <w:ind w:firstLine="480"/>
        <w:rPr>
          <w:rFonts w:ascii="宋体" w:hAnsi="宋体" w:eastAsia="宋体"/>
          <w:sz w:val="24"/>
          <w:szCs w:val="24"/>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32" w:name="_Toc466544532"/>
      <w:bookmarkStart w:id="133" w:name="_Toc470781912"/>
      <w:bookmarkStart w:id="134" w:name="_Toc14303"/>
      <w:r>
        <w:rPr>
          <w:rFonts w:hint="eastAsia" w:ascii="Times New Roman" w:hAnsi="Times New Roman" w:eastAsia="宋体"/>
          <w:b w:val="0"/>
          <w:sz w:val="24"/>
        </w:rPr>
        <w:t>10保修期</w:t>
      </w:r>
      <w:bookmarkEnd w:id="132"/>
      <w:bookmarkEnd w:id="133"/>
      <w:bookmarkEnd w:id="134"/>
    </w:p>
    <w:p>
      <w:pPr>
        <w:spacing w:before="163" w:beforeLines="50" w:line="300" w:lineRule="auto"/>
        <w:ind w:firstLine="480" w:firstLineChars="200"/>
      </w:pPr>
      <w:r>
        <w:rPr>
          <w:rFonts w:hint="eastAsia"/>
        </w:rPr>
        <w:t>10.1　投标方对所提供的产品应实行保修，保修期为终验后24个月。</w:t>
      </w:r>
    </w:p>
    <w:p>
      <w:pPr>
        <w:spacing w:before="163" w:beforeLines="50" w:line="300" w:lineRule="auto"/>
        <w:ind w:firstLine="480" w:firstLineChars="200"/>
      </w:pPr>
      <w:r>
        <w:rPr>
          <w:rFonts w:hint="eastAsia"/>
        </w:rPr>
        <w:t>10.2　在保修期内，投标方应提供以下服务：</w:t>
      </w:r>
    </w:p>
    <w:p>
      <w:pPr>
        <w:spacing w:before="163" w:beforeLines="50" w:line="300" w:lineRule="auto"/>
        <w:ind w:firstLine="480" w:firstLineChars="200"/>
      </w:pPr>
      <w:r>
        <w:rPr>
          <w:rFonts w:hint="eastAsia"/>
        </w:rPr>
        <w:t>（1）提供24小时电话故障诊断服务；</w:t>
      </w:r>
    </w:p>
    <w:p>
      <w:pPr>
        <w:spacing w:before="163" w:beforeLines="50" w:line="300" w:lineRule="auto"/>
        <w:ind w:firstLine="480" w:firstLineChars="200"/>
      </w:pPr>
      <w:r>
        <w:rPr>
          <w:rFonts w:hint="eastAsia"/>
        </w:rPr>
        <w:t>（2）现场故障排除服务；</w:t>
      </w:r>
    </w:p>
    <w:p>
      <w:pPr>
        <w:spacing w:before="163" w:beforeLines="50" w:line="300" w:lineRule="auto"/>
        <w:ind w:firstLine="480" w:firstLineChars="200"/>
      </w:pPr>
      <w:r>
        <w:rPr>
          <w:rFonts w:hint="eastAsia"/>
        </w:rPr>
        <w:t>（3）生产厂家应提供相关资料共享；</w:t>
      </w:r>
    </w:p>
    <w:p>
      <w:pPr>
        <w:spacing w:before="163" w:beforeLines="50" w:line="300" w:lineRule="auto"/>
        <w:ind w:firstLine="480" w:firstLineChars="200"/>
      </w:pPr>
      <w:r>
        <w:rPr>
          <w:rFonts w:hint="eastAsia"/>
        </w:rPr>
        <w:t>（4）无偿更换由于原材料缺陷及制造工艺等问题而发生故障的产品并赔偿直接经济损失。</w:t>
      </w:r>
    </w:p>
    <w:p>
      <w:pPr>
        <w:spacing w:before="163" w:beforeLines="50" w:line="300" w:lineRule="auto"/>
        <w:ind w:firstLine="480" w:firstLineChars="200"/>
      </w:pPr>
      <w:r>
        <w:rPr>
          <w:rFonts w:hint="eastAsia"/>
        </w:rPr>
        <w:t>（5）在施工及保修期内，若发生原因不明，责任不清的故障时，由招标方、投标方及施工方共同承担所发生的直接费用。</w:t>
      </w:r>
    </w:p>
    <w:p>
      <w:pPr>
        <w:spacing w:before="163" w:beforeLines="50" w:line="300" w:lineRule="auto"/>
        <w:ind w:firstLine="480" w:firstLineChars="200"/>
      </w:pPr>
      <w:r>
        <w:rPr>
          <w:rFonts w:hint="eastAsia"/>
        </w:rPr>
        <w:t>10.3　在保修期外，投标方应提供以下服务：</w:t>
      </w:r>
    </w:p>
    <w:p>
      <w:pPr>
        <w:spacing w:before="163" w:beforeLines="50" w:line="300" w:lineRule="auto"/>
        <w:ind w:firstLine="480" w:firstLineChars="200"/>
      </w:pPr>
      <w:r>
        <w:rPr>
          <w:rFonts w:hint="eastAsia"/>
        </w:rPr>
        <w:t>（1）保修期内的前三项服务；</w:t>
      </w:r>
    </w:p>
    <w:p>
      <w:pPr>
        <w:spacing w:before="163" w:beforeLines="50" w:line="300" w:lineRule="auto"/>
        <w:ind w:firstLine="480" w:firstLineChars="200"/>
      </w:pPr>
      <w:r>
        <w:rPr>
          <w:rFonts w:hint="eastAsia"/>
        </w:rPr>
        <w:t>（2）工程质量回访；</w:t>
      </w:r>
    </w:p>
    <w:p>
      <w:pPr>
        <w:spacing w:before="163" w:beforeLines="50" w:line="300" w:lineRule="auto"/>
        <w:ind w:firstLine="480" w:firstLineChars="200"/>
      </w:pPr>
      <w:r>
        <w:rPr>
          <w:rFonts w:hint="eastAsia"/>
        </w:rPr>
        <w:t>（3）产品在寿命期内正常使用过程中，由于原材料缺陷及制造工艺等问题发生传输性能严重下降而导致不能正常使用时，招标方有追究赔偿责任的权利。</w:t>
      </w:r>
    </w:p>
    <w:p>
      <w:pPr>
        <w:spacing w:line="276" w:lineRule="auto"/>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35" w:name="_Toc466544533"/>
      <w:bookmarkStart w:id="136" w:name="_Toc161966696"/>
      <w:bookmarkStart w:id="137" w:name="_Toc470781913"/>
      <w:bookmarkStart w:id="138" w:name="_Toc16266"/>
      <w:r>
        <w:rPr>
          <w:rFonts w:ascii="Times New Roman" w:hAnsi="Times New Roman" w:eastAsia="宋体"/>
          <w:b w:val="0"/>
          <w:sz w:val="24"/>
        </w:rPr>
        <w:t>1</w:t>
      </w:r>
      <w:r>
        <w:rPr>
          <w:rFonts w:hint="eastAsia" w:ascii="Times New Roman" w:hAnsi="Times New Roman" w:eastAsia="宋体"/>
          <w:b w:val="0"/>
          <w:sz w:val="24"/>
        </w:rPr>
        <w:t>1技术文件</w:t>
      </w:r>
      <w:bookmarkEnd w:id="135"/>
      <w:bookmarkEnd w:id="136"/>
      <w:bookmarkEnd w:id="137"/>
      <w:bookmarkEnd w:id="138"/>
    </w:p>
    <w:p>
      <w:pPr>
        <w:spacing w:line="460" w:lineRule="exact"/>
        <w:ind w:firstLine="480" w:firstLineChars="200"/>
        <w:rPr>
          <w:rFonts w:ascii="Times New Roman" w:hAnsi="Times New Roman"/>
          <w:kern w:val="0"/>
        </w:rPr>
      </w:pPr>
      <w:r>
        <w:t>1</w:t>
      </w:r>
      <w:r>
        <w:rPr>
          <w:rFonts w:hint="eastAsia"/>
        </w:rPr>
        <w:t xml:space="preserve">1.1 </w:t>
      </w:r>
      <w:r>
        <w:rPr>
          <w:rFonts w:hint="eastAsia" w:ascii="Times New Roman" w:hAnsi="Times New Roman"/>
          <w:kern w:val="0"/>
        </w:rPr>
        <w:t>投标方以中文书面形式提供设备的全套技术文件及文件清单。技术文件内容要与提供的产品一致，因投标产品修改而导致文件的任何修改，投标</w:t>
      </w:r>
      <w:r>
        <w:rPr>
          <w:rFonts w:ascii="Times New Roman" w:hAnsi="Times New Roman"/>
          <w:kern w:val="0"/>
        </w:rPr>
        <w:t>方</w:t>
      </w:r>
      <w:r>
        <w:rPr>
          <w:rFonts w:hint="eastAsia" w:ascii="Times New Roman" w:hAnsi="Times New Roman"/>
          <w:kern w:val="0"/>
        </w:rPr>
        <w:t>应提供修改或补充的印刷文件。所有的文件均应有简洁明了的名称和编号，各种文字说明应通俗易懂，所有图纸和图形符号等均应规范化，应尽量使用国际电信联盟</w:t>
      </w:r>
      <w:r>
        <w:rPr>
          <w:rFonts w:ascii="Times New Roman" w:hAnsi="Times New Roman"/>
          <w:kern w:val="0"/>
        </w:rPr>
        <w:t>(ITU-T)</w:t>
      </w:r>
      <w:r>
        <w:rPr>
          <w:rFonts w:hint="eastAsia" w:ascii="Times New Roman" w:hAnsi="Times New Roman"/>
          <w:kern w:val="0"/>
        </w:rPr>
        <w:t>和国际电工委员会</w:t>
      </w:r>
      <w:r>
        <w:rPr>
          <w:rFonts w:ascii="Times New Roman" w:hAnsi="Times New Roman"/>
          <w:kern w:val="0"/>
        </w:rPr>
        <w:t>(IEC)</w:t>
      </w:r>
      <w:r>
        <w:rPr>
          <w:rFonts w:hint="eastAsia" w:ascii="Times New Roman" w:hAnsi="Times New Roman"/>
          <w:kern w:val="0"/>
        </w:rPr>
        <w:t>所推荐的标准符号和词汇。</w:t>
      </w:r>
    </w:p>
    <w:p>
      <w:pPr>
        <w:spacing w:before="163" w:beforeLines="50" w:line="300" w:lineRule="auto"/>
        <w:ind w:firstLine="480" w:firstLineChars="200"/>
      </w:pPr>
      <w:r>
        <w:t>1</w:t>
      </w:r>
      <w:r>
        <w:rPr>
          <w:rFonts w:hint="eastAsia"/>
        </w:rPr>
        <w:t>1.</w:t>
      </w:r>
      <w:r>
        <w:t>2</w:t>
      </w:r>
      <w:r>
        <w:rPr>
          <w:rFonts w:hint="eastAsia"/>
        </w:rPr>
        <w:t xml:space="preserve"> 投标方至少应提供以下文件：</w:t>
      </w:r>
    </w:p>
    <w:p>
      <w:pPr>
        <w:spacing w:before="163" w:beforeLines="50" w:line="300" w:lineRule="auto"/>
        <w:ind w:firstLine="480" w:firstLineChars="200"/>
      </w:pPr>
      <w:r>
        <w:rPr>
          <w:rFonts w:hint="eastAsia"/>
        </w:rPr>
        <w:t>（1）所供设备、尾纤手册，包括详细技术性能、功能和维护、操作等。</w:t>
      </w:r>
    </w:p>
    <w:p>
      <w:pPr>
        <w:spacing w:before="163" w:beforeLines="50" w:line="300" w:lineRule="auto"/>
        <w:ind w:firstLine="480" w:firstLineChars="200"/>
      </w:pPr>
      <w:r>
        <w:rPr>
          <w:rFonts w:hint="eastAsia"/>
        </w:rPr>
        <w:t>（2）所供设备、尾纤安装手册，包括各种安装材料的使用应具有的相应图纸。</w:t>
      </w:r>
    </w:p>
    <w:p>
      <w:pPr>
        <w:spacing w:before="163" w:beforeLines="50" w:line="300" w:lineRule="auto"/>
        <w:ind w:firstLine="480" w:firstLineChars="200"/>
      </w:pPr>
      <w:r>
        <w:rPr>
          <w:rFonts w:hint="eastAsia"/>
        </w:rPr>
        <w:t>（3）产品所用主要原材料的技术标准及其生产厂家（格式见表</w:t>
      </w:r>
      <w:r>
        <w:t>7</w:t>
      </w:r>
      <w:r>
        <w:rPr>
          <w:rFonts w:hint="eastAsia"/>
        </w:rPr>
        <w:t>）。</w:t>
      </w:r>
    </w:p>
    <w:p>
      <w:pPr>
        <w:spacing w:before="163" w:beforeLines="50" w:line="300" w:lineRule="auto"/>
        <w:ind w:firstLine="480" w:firstLineChars="200"/>
      </w:pPr>
      <w:r>
        <w:rPr>
          <w:rFonts w:hint="eastAsia"/>
        </w:rPr>
        <w:t>（4）对产品进行检测的主要仪表及技术手段（格式见表</w:t>
      </w:r>
      <w:r>
        <w:t>8</w:t>
      </w:r>
      <w:r>
        <w:rPr>
          <w:rFonts w:hint="eastAsia"/>
        </w:rPr>
        <w:t>）。</w:t>
      </w:r>
    </w:p>
    <w:p>
      <w:pPr>
        <w:spacing w:before="163" w:beforeLines="50" w:line="300" w:lineRule="auto"/>
        <w:ind w:firstLine="480" w:firstLineChars="200"/>
      </w:pPr>
      <w:r>
        <w:rPr>
          <w:rFonts w:hint="eastAsia"/>
        </w:rPr>
        <w:t>（5）每台产品均应有测试记录。</w:t>
      </w:r>
    </w:p>
    <w:p>
      <w:pPr>
        <w:spacing w:before="163" w:beforeLines="50" w:line="300" w:lineRule="auto"/>
        <w:ind w:firstLine="480" w:firstLineChars="200"/>
      </w:pPr>
      <w:r>
        <w:rPr>
          <w:rFonts w:hint="eastAsia"/>
        </w:rPr>
        <w:t>（6）全国销售服务体系（格式见下表</w:t>
      </w:r>
      <w:r>
        <w:t>9</w:t>
      </w:r>
      <w:r>
        <w:rPr>
          <w:rFonts w:hint="eastAsia"/>
        </w:rPr>
        <w:t>）及对施工现场及事故的反应速度。</w:t>
      </w:r>
    </w:p>
    <w:p>
      <w:pPr>
        <w:spacing w:before="163" w:beforeLines="50" w:line="300" w:lineRule="auto"/>
        <w:ind w:firstLine="480" w:firstLineChars="200"/>
      </w:pPr>
      <w:r>
        <w:rPr>
          <w:rFonts w:hint="eastAsia"/>
        </w:rPr>
        <w:t>（7）技术偏离表（格式见下表10）。</w:t>
      </w:r>
    </w:p>
    <w:p>
      <w:pPr>
        <w:pStyle w:val="8"/>
        <w:spacing w:line="360" w:lineRule="auto"/>
        <w:ind w:firstLine="480"/>
        <w:rPr>
          <w:rFonts w:ascii="宋体" w:hAnsi="宋体" w:eastAsia="宋体"/>
          <w:color w:val="000000"/>
          <w:sz w:val="24"/>
          <w:szCs w:val="24"/>
        </w:rPr>
      </w:pPr>
      <w:r>
        <w:rPr>
          <w:rFonts w:hint="eastAsia" w:ascii="宋体" w:hAnsi="宋体" w:eastAsia="宋体"/>
          <w:color w:val="000000"/>
          <w:sz w:val="24"/>
          <w:szCs w:val="24"/>
        </w:rPr>
        <w:t>11.3 技术文件提供时间：技术文件应随设备一同到货。</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39" w:name="_Toc470781914"/>
      <w:bookmarkStart w:id="140" w:name="_Toc466544534"/>
      <w:bookmarkStart w:id="141" w:name="_Toc1012"/>
      <w:r>
        <w:rPr>
          <w:rFonts w:ascii="Times New Roman" w:hAnsi="Times New Roman" w:eastAsia="宋体"/>
          <w:b w:val="0"/>
          <w:sz w:val="24"/>
        </w:rPr>
        <w:t>1</w:t>
      </w:r>
      <w:r>
        <w:rPr>
          <w:rFonts w:hint="eastAsia" w:ascii="Times New Roman" w:hAnsi="Times New Roman" w:eastAsia="宋体"/>
          <w:b w:val="0"/>
          <w:sz w:val="24"/>
        </w:rPr>
        <w:t>2 技术建议</w:t>
      </w:r>
      <w:bookmarkEnd w:id="139"/>
      <w:bookmarkEnd w:id="140"/>
      <w:bookmarkEnd w:id="141"/>
    </w:p>
    <w:p>
      <w:pPr>
        <w:spacing w:before="163" w:beforeLines="50" w:line="300" w:lineRule="auto"/>
        <w:ind w:firstLine="480" w:firstLineChars="200"/>
      </w:pPr>
      <w:r>
        <w:rPr>
          <w:rFonts w:hint="eastAsia"/>
        </w:rPr>
        <w:t>请投标方针对产品的产品特性、使用环境、施工注意事项等提出相关技术建议。</w:t>
      </w:r>
    </w:p>
    <w:p>
      <w:pPr>
        <w:pStyle w:val="44"/>
        <w:widowControl/>
        <w:autoSpaceDE w:val="0"/>
        <w:autoSpaceDN w:val="0"/>
        <w:spacing w:line="276" w:lineRule="auto"/>
        <w:ind w:firstLine="480" w:firstLineChars="200"/>
        <w:textAlignment w:val="bottom"/>
        <w:rPr>
          <w:rFonts w:hAnsi="宋体"/>
          <w:sz w:val="24"/>
          <w:szCs w:val="24"/>
        </w:rPr>
      </w:pPr>
    </w:p>
    <w:p>
      <w:pPr>
        <w:pStyle w:val="44"/>
        <w:widowControl/>
        <w:autoSpaceDE w:val="0"/>
        <w:autoSpaceDN w:val="0"/>
        <w:spacing w:line="276" w:lineRule="auto"/>
        <w:ind w:firstLine="3120" w:firstLineChars="1300"/>
        <w:textAlignment w:val="bottom"/>
        <w:rPr>
          <w:rFonts w:hAnsi="宋体"/>
          <w:sz w:val="24"/>
          <w:szCs w:val="24"/>
        </w:rPr>
      </w:pPr>
    </w:p>
    <w:p>
      <w:pPr>
        <w:pStyle w:val="44"/>
        <w:widowControl/>
        <w:autoSpaceDE w:val="0"/>
        <w:autoSpaceDN w:val="0"/>
        <w:spacing w:line="276" w:lineRule="auto"/>
        <w:jc w:val="center"/>
        <w:textAlignment w:val="bottom"/>
        <w:rPr>
          <w:rFonts w:hAnsi="宋体"/>
          <w:sz w:val="24"/>
          <w:szCs w:val="24"/>
        </w:rPr>
      </w:pPr>
      <w:r>
        <w:rPr>
          <w:rFonts w:hint="eastAsia" w:hAnsi="宋体"/>
          <w:sz w:val="24"/>
          <w:szCs w:val="24"/>
        </w:rPr>
        <w:t>表</w:t>
      </w:r>
      <w:r>
        <w:rPr>
          <w:rFonts w:hAnsi="宋体"/>
          <w:sz w:val="24"/>
          <w:szCs w:val="24"/>
        </w:rPr>
        <w:t>6</w:t>
      </w:r>
      <w:r>
        <w:rPr>
          <w:rFonts w:hint="eastAsia" w:hAnsi="宋体"/>
          <w:sz w:val="24"/>
          <w:szCs w:val="24"/>
        </w:rPr>
        <w:t>生产能力表</w:t>
      </w:r>
    </w:p>
    <w:tbl>
      <w:tblPr>
        <w:tblStyle w:val="17"/>
        <w:tblW w:w="9371" w:type="dxa"/>
        <w:tblInd w:w="113" w:type="dxa"/>
        <w:tblLayout w:type="autofit"/>
        <w:tblCellMar>
          <w:top w:w="0" w:type="dxa"/>
          <w:left w:w="108" w:type="dxa"/>
          <w:bottom w:w="0" w:type="dxa"/>
          <w:right w:w="108" w:type="dxa"/>
        </w:tblCellMar>
      </w:tblPr>
      <w:tblGrid>
        <w:gridCol w:w="876"/>
        <w:gridCol w:w="3230"/>
        <w:gridCol w:w="1222"/>
        <w:gridCol w:w="2362"/>
        <w:gridCol w:w="1681"/>
      </w:tblGrid>
      <w:tr>
        <w:trPr>
          <w:trHeight w:val="412" w:hRule="atLeast"/>
        </w:trPr>
        <w:tc>
          <w:tcPr>
            <w:tcW w:w="8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4"/>
              <w:widowControl/>
              <w:autoSpaceDE w:val="0"/>
              <w:autoSpaceDN w:val="0"/>
              <w:spacing w:line="276" w:lineRule="auto"/>
              <w:jc w:val="center"/>
              <w:textAlignment w:val="bottom"/>
              <w:rPr>
                <w:rFonts w:hAnsi="宋体"/>
                <w:sz w:val="24"/>
                <w:szCs w:val="24"/>
              </w:rPr>
            </w:pPr>
            <w:r>
              <w:rPr>
                <w:rFonts w:hint="eastAsia" w:hAnsi="宋体"/>
                <w:sz w:val="24"/>
                <w:szCs w:val="24"/>
              </w:rPr>
              <w:t>序号</w:t>
            </w:r>
          </w:p>
        </w:tc>
        <w:tc>
          <w:tcPr>
            <w:tcW w:w="3230" w:type="dxa"/>
            <w:tcBorders>
              <w:top w:val="single" w:color="auto" w:sz="4" w:space="0"/>
              <w:left w:val="nil"/>
              <w:bottom w:val="single" w:color="auto" w:sz="4" w:space="0"/>
              <w:right w:val="single" w:color="auto" w:sz="4" w:space="0"/>
            </w:tcBorders>
            <w:shd w:val="clear" w:color="auto" w:fill="auto"/>
            <w:vAlign w:val="center"/>
          </w:tcPr>
          <w:p>
            <w:pPr>
              <w:pStyle w:val="44"/>
              <w:widowControl/>
              <w:autoSpaceDE w:val="0"/>
              <w:autoSpaceDN w:val="0"/>
              <w:spacing w:line="276" w:lineRule="auto"/>
              <w:jc w:val="center"/>
              <w:textAlignment w:val="bottom"/>
              <w:rPr>
                <w:rFonts w:hAnsi="宋体"/>
                <w:sz w:val="24"/>
                <w:szCs w:val="24"/>
              </w:rPr>
            </w:pPr>
            <w:r>
              <w:rPr>
                <w:rFonts w:hint="eastAsia" w:hAnsi="宋体"/>
                <w:sz w:val="24"/>
                <w:szCs w:val="24"/>
              </w:rPr>
              <w:t>产品规格</w:t>
            </w:r>
          </w:p>
        </w:tc>
        <w:tc>
          <w:tcPr>
            <w:tcW w:w="1222" w:type="dxa"/>
            <w:tcBorders>
              <w:top w:val="single" w:color="auto" w:sz="4" w:space="0"/>
              <w:left w:val="nil"/>
              <w:bottom w:val="single" w:color="auto" w:sz="4" w:space="0"/>
              <w:right w:val="single" w:color="auto" w:sz="4" w:space="0"/>
            </w:tcBorders>
            <w:shd w:val="clear" w:color="auto" w:fill="auto"/>
            <w:vAlign w:val="center"/>
          </w:tcPr>
          <w:p>
            <w:pPr>
              <w:pStyle w:val="44"/>
              <w:widowControl/>
              <w:autoSpaceDE w:val="0"/>
              <w:autoSpaceDN w:val="0"/>
              <w:spacing w:line="276" w:lineRule="auto"/>
              <w:jc w:val="center"/>
              <w:textAlignment w:val="bottom"/>
              <w:rPr>
                <w:rFonts w:hAnsi="宋体"/>
                <w:sz w:val="24"/>
                <w:szCs w:val="24"/>
              </w:rPr>
            </w:pPr>
            <w:r>
              <w:rPr>
                <w:rFonts w:hint="eastAsia" w:hAnsi="宋体"/>
                <w:sz w:val="24"/>
                <w:szCs w:val="24"/>
              </w:rPr>
              <w:t>满配容量</w:t>
            </w:r>
          </w:p>
        </w:tc>
        <w:tc>
          <w:tcPr>
            <w:tcW w:w="2362" w:type="dxa"/>
            <w:tcBorders>
              <w:top w:val="single" w:color="auto" w:sz="4" w:space="0"/>
              <w:left w:val="nil"/>
              <w:bottom w:val="single" w:color="auto" w:sz="4" w:space="0"/>
              <w:right w:val="single" w:color="auto" w:sz="4" w:space="0"/>
            </w:tcBorders>
            <w:shd w:val="clear" w:color="auto" w:fill="auto"/>
            <w:vAlign w:val="center"/>
          </w:tcPr>
          <w:p>
            <w:pPr>
              <w:pStyle w:val="44"/>
              <w:widowControl/>
              <w:autoSpaceDE w:val="0"/>
              <w:autoSpaceDN w:val="0"/>
              <w:spacing w:line="276" w:lineRule="auto"/>
              <w:jc w:val="center"/>
              <w:textAlignment w:val="bottom"/>
              <w:rPr>
                <w:rFonts w:hAnsi="宋体"/>
                <w:sz w:val="24"/>
                <w:szCs w:val="24"/>
              </w:rPr>
            </w:pPr>
            <w:r>
              <w:rPr>
                <w:rFonts w:hint="eastAsia" w:hAnsi="宋体"/>
                <w:sz w:val="24"/>
                <w:szCs w:val="24"/>
              </w:rPr>
              <w:t>生产能力（台/月）</w:t>
            </w:r>
          </w:p>
        </w:tc>
        <w:tc>
          <w:tcPr>
            <w:tcW w:w="1681" w:type="dxa"/>
            <w:tcBorders>
              <w:top w:val="single" w:color="auto" w:sz="4" w:space="0"/>
              <w:left w:val="nil"/>
              <w:bottom w:val="single" w:color="auto" w:sz="4" w:space="0"/>
              <w:right w:val="single" w:color="auto" w:sz="4" w:space="0"/>
            </w:tcBorders>
            <w:shd w:val="clear" w:color="auto" w:fill="auto"/>
            <w:vAlign w:val="center"/>
          </w:tcPr>
          <w:p>
            <w:pPr>
              <w:pStyle w:val="44"/>
              <w:widowControl/>
              <w:autoSpaceDE w:val="0"/>
              <w:autoSpaceDN w:val="0"/>
              <w:spacing w:line="276" w:lineRule="auto"/>
              <w:jc w:val="center"/>
              <w:textAlignment w:val="bottom"/>
              <w:rPr>
                <w:rFonts w:hAnsi="宋体"/>
                <w:sz w:val="24"/>
                <w:szCs w:val="24"/>
              </w:rPr>
            </w:pPr>
            <w:r>
              <w:rPr>
                <w:rFonts w:hint="eastAsia" w:hAnsi="宋体"/>
                <w:sz w:val="24"/>
                <w:szCs w:val="24"/>
              </w:rPr>
              <w:t>备注</w:t>
            </w:r>
          </w:p>
        </w:tc>
      </w:tr>
      <w:tr>
        <w:tblPrEx>
          <w:tblCellMar>
            <w:top w:w="0" w:type="dxa"/>
            <w:left w:w="108" w:type="dxa"/>
            <w:bottom w:w="0" w:type="dxa"/>
            <w:right w:w="108" w:type="dxa"/>
          </w:tblCellMar>
        </w:tblPrEx>
        <w:trPr>
          <w:trHeight w:val="348"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center"/>
            </w:pPr>
            <w:r>
              <w:rPr>
                <w:rFonts w:hint="eastAsia"/>
              </w:rPr>
              <w:t>1</w:t>
            </w:r>
          </w:p>
        </w:tc>
        <w:tc>
          <w:tcPr>
            <w:tcW w:w="3230" w:type="dxa"/>
            <w:tcBorders>
              <w:top w:val="nil"/>
              <w:left w:val="nil"/>
              <w:bottom w:val="single" w:color="auto" w:sz="4" w:space="0"/>
              <w:right w:val="single" w:color="auto" w:sz="4" w:space="0"/>
            </w:tcBorders>
            <w:shd w:val="clear" w:color="auto" w:fill="auto"/>
            <w:vAlign w:val="center"/>
          </w:tcPr>
          <w:p>
            <w:pPr>
              <w:jc w:val="center"/>
            </w:pPr>
            <w:r>
              <w:rPr>
                <w:rFonts w:hint="eastAsia"/>
              </w:rPr>
              <w:t>2000×840×300</w:t>
            </w:r>
          </w:p>
        </w:tc>
        <w:tc>
          <w:tcPr>
            <w:tcW w:w="1222" w:type="dxa"/>
            <w:tcBorders>
              <w:top w:val="nil"/>
              <w:left w:val="nil"/>
              <w:bottom w:val="single" w:color="auto" w:sz="4" w:space="0"/>
              <w:right w:val="single" w:color="auto" w:sz="4" w:space="0"/>
            </w:tcBorders>
            <w:shd w:val="clear" w:color="auto" w:fill="auto"/>
            <w:noWrap/>
            <w:vAlign w:val="center"/>
          </w:tcPr>
          <w:p>
            <w:pPr>
              <w:jc w:val="center"/>
            </w:pPr>
            <w:r>
              <w:rPr>
                <w:rFonts w:hint="eastAsia"/>
              </w:rPr>
              <w:t>576芯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　</w:t>
            </w: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blPrEx>
          <w:tblCellMar>
            <w:top w:w="0" w:type="dxa"/>
            <w:left w:w="108" w:type="dxa"/>
            <w:bottom w:w="0" w:type="dxa"/>
            <w:right w:w="108" w:type="dxa"/>
          </w:tblCellMar>
        </w:tblPrEx>
        <w:trPr>
          <w:trHeight w:val="348"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center"/>
            </w:pPr>
            <w:r>
              <w:rPr>
                <w:rFonts w:hint="eastAsia"/>
              </w:rPr>
              <w:t>2</w:t>
            </w:r>
          </w:p>
        </w:tc>
        <w:tc>
          <w:tcPr>
            <w:tcW w:w="3230" w:type="dxa"/>
            <w:tcBorders>
              <w:top w:val="nil"/>
              <w:left w:val="nil"/>
              <w:bottom w:val="single" w:color="auto" w:sz="4" w:space="0"/>
              <w:right w:val="single" w:color="auto" w:sz="4" w:space="0"/>
            </w:tcBorders>
            <w:shd w:val="clear" w:color="auto" w:fill="auto"/>
            <w:vAlign w:val="center"/>
          </w:tcPr>
          <w:p>
            <w:pPr>
              <w:jc w:val="center"/>
            </w:pPr>
            <w:r>
              <w:rPr>
                <w:rFonts w:hint="eastAsia"/>
              </w:rPr>
              <w:t>2200×840×300</w:t>
            </w:r>
          </w:p>
        </w:tc>
        <w:tc>
          <w:tcPr>
            <w:tcW w:w="1222" w:type="dxa"/>
            <w:tcBorders>
              <w:top w:val="nil"/>
              <w:left w:val="nil"/>
              <w:bottom w:val="single" w:color="auto" w:sz="4" w:space="0"/>
              <w:right w:val="single" w:color="auto" w:sz="4" w:space="0"/>
            </w:tcBorders>
            <w:shd w:val="clear" w:color="auto" w:fill="auto"/>
            <w:noWrap/>
            <w:vAlign w:val="center"/>
          </w:tcPr>
          <w:p>
            <w:pPr>
              <w:jc w:val="center"/>
            </w:pPr>
            <w:r>
              <w:rPr>
                <w:rFonts w:hint="eastAsia"/>
              </w:rPr>
              <w:t>648芯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　</w:t>
            </w: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rPr>
          <w:trHeight w:val="304"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center"/>
            </w:pPr>
            <w:r>
              <w:rPr>
                <w:rFonts w:hint="eastAsia"/>
              </w:rPr>
              <w:t>3</w:t>
            </w:r>
          </w:p>
        </w:tc>
        <w:tc>
          <w:tcPr>
            <w:tcW w:w="3230" w:type="dxa"/>
            <w:tcBorders>
              <w:top w:val="nil"/>
              <w:left w:val="nil"/>
              <w:bottom w:val="single" w:color="auto" w:sz="4" w:space="0"/>
              <w:right w:val="single" w:color="auto" w:sz="4" w:space="0"/>
            </w:tcBorders>
            <w:shd w:val="clear" w:color="auto" w:fill="auto"/>
            <w:noWrap/>
            <w:vAlign w:val="center"/>
          </w:tcPr>
          <w:p>
            <w:pPr>
              <w:jc w:val="center"/>
            </w:pPr>
            <w:r>
              <w:rPr>
                <w:rFonts w:hint="eastAsia"/>
              </w:rPr>
              <w:t>2600×840×300</w:t>
            </w:r>
          </w:p>
        </w:tc>
        <w:tc>
          <w:tcPr>
            <w:tcW w:w="1222" w:type="dxa"/>
            <w:tcBorders>
              <w:top w:val="nil"/>
              <w:left w:val="nil"/>
              <w:bottom w:val="single" w:color="auto" w:sz="4" w:space="0"/>
              <w:right w:val="single" w:color="auto" w:sz="4" w:space="0"/>
            </w:tcBorders>
            <w:shd w:val="clear" w:color="auto" w:fill="auto"/>
            <w:noWrap/>
            <w:vAlign w:val="center"/>
          </w:tcPr>
          <w:p>
            <w:pPr>
              <w:jc w:val="center"/>
            </w:pPr>
            <w:r>
              <w:rPr>
                <w:rFonts w:hint="eastAsia"/>
              </w:rPr>
              <w:t>792芯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　</w:t>
            </w: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rPr>
          <w:trHeight w:val="304"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center"/>
            </w:pPr>
            <w:r>
              <w:rPr>
                <w:rFonts w:hint="eastAsia"/>
              </w:rPr>
              <w:t>4</w:t>
            </w:r>
          </w:p>
        </w:tc>
        <w:tc>
          <w:tcPr>
            <w:tcW w:w="3230" w:type="dxa"/>
            <w:tcBorders>
              <w:top w:val="nil"/>
              <w:left w:val="nil"/>
              <w:bottom w:val="single" w:color="auto" w:sz="4" w:space="0"/>
              <w:right w:val="single" w:color="auto" w:sz="4" w:space="0"/>
            </w:tcBorders>
            <w:shd w:val="clear" w:color="auto" w:fill="auto"/>
            <w:noWrap/>
            <w:vAlign w:val="center"/>
          </w:tcPr>
          <w:p>
            <w:pPr>
              <w:jc w:val="center"/>
            </w:pPr>
            <w:r>
              <w:rPr>
                <w:rFonts w:hint="eastAsia"/>
              </w:rPr>
              <w:t>2000×600×300</w:t>
            </w:r>
          </w:p>
        </w:tc>
        <w:tc>
          <w:tcPr>
            <w:tcW w:w="1222" w:type="dxa"/>
            <w:tcBorders>
              <w:top w:val="nil"/>
              <w:left w:val="nil"/>
              <w:bottom w:val="single" w:color="auto" w:sz="4" w:space="0"/>
              <w:right w:val="single" w:color="auto" w:sz="4" w:space="0"/>
            </w:tcBorders>
            <w:shd w:val="clear" w:color="auto" w:fill="auto"/>
            <w:noWrap/>
            <w:vAlign w:val="center"/>
          </w:tcPr>
          <w:p>
            <w:pPr>
              <w:jc w:val="center"/>
            </w:pPr>
            <w:r>
              <w:rPr>
                <w:rFonts w:hint="eastAsia"/>
              </w:rPr>
              <w:t>360芯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　</w:t>
            </w: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rPr>
          <w:trHeight w:val="304"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center"/>
            </w:pPr>
            <w:r>
              <w:rPr>
                <w:rFonts w:hint="eastAsia"/>
              </w:rPr>
              <w:t>5</w:t>
            </w:r>
          </w:p>
        </w:tc>
        <w:tc>
          <w:tcPr>
            <w:tcW w:w="3230" w:type="dxa"/>
            <w:tcBorders>
              <w:top w:val="nil"/>
              <w:left w:val="nil"/>
              <w:bottom w:val="single" w:color="auto" w:sz="4" w:space="0"/>
              <w:right w:val="single" w:color="auto" w:sz="4" w:space="0"/>
            </w:tcBorders>
            <w:shd w:val="clear" w:color="auto" w:fill="auto"/>
            <w:noWrap/>
            <w:vAlign w:val="center"/>
          </w:tcPr>
          <w:p>
            <w:pPr>
              <w:jc w:val="center"/>
            </w:pPr>
            <w:r>
              <w:rPr>
                <w:rFonts w:hint="eastAsia"/>
              </w:rPr>
              <w:t>2200×600×300</w:t>
            </w:r>
          </w:p>
        </w:tc>
        <w:tc>
          <w:tcPr>
            <w:tcW w:w="1222" w:type="dxa"/>
            <w:tcBorders>
              <w:top w:val="nil"/>
              <w:left w:val="nil"/>
              <w:bottom w:val="single" w:color="auto" w:sz="4" w:space="0"/>
              <w:right w:val="single" w:color="auto" w:sz="4" w:space="0"/>
            </w:tcBorders>
            <w:shd w:val="clear" w:color="auto" w:fill="auto"/>
            <w:noWrap/>
            <w:vAlign w:val="center"/>
          </w:tcPr>
          <w:p>
            <w:pPr>
              <w:jc w:val="center"/>
            </w:pPr>
            <w:r>
              <w:rPr>
                <w:rFonts w:hint="eastAsia"/>
              </w:rPr>
              <w:t>504芯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　</w:t>
            </w: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blPrEx>
          <w:tblCellMar>
            <w:top w:w="0" w:type="dxa"/>
            <w:left w:w="108" w:type="dxa"/>
            <w:bottom w:w="0" w:type="dxa"/>
            <w:right w:w="108" w:type="dxa"/>
          </w:tblCellMar>
        </w:tblPrEx>
        <w:trPr>
          <w:trHeight w:val="304"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center"/>
            </w:pPr>
            <w:r>
              <w:rPr>
                <w:rFonts w:hint="eastAsia"/>
              </w:rPr>
              <w:t>6</w:t>
            </w:r>
          </w:p>
        </w:tc>
        <w:tc>
          <w:tcPr>
            <w:tcW w:w="3230" w:type="dxa"/>
            <w:tcBorders>
              <w:top w:val="nil"/>
              <w:left w:val="nil"/>
              <w:bottom w:val="single" w:color="auto" w:sz="4" w:space="0"/>
              <w:right w:val="single" w:color="auto" w:sz="4" w:space="0"/>
            </w:tcBorders>
            <w:shd w:val="clear" w:color="auto" w:fill="auto"/>
            <w:noWrap/>
            <w:vAlign w:val="center"/>
          </w:tcPr>
          <w:p>
            <w:pPr>
              <w:jc w:val="center"/>
            </w:pPr>
            <w:r>
              <w:rPr>
                <w:rFonts w:hint="eastAsia"/>
              </w:rPr>
              <w:t>2600×600×300</w:t>
            </w:r>
          </w:p>
        </w:tc>
        <w:tc>
          <w:tcPr>
            <w:tcW w:w="1222" w:type="dxa"/>
            <w:tcBorders>
              <w:top w:val="nil"/>
              <w:left w:val="nil"/>
              <w:bottom w:val="single" w:color="auto" w:sz="4" w:space="0"/>
              <w:right w:val="single" w:color="auto" w:sz="4" w:space="0"/>
            </w:tcBorders>
            <w:shd w:val="clear" w:color="auto" w:fill="auto"/>
            <w:noWrap/>
            <w:vAlign w:val="center"/>
          </w:tcPr>
          <w:p>
            <w:pPr>
              <w:jc w:val="center"/>
            </w:pPr>
            <w:r>
              <w:rPr>
                <w:rFonts w:hint="eastAsia"/>
              </w:rPr>
              <w:t>576芯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　</w:t>
            </w: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bl>
    <w:p>
      <w:pPr>
        <w:spacing w:before="163" w:beforeLines="50"/>
        <w:ind w:left="-118" w:leftChars="-49" w:firstLine="15"/>
      </w:pPr>
      <w:r>
        <w:rPr>
          <w:rFonts w:hint="eastAsia"/>
        </w:rPr>
        <w:t>投标人名称（公章）：</w:t>
      </w:r>
    </w:p>
    <w:p>
      <w:pPr>
        <w:spacing w:before="163" w:beforeLines="50"/>
        <w:ind w:left="-118" w:leftChars="-49" w:firstLine="15"/>
      </w:pPr>
      <w:r>
        <w:rPr>
          <w:rFonts w:hint="eastAsia"/>
        </w:rPr>
        <w:t>法定代表人或其授权代表（签字）：</w:t>
      </w:r>
    </w:p>
    <w:p>
      <w:pPr>
        <w:spacing w:before="163" w:beforeLines="50"/>
        <w:ind w:left="-118" w:leftChars="-49" w:firstLine="15"/>
      </w:pPr>
      <w:r>
        <w:rPr>
          <w:rFonts w:hint="eastAsia"/>
        </w:rPr>
        <w:t>日期：</w:t>
      </w:r>
    </w:p>
    <w:p>
      <w:pPr>
        <w:spacing w:line="276" w:lineRule="auto"/>
        <w:ind w:firstLine="480" w:firstLineChars="200"/>
        <w:jc w:val="left"/>
      </w:pPr>
    </w:p>
    <w:p>
      <w:pPr>
        <w:spacing w:line="276" w:lineRule="auto"/>
        <w:jc w:val="center"/>
      </w:pPr>
      <w:r>
        <w:rPr>
          <w:rFonts w:hint="eastAsia"/>
        </w:rPr>
        <w:t>表</w:t>
      </w:r>
      <w:r>
        <w:t>7</w:t>
      </w:r>
      <w:r>
        <w:rPr>
          <w:rFonts w:hint="eastAsia"/>
        </w:rPr>
        <w:t xml:space="preserve">主要原材料情况表                                                                                             </w:t>
      </w:r>
    </w:p>
    <w:tbl>
      <w:tblPr>
        <w:tblStyle w:val="17"/>
        <w:tblW w:w="494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4"/>
        <w:gridCol w:w="1390"/>
        <w:gridCol w:w="1390"/>
        <w:gridCol w:w="1202"/>
        <w:gridCol w:w="1419"/>
        <w:gridCol w:w="167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486" w:type="pct"/>
          </w:tcPr>
          <w:p>
            <w:pPr>
              <w:spacing w:line="276" w:lineRule="auto"/>
              <w:jc w:val="center"/>
            </w:pPr>
            <w:r>
              <w:rPr>
                <w:rFonts w:hint="eastAsia"/>
              </w:rPr>
              <w:t>序号</w:t>
            </w:r>
          </w:p>
        </w:tc>
        <w:tc>
          <w:tcPr>
            <w:tcW w:w="739" w:type="pct"/>
          </w:tcPr>
          <w:p>
            <w:pPr>
              <w:spacing w:line="276" w:lineRule="auto"/>
              <w:jc w:val="center"/>
            </w:pPr>
            <w:r>
              <w:rPr>
                <w:rFonts w:hint="eastAsia"/>
              </w:rPr>
              <w:t>材料名称</w:t>
            </w:r>
          </w:p>
        </w:tc>
        <w:tc>
          <w:tcPr>
            <w:tcW w:w="739" w:type="pct"/>
          </w:tcPr>
          <w:p>
            <w:pPr>
              <w:spacing w:line="276" w:lineRule="auto"/>
              <w:jc w:val="center"/>
            </w:pPr>
            <w:r>
              <w:rPr>
                <w:rFonts w:hint="eastAsia"/>
              </w:rPr>
              <w:t>生产厂家</w:t>
            </w:r>
          </w:p>
        </w:tc>
        <w:tc>
          <w:tcPr>
            <w:tcW w:w="639" w:type="pct"/>
          </w:tcPr>
          <w:p>
            <w:pPr>
              <w:spacing w:line="276" w:lineRule="auto"/>
              <w:jc w:val="center"/>
            </w:pPr>
            <w:r>
              <w:rPr>
                <w:rFonts w:hint="eastAsia"/>
              </w:rPr>
              <w:t>产地</w:t>
            </w:r>
          </w:p>
        </w:tc>
        <w:tc>
          <w:tcPr>
            <w:tcW w:w="754" w:type="pct"/>
          </w:tcPr>
          <w:p>
            <w:pPr>
              <w:spacing w:line="276" w:lineRule="auto"/>
              <w:jc w:val="center"/>
            </w:pPr>
            <w:r>
              <w:rPr>
                <w:rFonts w:hint="eastAsia"/>
              </w:rPr>
              <w:t>型号</w:t>
            </w:r>
          </w:p>
        </w:tc>
        <w:tc>
          <w:tcPr>
            <w:tcW w:w="888" w:type="pct"/>
          </w:tcPr>
          <w:p>
            <w:pPr>
              <w:spacing w:line="276" w:lineRule="auto"/>
              <w:jc w:val="center"/>
            </w:pPr>
            <w:r>
              <w:rPr>
                <w:rFonts w:hint="eastAsia"/>
              </w:rPr>
              <w:t>采购</w:t>
            </w:r>
            <w:r>
              <w:t>合同号</w:t>
            </w:r>
          </w:p>
        </w:tc>
        <w:tc>
          <w:tcPr>
            <w:tcW w:w="755" w:type="pct"/>
          </w:tcPr>
          <w:p>
            <w:pPr>
              <w:spacing w:line="276" w:lineRule="auto"/>
              <w:jc w:val="center"/>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486" w:type="pct"/>
          </w:tcPr>
          <w:p>
            <w:pPr>
              <w:spacing w:line="276" w:lineRule="auto"/>
              <w:jc w:val="center"/>
            </w:pPr>
            <w:r>
              <w:rPr>
                <w:rFonts w:hint="eastAsia"/>
              </w:rPr>
              <w:t>1</w:t>
            </w:r>
          </w:p>
        </w:tc>
        <w:tc>
          <w:tcPr>
            <w:tcW w:w="739" w:type="pct"/>
            <w:vAlign w:val="center"/>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486" w:type="pct"/>
          </w:tcPr>
          <w:p>
            <w:pPr>
              <w:spacing w:line="276" w:lineRule="auto"/>
              <w:jc w:val="center"/>
            </w:pPr>
            <w:r>
              <w:rPr>
                <w:rFonts w:hint="eastAsia"/>
              </w:rPr>
              <w:t>2</w:t>
            </w:r>
          </w:p>
        </w:tc>
        <w:tc>
          <w:tcPr>
            <w:tcW w:w="739" w:type="pct"/>
            <w:vAlign w:val="center"/>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8" w:hRule="atLeast"/>
        </w:trPr>
        <w:tc>
          <w:tcPr>
            <w:tcW w:w="486" w:type="pct"/>
          </w:tcPr>
          <w:p>
            <w:pPr>
              <w:spacing w:line="276" w:lineRule="auto"/>
              <w:jc w:val="center"/>
            </w:pPr>
            <w:r>
              <w:rPr>
                <w:rFonts w:hint="eastAsia"/>
              </w:rPr>
              <w:t>3</w:t>
            </w:r>
          </w:p>
        </w:tc>
        <w:tc>
          <w:tcPr>
            <w:tcW w:w="739" w:type="pct"/>
            <w:vAlign w:val="center"/>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486" w:type="pct"/>
          </w:tcPr>
          <w:p>
            <w:pPr>
              <w:spacing w:line="276" w:lineRule="auto"/>
              <w:jc w:val="center"/>
            </w:pPr>
          </w:p>
        </w:tc>
        <w:tc>
          <w:tcPr>
            <w:tcW w:w="739" w:type="pct"/>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7" w:hRule="atLeast"/>
        </w:trPr>
        <w:tc>
          <w:tcPr>
            <w:tcW w:w="486" w:type="pct"/>
            <w:vAlign w:val="center"/>
          </w:tcPr>
          <w:p>
            <w:pPr>
              <w:spacing w:line="276" w:lineRule="auto"/>
              <w:jc w:val="center"/>
            </w:pPr>
          </w:p>
        </w:tc>
        <w:tc>
          <w:tcPr>
            <w:tcW w:w="739" w:type="pct"/>
            <w:vAlign w:val="center"/>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bl>
    <w:p>
      <w:pPr>
        <w:spacing w:before="163" w:beforeLines="50" w:line="300" w:lineRule="auto"/>
        <w:ind w:firstLine="480" w:firstLineChars="200"/>
      </w:pPr>
      <w:r>
        <w:rPr>
          <w:rFonts w:hint="eastAsia"/>
        </w:rPr>
        <w:t>注：1. 投标方应如实、严格填写上表，招标方保留抽检核实的权力。</w:t>
      </w:r>
    </w:p>
    <w:p>
      <w:pPr>
        <w:spacing w:before="163" w:beforeLines="50"/>
        <w:ind w:left="-118" w:leftChars="-49" w:firstLine="15"/>
      </w:pPr>
      <w:r>
        <w:rPr>
          <w:rFonts w:hint="eastAsia"/>
        </w:rPr>
        <w:t>投标人名称（公章）：</w:t>
      </w:r>
    </w:p>
    <w:p>
      <w:pPr>
        <w:spacing w:before="163" w:beforeLines="50"/>
        <w:ind w:left="-118" w:leftChars="-49" w:firstLine="15"/>
      </w:pPr>
      <w:r>
        <w:rPr>
          <w:rFonts w:hint="eastAsia"/>
        </w:rPr>
        <w:t>法定代表人或其授权代表（签字）：</w:t>
      </w:r>
    </w:p>
    <w:p>
      <w:pPr>
        <w:spacing w:before="163" w:beforeLines="50"/>
        <w:ind w:left="-118" w:leftChars="-49" w:firstLine="15"/>
      </w:pPr>
      <w:r>
        <w:rPr>
          <w:rFonts w:hint="eastAsia"/>
        </w:rPr>
        <w:t>日期：</w:t>
      </w:r>
    </w:p>
    <w:p>
      <w:pPr>
        <w:spacing w:line="276" w:lineRule="auto"/>
        <w:ind w:firstLine="480"/>
        <w:jc w:val="left"/>
      </w:pPr>
    </w:p>
    <w:p>
      <w:pPr>
        <w:spacing w:line="276" w:lineRule="auto"/>
        <w:ind w:firstLine="480"/>
        <w:jc w:val="left"/>
      </w:pPr>
    </w:p>
    <w:p>
      <w:pPr>
        <w:spacing w:line="276" w:lineRule="auto"/>
        <w:jc w:val="center"/>
      </w:pPr>
      <w:r>
        <w:rPr>
          <w:rFonts w:hint="eastAsia"/>
        </w:rPr>
        <w:t xml:space="preserve">           表</w:t>
      </w:r>
      <w:r>
        <w:t>8</w:t>
      </w:r>
      <w:r>
        <w:rPr>
          <w:rFonts w:hint="eastAsia"/>
        </w:rPr>
        <w:t>主要检测仪表及检测方法表</w:t>
      </w:r>
    </w:p>
    <w:tbl>
      <w:tblPr>
        <w:tblStyle w:val="17"/>
        <w:tblW w:w="495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1"/>
        <w:gridCol w:w="1359"/>
        <w:gridCol w:w="1999"/>
        <w:gridCol w:w="1555"/>
        <w:gridCol w:w="1886"/>
        <w:gridCol w:w="1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456" w:type="pct"/>
            <w:vAlign w:val="center"/>
          </w:tcPr>
          <w:p>
            <w:pPr>
              <w:spacing w:line="276" w:lineRule="auto"/>
              <w:jc w:val="center"/>
            </w:pPr>
            <w:r>
              <w:rPr>
                <w:rFonts w:hint="eastAsia"/>
              </w:rPr>
              <w:t>序号</w:t>
            </w:r>
          </w:p>
        </w:tc>
        <w:tc>
          <w:tcPr>
            <w:tcW w:w="720" w:type="pct"/>
            <w:vAlign w:val="center"/>
          </w:tcPr>
          <w:p>
            <w:pPr>
              <w:spacing w:line="276" w:lineRule="auto"/>
              <w:jc w:val="center"/>
            </w:pPr>
            <w:r>
              <w:rPr>
                <w:rFonts w:hint="eastAsia"/>
              </w:rPr>
              <w:t>检测项目</w:t>
            </w:r>
          </w:p>
        </w:tc>
        <w:tc>
          <w:tcPr>
            <w:tcW w:w="1059" w:type="pct"/>
            <w:vAlign w:val="center"/>
          </w:tcPr>
          <w:p>
            <w:pPr>
              <w:spacing w:line="276" w:lineRule="auto"/>
              <w:jc w:val="center"/>
            </w:pPr>
            <w:r>
              <w:rPr>
                <w:rFonts w:hint="eastAsia"/>
              </w:rPr>
              <w:t>检测仪表名称</w:t>
            </w:r>
          </w:p>
        </w:tc>
        <w:tc>
          <w:tcPr>
            <w:tcW w:w="824" w:type="pct"/>
            <w:vAlign w:val="center"/>
          </w:tcPr>
          <w:p>
            <w:pPr>
              <w:spacing w:line="276" w:lineRule="auto"/>
              <w:jc w:val="center"/>
            </w:pPr>
            <w:r>
              <w:rPr>
                <w:rFonts w:hint="eastAsia"/>
              </w:rPr>
              <w:t>仪表型号</w:t>
            </w:r>
          </w:p>
        </w:tc>
        <w:tc>
          <w:tcPr>
            <w:tcW w:w="999" w:type="pct"/>
            <w:vAlign w:val="center"/>
          </w:tcPr>
          <w:p>
            <w:pPr>
              <w:spacing w:line="276" w:lineRule="auto"/>
              <w:jc w:val="center"/>
            </w:pPr>
            <w:r>
              <w:rPr>
                <w:rFonts w:hint="eastAsia"/>
              </w:rPr>
              <w:t>仪表数量（台）</w:t>
            </w:r>
          </w:p>
        </w:tc>
        <w:tc>
          <w:tcPr>
            <w:tcW w:w="941" w:type="pct"/>
            <w:vAlign w:val="center"/>
          </w:tcPr>
          <w:p>
            <w:pPr>
              <w:spacing w:line="276" w:lineRule="auto"/>
              <w:jc w:val="center"/>
            </w:pPr>
            <w:r>
              <w:rPr>
                <w:rFonts w:hint="eastAsia"/>
              </w:rPr>
              <w:t>检测方法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456" w:type="pct"/>
          </w:tcPr>
          <w:p>
            <w:pPr>
              <w:spacing w:line="276" w:lineRule="auto"/>
              <w:jc w:val="center"/>
            </w:pPr>
          </w:p>
        </w:tc>
        <w:tc>
          <w:tcPr>
            <w:tcW w:w="720" w:type="pct"/>
          </w:tcPr>
          <w:p>
            <w:pPr>
              <w:spacing w:line="276" w:lineRule="auto"/>
              <w:jc w:val="center"/>
            </w:pPr>
          </w:p>
        </w:tc>
        <w:tc>
          <w:tcPr>
            <w:tcW w:w="1059" w:type="pct"/>
          </w:tcPr>
          <w:p>
            <w:pPr>
              <w:spacing w:line="276" w:lineRule="auto"/>
              <w:jc w:val="center"/>
            </w:pPr>
          </w:p>
        </w:tc>
        <w:tc>
          <w:tcPr>
            <w:tcW w:w="824" w:type="pct"/>
          </w:tcPr>
          <w:p>
            <w:pPr>
              <w:spacing w:line="276" w:lineRule="auto"/>
              <w:jc w:val="center"/>
            </w:pPr>
          </w:p>
        </w:tc>
        <w:tc>
          <w:tcPr>
            <w:tcW w:w="999" w:type="pct"/>
          </w:tcPr>
          <w:p>
            <w:pPr>
              <w:spacing w:line="276" w:lineRule="auto"/>
              <w:jc w:val="center"/>
            </w:pPr>
          </w:p>
        </w:tc>
        <w:tc>
          <w:tcPr>
            <w:tcW w:w="941" w:type="pct"/>
          </w:tcPr>
          <w:p>
            <w:pPr>
              <w:spacing w:line="276" w:lineRule="auto"/>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456" w:type="pct"/>
          </w:tcPr>
          <w:p>
            <w:pPr>
              <w:spacing w:line="276" w:lineRule="auto"/>
              <w:jc w:val="center"/>
            </w:pPr>
          </w:p>
        </w:tc>
        <w:tc>
          <w:tcPr>
            <w:tcW w:w="720" w:type="pct"/>
          </w:tcPr>
          <w:p>
            <w:pPr>
              <w:spacing w:line="276" w:lineRule="auto"/>
              <w:jc w:val="center"/>
            </w:pPr>
          </w:p>
        </w:tc>
        <w:tc>
          <w:tcPr>
            <w:tcW w:w="1059" w:type="pct"/>
          </w:tcPr>
          <w:p>
            <w:pPr>
              <w:spacing w:line="276" w:lineRule="auto"/>
              <w:jc w:val="center"/>
            </w:pPr>
          </w:p>
        </w:tc>
        <w:tc>
          <w:tcPr>
            <w:tcW w:w="824" w:type="pct"/>
          </w:tcPr>
          <w:p>
            <w:pPr>
              <w:spacing w:line="276" w:lineRule="auto"/>
              <w:jc w:val="center"/>
            </w:pPr>
          </w:p>
        </w:tc>
        <w:tc>
          <w:tcPr>
            <w:tcW w:w="999" w:type="pct"/>
          </w:tcPr>
          <w:p>
            <w:pPr>
              <w:spacing w:line="276" w:lineRule="auto"/>
              <w:jc w:val="center"/>
            </w:pPr>
          </w:p>
        </w:tc>
        <w:tc>
          <w:tcPr>
            <w:tcW w:w="941" w:type="pct"/>
          </w:tcPr>
          <w:p>
            <w:pPr>
              <w:spacing w:line="276" w:lineRule="auto"/>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456" w:type="pct"/>
          </w:tcPr>
          <w:p>
            <w:pPr>
              <w:spacing w:line="276" w:lineRule="auto"/>
              <w:jc w:val="center"/>
            </w:pPr>
          </w:p>
        </w:tc>
        <w:tc>
          <w:tcPr>
            <w:tcW w:w="720" w:type="pct"/>
          </w:tcPr>
          <w:p>
            <w:pPr>
              <w:spacing w:line="276" w:lineRule="auto"/>
              <w:jc w:val="center"/>
            </w:pPr>
          </w:p>
        </w:tc>
        <w:tc>
          <w:tcPr>
            <w:tcW w:w="1059" w:type="pct"/>
          </w:tcPr>
          <w:p>
            <w:pPr>
              <w:spacing w:line="276" w:lineRule="auto"/>
              <w:jc w:val="center"/>
            </w:pPr>
          </w:p>
        </w:tc>
        <w:tc>
          <w:tcPr>
            <w:tcW w:w="824" w:type="pct"/>
          </w:tcPr>
          <w:p>
            <w:pPr>
              <w:spacing w:line="276" w:lineRule="auto"/>
              <w:jc w:val="center"/>
            </w:pPr>
          </w:p>
        </w:tc>
        <w:tc>
          <w:tcPr>
            <w:tcW w:w="999" w:type="pct"/>
          </w:tcPr>
          <w:p>
            <w:pPr>
              <w:spacing w:line="276" w:lineRule="auto"/>
              <w:jc w:val="center"/>
            </w:pPr>
          </w:p>
        </w:tc>
        <w:tc>
          <w:tcPr>
            <w:tcW w:w="941" w:type="pct"/>
          </w:tcPr>
          <w:p>
            <w:pPr>
              <w:spacing w:line="276" w:lineRule="auto"/>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456" w:type="pct"/>
          </w:tcPr>
          <w:p>
            <w:pPr>
              <w:spacing w:line="276" w:lineRule="auto"/>
              <w:jc w:val="center"/>
            </w:pPr>
          </w:p>
        </w:tc>
        <w:tc>
          <w:tcPr>
            <w:tcW w:w="720" w:type="pct"/>
          </w:tcPr>
          <w:p>
            <w:pPr>
              <w:spacing w:line="276" w:lineRule="auto"/>
              <w:jc w:val="center"/>
            </w:pPr>
          </w:p>
        </w:tc>
        <w:tc>
          <w:tcPr>
            <w:tcW w:w="1059" w:type="pct"/>
          </w:tcPr>
          <w:p>
            <w:pPr>
              <w:spacing w:line="276" w:lineRule="auto"/>
              <w:jc w:val="center"/>
            </w:pPr>
          </w:p>
        </w:tc>
        <w:tc>
          <w:tcPr>
            <w:tcW w:w="824" w:type="pct"/>
          </w:tcPr>
          <w:p>
            <w:pPr>
              <w:spacing w:line="276" w:lineRule="auto"/>
              <w:jc w:val="center"/>
            </w:pPr>
          </w:p>
        </w:tc>
        <w:tc>
          <w:tcPr>
            <w:tcW w:w="999" w:type="pct"/>
          </w:tcPr>
          <w:p>
            <w:pPr>
              <w:spacing w:line="276" w:lineRule="auto"/>
              <w:jc w:val="center"/>
            </w:pPr>
          </w:p>
        </w:tc>
        <w:tc>
          <w:tcPr>
            <w:tcW w:w="941" w:type="pct"/>
          </w:tcPr>
          <w:p>
            <w:pPr>
              <w:spacing w:line="276" w:lineRule="auto"/>
              <w:jc w:val="center"/>
            </w:pPr>
          </w:p>
        </w:tc>
      </w:tr>
    </w:tbl>
    <w:p>
      <w:pPr>
        <w:spacing w:before="163" w:beforeLines="50"/>
        <w:ind w:left="-118" w:leftChars="-49" w:firstLine="15"/>
      </w:pPr>
      <w:r>
        <w:rPr>
          <w:rFonts w:hint="eastAsia"/>
        </w:rPr>
        <w:t>投标人名称（公章）：</w:t>
      </w:r>
    </w:p>
    <w:p>
      <w:pPr>
        <w:spacing w:before="163" w:beforeLines="50"/>
        <w:ind w:left="-118" w:leftChars="-49" w:firstLine="15"/>
      </w:pPr>
      <w:r>
        <w:rPr>
          <w:rFonts w:hint="eastAsia"/>
        </w:rPr>
        <w:t>法定代表人或其授权代表（签字）：</w:t>
      </w:r>
    </w:p>
    <w:p>
      <w:pPr>
        <w:spacing w:before="163" w:beforeLines="50"/>
        <w:ind w:left="-118" w:leftChars="-49" w:firstLine="15"/>
      </w:pPr>
      <w:r>
        <w:rPr>
          <w:rFonts w:hint="eastAsia"/>
        </w:rPr>
        <w:t>日期：</w:t>
      </w:r>
    </w:p>
    <w:p>
      <w:pPr>
        <w:spacing w:line="276" w:lineRule="auto"/>
        <w:jc w:val="center"/>
      </w:pPr>
    </w:p>
    <w:p>
      <w:pPr>
        <w:spacing w:line="276" w:lineRule="auto"/>
        <w:jc w:val="center"/>
      </w:pPr>
      <w:r>
        <w:rPr>
          <w:rFonts w:hint="eastAsia"/>
        </w:rPr>
        <w:t>表</w:t>
      </w:r>
      <w:r>
        <w:t>9</w:t>
      </w:r>
      <w:r>
        <w:rPr>
          <w:rFonts w:hint="eastAsia"/>
        </w:rPr>
        <w:t>全国服务支撑体系</w:t>
      </w:r>
    </w:p>
    <w:tbl>
      <w:tblPr>
        <w:tblStyle w:val="17"/>
        <w:tblW w:w="9406" w:type="dxa"/>
        <w:tblInd w:w="0" w:type="dxa"/>
        <w:tblLayout w:type="autofit"/>
        <w:tblCellMar>
          <w:top w:w="0" w:type="dxa"/>
          <w:left w:w="108" w:type="dxa"/>
          <w:bottom w:w="0" w:type="dxa"/>
          <w:right w:w="108" w:type="dxa"/>
        </w:tblCellMar>
      </w:tblPr>
      <w:tblGrid>
        <w:gridCol w:w="479"/>
        <w:gridCol w:w="741"/>
        <w:gridCol w:w="741"/>
        <w:gridCol w:w="1201"/>
        <w:gridCol w:w="2078"/>
        <w:gridCol w:w="851"/>
        <w:gridCol w:w="992"/>
        <w:gridCol w:w="1197"/>
        <w:gridCol w:w="1126"/>
      </w:tblGrid>
      <w:tr>
        <w:tblPrEx>
          <w:tblCellMar>
            <w:top w:w="0" w:type="dxa"/>
            <w:left w:w="108" w:type="dxa"/>
            <w:bottom w:w="0" w:type="dxa"/>
            <w:right w:w="108" w:type="dxa"/>
          </w:tblCellMar>
        </w:tblPrEx>
        <w:trPr>
          <w:trHeight w:val="835" w:hRule="atLeast"/>
        </w:trPr>
        <w:tc>
          <w:tcPr>
            <w:tcW w:w="47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序号</w:t>
            </w:r>
          </w:p>
        </w:tc>
        <w:tc>
          <w:tcPr>
            <w:tcW w:w="741"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机构名称</w:t>
            </w:r>
          </w:p>
        </w:tc>
        <w:tc>
          <w:tcPr>
            <w:tcW w:w="741"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服务区域</w:t>
            </w:r>
          </w:p>
        </w:tc>
        <w:tc>
          <w:tcPr>
            <w:tcW w:w="1201"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 xml:space="preserve">安装及支持能力 </w:t>
            </w:r>
          </w:p>
        </w:tc>
        <w:tc>
          <w:tcPr>
            <w:tcW w:w="2078"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 xml:space="preserve">维护中心、技术支撑、服务人员情况 </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具体地址</w:t>
            </w:r>
          </w:p>
        </w:tc>
        <w:tc>
          <w:tcPr>
            <w:tcW w:w="992"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联系人</w:t>
            </w:r>
          </w:p>
        </w:tc>
        <w:tc>
          <w:tcPr>
            <w:tcW w:w="1197"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电话</w:t>
            </w:r>
          </w:p>
        </w:tc>
        <w:tc>
          <w:tcPr>
            <w:tcW w:w="1126"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人员数量（人）</w:t>
            </w:r>
          </w:p>
        </w:tc>
      </w:tr>
      <w:tr>
        <w:tblPrEx>
          <w:tblCellMar>
            <w:top w:w="0" w:type="dxa"/>
            <w:left w:w="108" w:type="dxa"/>
            <w:bottom w:w="0" w:type="dxa"/>
            <w:right w:w="108" w:type="dxa"/>
          </w:tblCellMar>
        </w:tblPrEx>
        <w:trPr>
          <w:trHeight w:val="417" w:hRule="atLeast"/>
        </w:trPr>
        <w:tc>
          <w:tcPr>
            <w:tcW w:w="47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20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2078"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85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992"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97"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26"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r>
      <w:tr>
        <w:tblPrEx>
          <w:tblCellMar>
            <w:top w:w="0" w:type="dxa"/>
            <w:left w:w="108" w:type="dxa"/>
            <w:bottom w:w="0" w:type="dxa"/>
            <w:right w:w="108" w:type="dxa"/>
          </w:tblCellMar>
        </w:tblPrEx>
        <w:trPr>
          <w:trHeight w:val="417" w:hRule="atLeast"/>
        </w:trPr>
        <w:tc>
          <w:tcPr>
            <w:tcW w:w="47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20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2078"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85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992"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97"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26"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r>
      <w:tr>
        <w:tblPrEx>
          <w:tblCellMar>
            <w:top w:w="0" w:type="dxa"/>
            <w:left w:w="108" w:type="dxa"/>
            <w:bottom w:w="0" w:type="dxa"/>
            <w:right w:w="108" w:type="dxa"/>
          </w:tblCellMar>
        </w:tblPrEx>
        <w:trPr>
          <w:trHeight w:val="365" w:hRule="atLeast"/>
        </w:trPr>
        <w:tc>
          <w:tcPr>
            <w:tcW w:w="47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20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2078"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85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992"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97"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26"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r>
    </w:tbl>
    <w:p>
      <w:pPr>
        <w:spacing w:before="163" w:beforeLines="50"/>
        <w:ind w:left="-118" w:leftChars="-49" w:firstLine="15"/>
      </w:pPr>
    </w:p>
    <w:p>
      <w:pPr>
        <w:spacing w:before="163" w:beforeLines="50"/>
        <w:ind w:left="-118" w:leftChars="-49" w:firstLine="15"/>
      </w:pPr>
      <w:r>
        <w:rPr>
          <w:rFonts w:hint="eastAsia"/>
        </w:rPr>
        <w:t>投标人名称（公章）：</w:t>
      </w:r>
    </w:p>
    <w:p>
      <w:pPr>
        <w:spacing w:before="163" w:beforeLines="50"/>
        <w:ind w:left="-118" w:leftChars="-49" w:firstLine="15"/>
      </w:pPr>
      <w:r>
        <w:rPr>
          <w:rFonts w:hint="eastAsia"/>
        </w:rPr>
        <w:t>法定代表人或其授权代表（签字）：</w:t>
      </w:r>
    </w:p>
    <w:p>
      <w:pPr>
        <w:spacing w:before="163" w:beforeLines="50"/>
        <w:ind w:left="-118" w:leftChars="-49" w:firstLine="15"/>
        <w:rPr>
          <w:color w:val="000000"/>
          <w:szCs w:val="24"/>
        </w:rPr>
      </w:pPr>
      <w:r>
        <w:rPr>
          <w:rFonts w:hint="eastAsia"/>
        </w:rPr>
        <w:t>日期：</w:t>
      </w:r>
    </w:p>
    <w:p>
      <w:pPr>
        <w:spacing w:line="276" w:lineRule="auto"/>
        <w:jc w:val="center"/>
      </w:pPr>
      <w:r>
        <w:rPr>
          <w:rFonts w:hint="eastAsia"/>
        </w:rPr>
        <w:t>表10 技术偏离表</w:t>
      </w:r>
    </w:p>
    <w:tbl>
      <w:tblPr>
        <w:tblStyle w:val="17"/>
        <w:tblW w:w="5000" w:type="pct"/>
        <w:tblInd w:w="0" w:type="dxa"/>
        <w:tblLayout w:type="autofit"/>
        <w:tblCellMar>
          <w:top w:w="0" w:type="dxa"/>
          <w:left w:w="108" w:type="dxa"/>
          <w:bottom w:w="0" w:type="dxa"/>
          <w:right w:w="108" w:type="dxa"/>
        </w:tblCellMar>
      </w:tblPr>
      <w:tblGrid>
        <w:gridCol w:w="740"/>
        <w:gridCol w:w="2228"/>
        <w:gridCol w:w="3161"/>
        <w:gridCol w:w="3385"/>
      </w:tblGrid>
      <w:tr>
        <w:tblPrEx>
          <w:tblCellMar>
            <w:top w:w="0" w:type="dxa"/>
            <w:left w:w="108" w:type="dxa"/>
            <w:bottom w:w="0" w:type="dxa"/>
            <w:right w:w="108" w:type="dxa"/>
          </w:tblCellMar>
        </w:tblPrEx>
        <w:trPr>
          <w:trHeight w:val="570" w:hRule="atLeast"/>
        </w:trPr>
        <w:tc>
          <w:tcPr>
            <w:tcW w:w="389" w:type="pct"/>
            <w:tcBorders>
              <w:top w:val="single" w:color="auto" w:sz="4" w:space="0"/>
              <w:left w:val="single" w:color="auto" w:sz="4" w:space="0"/>
              <w:bottom w:val="single" w:color="auto" w:sz="4" w:space="0"/>
              <w:right w:val="single" w:color="auto" w:sz="4" w:space="0"/>
            </w:tcBorders>
            <w:shd w:val="clear" w:color="auto" w:fill="FFFFFF" w:themeFill="background1"/>
            <w:vAlign w:val="center"/>
          </w:tcPr>
          <w:p>
            <w:pPr>
              <w:widowControl/>
              <w:jc w:val="center"/>
              <w:rPr>
                <w:rFonts w:cs="宋体" w:asciiTheme="minorEastAsia" w:hAnsiTheme="minorEastAsia" w:eastAsiaTheme="minorEastAsia"/>
                <w:bCs/>
                <w:kern w:val="0"/>
                <w:szCs w:val="24"/>
              </w:rPr>
            </w:pPr>
            <w:r>
              <w:rPr>
                <w:rFonts w:hint="eastAsia" w:cs="宋体" w:asciiTheme="minorEastAsia" w:hAnsiTheme="minorEastAsia" w:eastAsiaTheme="minorEastAsia"/>
                <w:bCs/>
                <w:kern w:val="0"/>
                <w:szCs w:val="24"/>
              </w:rPr>
              <w:t>序号</w:t>
            </w:r>
          </w:p>
        </w:tc>
        <w:tc>
          <w:tcPr>
            <w:tcW w:w="1171" w:type="pct"/>
            <w:tcBorders>
              <w:top w:val="single" w:color="auto" w:sz="4" w:space="0"/>
              <w:left w:val="nil"/>
              <w:bottom w:val="single" w:color="auto" w:sz="4" w:space="0"/>
              <w:right w:val="single" w:color="auto" w:sz="4" w:space="0"/>
            </w:tcBorders>
            <w:shd w:val="clear" w:color="auto" w:fill="FFFFFF" w:themeFill="background1"/>
            <w:vAlign w:val="center"/>
          </w:tcPr>
          <w:p>
            <w:pPr>
              <w:widowControl/>
              <w:jc w:val="center"/>
              <w:rPr>
                <w:rFonts w:cs="宋体" w:asciiTheme="minorEastAsia" w:hAnsiTheme="minorEastAsia" w:eastAsiaTheme="minorEastAsia"/>
                <w:bCs/>
                <w:kern w:val="0"/>
                <w:szCs w:val="24"/>
              </w:rPr>
            </w:pPr>
            <w:r>
              <w:rPr>
                <w:rFonts w:hint="eastAsia" w:cs="宋体" w:asciiTheme="minorEastAsia" w:hAnsiTheme="minorEastAsia" w:eastAsiaTheme="minorEastAsia"/>
                <w:bCs/>
                <w:kern w:val="0"/>
                <w:szCs w:val="24"/>
              </w:rPr>
              <w:t>技术偏离类型(正负偏离)</w:t>
            </w:r>
          </w:p>
        </w:tc>
        <w:tc>
          <w:tcPr>
            <w:tcW w:w="1661" w:type="pct"/>
            <w:tcBorders>
              <w:top w:val="single" w:color="auto" w:sz="4" w:space="0"/>
              <w:left w:val="nil"/>
              <w:bottom w:val="single" w:color="auto" w:sz="4" w:space="0"/>
              <w:right w:val="single" w:color="auto" w:sz="4" w:space="0"/>
            </w:tcBorders>
            <w:shd w:val="clear" w:color="auto" w:fill="FFFFFF" w:themeFill="background1"/>
            <w:vAlign w:val="center"/>
          </w:tcPr>
          <w:p>
            <w:pPr>
              <w:widowControl/>
              <w:jc w:val="center"/>
              <w:rPr>
                <w:rFonts w:cs="宋体" w:asciiTheme="minorEastAsia" w:hAnsiTheme="minorEastAsia" w:eastAsiaTheme="minorEastAsia"/>
                <w:bCs/>
                <w:kern w:val="0"/>
                <w:szCs w:val="24"/>
              </w:rPr>
            </w:pPr>
            <w:r>
              <w:rPr>
                <w:rFonts w:hint="eastAsia" w:cs="宋体" w:asciiTheme="minorEastAsia" w:hAnsiTheme="minorEastAsia" w:eastAsiaTheme="minorEastAsia"/>
                <w:bCs/>
                <w:kern w:val="0"/>
                <w:szCs w:val="24"/>
              </w:rPr>
              <w:t>技术偏离的文档章节号及页号</w:t>
            </w:r>
          </w:p>
        </w:tc>
        <w:tc>
          <w:tcPr>
            <w:tcW w:w="1779" w:type="pct"/>
            <w:tcBorders>
              <w:top w:val="single" w:color="auto" w:sz="4" w:space="0"/>
              <w:left w:val="nil"/>
              <w:bottom w:val="single" w:color="auto" w:sz="4" w:space="0"/>
              <w:right w:val="single" w:color="auto" w:sz="4" w:space="0"/>
            </w:tcBorders>
            <w:shd w:val="clear" w:color="auto" w:fill="FFFFFF" w:themeFill="background1"/>
            <w:vAlign w:val="center"/>
          </w:tcPr>
          <w:p>
            <w:pPr>
              <w:widowControl/>
              <w:jc w:val="center"/>
              <w:rPr>
                <w:rFonts w:cs="宋体" w:asciiTheme="minorEastAsia" w:hAnsiTheme="minorEastAsia" w:eastAsiaTheme="minorEastAsia"/>
                <w:bCs/>
                <w:kern w:val="0"/>
                <w:szCs w:val="24"/>
              </w:rPr>
            </w:pPr>
            <w:r>
              <w:rPr>
                <w:rFonts w:hint="eastAsia" w:cs="宋体" w:asciiTheme="minorEastAsia" w:hAnsiTheme="minorEastAsia" w:eastAsiaTheme="minorEastAsia"/>
                <w:bCs/>
                <w:kern w:val="0"/>
                <w:szCs w:val="24"/>
              </w:rPr>
              <w:t>技术偏离的主要内容说明</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负偏离(不满足)</w:t>
            </w: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正偏离(优于)</w:t>
            </w: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bl>
    <w:p>
      <w:pPr>
        <w:pStyle w:val="8"/>
        <w:spacing w:line="360" w:lineRule="auto"/>
        <w:ind w:firstLine="3570" w:firstLineChars="1700"/>
        <w:rPr>
          <w:rFonts w:ascii="宋体" w:hAnsi="宋体" w:eastAsia="宋体"/>
          <w:color w:val="000000"/>
          <w:sz w:val="21"/>
          <w:szCs w:val="21"/>
        </w:rPr>
      </w:pPr>
    </w:p>
    <w:sectPr>
      <w:headerReference r:id="rId6" w:type="default"/>
      <w:footerReference r:id="rId8" w:type="default"/>
      <w:headerReference r:id="rId7" w:type="even"/>
      <w:pgSz w:w="11906" w:h="16838"/>
      <w:pgMar w:top="1134" w:right="1134" w:bottom="1134" w:left="1474" w:header="680" w:footer="397" w:gutter="0"/>
      <w:pgNumType w:start="1"/>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仿宋_GB2312">
    <w:altName w:val="仿宋"/>
    <w:panose1 w:val="00000000000000000000"/>
    <w:charset w:val="86"/>
    <w:family w:val="modern"/>
    <w:pitch w:val="default"/>
    <w:sig w:usb0="00000000" w:usb1="00000000" w:usb2="00000010" w:usb3="00000000" w:csb0="00040000" w:csb1="00000000"/>
  </w:font>
  <w:font w:name="长城仿宋">
    <w:altName w:val="黑体"/>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top w:val="none" w:color="auto" w:sz="0" w:space="0"/>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top w:val="none" w:color="auto" w:sz="0" w:space="0"/>
      </w:pBdr>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ascii="Times New Roman" w:hAnsi="Times New Roman"/>
        <w:sz w:val="21"/>
        <w:szCs w:val="21"/>
      </w:rPr>
    </w:pPr>
    <w:r>
      <w:rPr>
        <w:rFonts w:ascii="Times New Roman" w:hAnsi="Times New Roman"/>
        <w:sz w:val="21"/>
        <w:szCs w:val="21"/>
      </w:rPr>
      <w:fldChar w:fldCharType="begin"/>
    </w:r>
    <w:r>
      <w:rPr>
        <w:rFonts w:ascii="Times New Roman" w:hAnsi="Times New Roman"/>
        <w:sz w:val="21"/>
        <w:szCs w:val="21"/>
      </w:rPr>
      <w:instrText xml:space="preserve">PAGE   \* MERGEFORMAT</w:instrText>
    </w:r>
    <w:r>
      <w:rPr>
        <w:rFonts w:ascii="Times New Roman" w:hAnsi="Times New Roman"/>
        <w:sz w:val="21"/>
        <w:szCs w:val="21"/>
      </w:rPr>
      <w:fldChar w:fldCharType="separate"/>
    </w:r>
    <w:r>
      <w:rPr>
        <w:rFonts w:ascii="Times New Roman" w:hAnsi="Times New Roman"/>
        <w:sz w:val="21"/>
        <w:szCs w:val="21"/>
        <w:lang w:val="zh-CN"/>
      </w:rPr>
      <w:t>18</w:t>
    </w:r>
    <w:r>
      <w:rPr>
        <w:rFonts w:ascii="Times New Roman" w:hAnsi="Times New Roman"/>
        <w:sz w:val="21"/>
        <w:szCs w:val="21"/>
      </w:rPr>
      <w:fldChar w:fldCharType="end"/>
    </w:r>
  </w:p>
  <w:p>
    <w:pPr>
      <w:pStyle w:val="11"/>
      <w:jc w:val="both"/>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right"/>
      <w:rPr>
        <w:rFonts w:hint="eastAsia"/>
      </w:rPr>
    </w:pPr>
    <w:r>
      <w:rPr>
        <w:rFonts w:hint="eastAsia"/>
      </w:rPr>
      <w:t xml:space="preserve">                              中国联通线路侧光纤配线架技术规范书（2020版）</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46260FA"/>
    <w:multiLevelType w:val="multilevel"/>
    <w:tmpl w:val="646260FA"/>
    <w:lvl w:ilvl="0" w:tentative="0">
      <w:start w:val="1"/>
      <w:numFmt w:val="decimal"/>
      <w:pStyle w:val="31"/>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
    <w:nsid w:val="657D3FBC"/>
    <w:multiLevelType w:val="multilevel"/>
    <w:tmpl w:val="657D3FBC"/>
    <w:lvl w:ilvl="0" w:tentative="0">
      <w:start w:val="1"/>
      <w:numFmt w:val="upperLetter"/>
      <w:pStyle w:val="47"/>
      <w:suff w:val="nothing"/>
      <w:lvlText w:val="附　录　%1"/>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142" w:firstLine="0"/>
      </w:pPr>
      <w:rPr>
        <w:rFonts w:hint="default" w:ascii="Times New Roman" w:hAnsi="Times New Roman" w:eastAsia="黑体" w:cs="Times New Roman"/>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
    <w:nsid w:val="6CEA2025"/>
    <w:multiLevelType w:val="multilevel"/>
    <w:tmpl w:val="6CEA2025"/>
    <w:lvl w:ilvl="0" w:tentative="0">
      <w:start w:val="1"/>
      <w:numFmt w:val="none"/>
      <w:pStyle w:val="23"/>
      <w:suff w:val="nothing"/>
      <w:lvlText w:val="%1"/>
      <w:lvlJc w:val="left"/>
      <w:pPr>
        <w:ind w:left="0" w:firstLine="0"/>
      </w:pPr>
      <w:rPr>
        <w:rFonts w:hint="default" w:ascii="Times New Roman" w:hAnsi="Times New Roman"/>
        <w:b/>
        <w:i w:val="0"/>
        <w:sz w:val="21"/>
      </w:rPr>
    </w:lvl>
    <w:lvl w:ilvl="1" w:tentative="0">
      <w:start w:val="1"/>
      <w:numFmt w:val="decimal"/>
      <w:pStyle w:val="24"/>
      <w:suff w:val="nothing"/>
      <w:lvlText w:val="%1%2　"/>
      <w:lvlJc w:val="left"/>
      <w:pPr>
        <w:ind w:left="105" w:firstLine="0"/>
      </w:pPr>
      <w:rPr>
        <w:rFonts w:hint="eastAsia" w:ascii="黑体" w:hAnsi="Times New Roman" w:eastAsia="黑体"/>
        <w:b w:val="0"/>
        <w:i w:val="0"/>
        <w:sz w:val="21"/>
      </w:rPr>
    </w:lvl>
    <w:lvl w:ilvl="2" w:tentative="0">
      <w:start w:val="1"/>
      <w:numFmt w:val="decimal"/>
      <w:pStyle w:val="26"/>
      <w:suff w:val="nothing"/>
      <w:lvlText w:val="%1%2.%3　"/>
      <w:lvlJc w:val="left"/>
      <w:pPr>
        <w:ind w:left="315" w:hanging="315"/>
      </w:pPr>
      <w:rPr>
        <w:rFonts w:hint="eastAsia" w:ascii="黑体" w:hAnsi="Times New Roman" w:eastAsia="黑体"/>
        <w:b w:val="0"/>
        <w:i w:val="0"/>
        <w:sz w:val="21"/>
      </w:rPr>
    </w:lvl>
    <w:lvl w:ilvl="3" w:tentative="0">
      <w:start w:val="1"/>
      <w:numFmt w:val="decimal"/>
      <w:pStyle w:val="27"/>
      <w:suff w:val="nothing"/>
      <w:lvlText w:val="%1%2.%3.%4　"/>
      <w:lvlJc w:val="left"/>
      <w:pPr>
        <w:ind w:left="0" w:firstLine="0"/>
      </w:pPr>
      <w:rPr>
        <w:rFonts w:hint="eastAsia" w:ascii="黑体" w:hAnsi="Times New Roman" w:eastAsia="黑体"/>
        <w:b w:val="0"/>
        <w:i w:val="0"/>
        <w:sz w:val="21"/>
      </w:rPr>
    </w:lvl>
    <w:lvl w:ilvl="4" w:tentative="0">
      <w:start w:val="1"/>
      <w:numFmt w:val="decimal"/>
      <w:pStyle w:val="28"/>
      <w:suff w:val="nothing"/>
      <w:lvlText w:val="%1%2.%3.%4.%5　"/>
      <w:lvlJc w:val="left"/>
      <w:pPr>
        <w:ind w:left="0" w:firstLine="0"/>
      </w:pPr>
      <w:rPr>
        <w:rFonts w:hint="eastAsia" w:ascii="黑体" w:hAnsi="Times New Roman" w:eastAsia="黑体"/>
        <w:b w:val="0"/>
        <w:i w:val="0"/>
        <w:sz w:val="21"/>
      </w:rPr>
    </w:lvl>
    <w:lvl w:ilvl="5" w:tentative="0">
      <w:start w:val="1"/>
      <w:numFmt w:val="decimal"/>
      <w:pStyle w:val="29"/>
      <w:suff w:val="nothing"/>
      <w:lvlText w:val="%1%2.%3.%4.%5.%6　"/>
      <w:lvlJc w:val="left"/>
      <w:pPr>
        <w:ind w:left="0" w:firstLine="0"/>
      </w:pPr>
      <w:rPr>
        <w:rFonts w:hint="eastAsia" w:ascii="黑体" w:hAnsi="Times New Roman" w:eastAsia="黑体"/>
        <w:b w:val="0"/>
        <w:i w:val="0"/>
        <w:sz w:val="21"/>
      </w:rPr>
    </w:lvl>
    <w:lvl w:ilvl="6" w:tentative="0">
      <w:start w:val="1"/>
      <w:numFmt w:val="decimal"/>
      <w:pStyle w:val="30"/>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774"/>
    <w:rsid w:val="00000282"/>
    <w:rsid w:val="00000385"/>
    <w:rsid w:val="00003438"/>
    <w:rsid w:val="00005329"/>
    <w:rsid w:val="000056CD"/>
    <w:rsid w:val="00005FB2"/>
    <w:rsid w:val="00010CD0"/>
    <w:rsid w:val="000116BA"/>
    <w:rsid w:val="00011E5E"/>
    <w:rsid w:val="00012A45"/>
    <w:rsid w:val="00013608"/>
    <w:rsid w:val="00014795"/>
    <w:rsid w:val="00014B18"/>
    <w:rsid w:val="00014DD6"/>
    <w:rsid w:val="00016395"/>
    <w:rsid w:val="00016EFD"/>
    <w:rsid w:val="00017421"/>
    <w:rsid w:val="00020917"/>
    <w:rsid w:val="00020C0D"/>
    <w:rsid w:val="00021303"/>
    <w:rsid w:val="00022622"/>
    <w:rsid w:val="0002527E"/>
    <w:rsid w:val="00025598"/>
    <w:rsid w:val="000259CC"/>
    <w:rsid w:val="00027E9B"/>
    <w:rsid w:val="000347C2"/>
    <w:rsid w:val="00034B7A"/>
    <w:rsid w:val="000376BB"/>
    <w:rsid w:val="0004282D"/>
    <w:rsid w:val="00044CB4"/>
    <w:rsid w:val="000451E5"/>
    <w:rsid w:val="00045D16"/>
    <w:rsid w:val="00050CBA"/>
    <w:rsid w:val="000551EB"/>
    <w:rsid w:val="00055ED2"/>
    <w:rsid w:val="00057417"/>
    <w:rsid w:val="000574C3"/>
    <w:rsid w:val="00060497"/>
    <w:rsid w:val="00060747"/>
    <w:rsid w:val="000642B3"/>
    <w:rsid w:val="00066F0F"/>
    <w:rsid w:val="0006709C"/>
    <w:rsid w:val="00067D33"/>
    <w:rsid w:val="00071149"/>
    <w:rsid w:val="00071D55"/>
    <w:rsid w:val="0007226E"/>
    <w:rsid w:val="000732BA"/>
    <w:rsid w:val="0007367B"/>
    <w:rsid w:val="000809E3"/>
    <w:rsid w:val="00081489"/>
    <w:rsid w:val="00083A29"/>
    <w:rsid w:val="000849B5"/>
    <w:rsid w:val="00085864"/>
    <w:rsid w:val="00085F2B"/>
    <w:rsid w:val="000867AE"/>
    <w:rsid w:val="00086B56"/>
    <w:rsid w:val="0008708D"/>
    <w:rsid w:val="0008714C"/>
    <w:rsid w:val="00090636"/>
    <w:rsid w:val="000908DC"/>
    <w:rsid w:val="000924ED"/>
    <w:rsid w:val="000926B0"/>
    <w:rsid w:val="00092A37"/>
    <w:rsid w:val="000967A6"/>
    <w:rsid w:val="000A384C"/>
    <w:rsid w:val="000A4BE3"/>
    <w:rsid w:val="000A5C81"/>
    <w:rsid w:val="000A61ED"/>
    <w:rsid w:val="000A68CA"/>
    <w:rsid w:val="000A6B63"/>
    <w:rsid w:val="000B157F"/>
    <w:rsid w:val="000B180C"/>
    <w:rsid w:val="000B2589"/>
    <w:rsid w:val="000B2AE9"/>
    <w:rsid w:val="000B2BBC"/>
    <w:rsid w:val="000B3260"/>
    <w:rsid w:val="000B3C15"/>
    <w:rsid w:val="000B464F"/>
    <w:rsid w:val="000B520A"/>
    <w:rsid w:val="000B53BA"/>
    <w:rsid w:val="000B5A6E"/>
    <w:rsid w:val="000B61E8"/>
    <w:rsid w:val="000B67F8"/>
    <w:rsid w:val="000B76A1"/>
    <w:rsid w:val="000C2093"/>
    <w:rsid w:val="000C298F"/>
    <w:rsid w:val="000C3153"/>
    <w:rsid w:val="000C3279"/>
    <w:rsid w:val="000C3E70"/>
    <w:rsid w:val="000C5065"/>
    <w:rsid w:val="000C7813"/>
    <w:rsid w:val="000D0B56"/>
    <w:rsid w:val="000D186A"/>
    <w:rsid w:val="000D2455"/>
    <w:rsid w:val="000D49A0"/>
    <w:rsid w:val="000D4D93"/>
    <w:rsid w:val="000D77B6"/>
    <w:rsid w:val="000E01FB"/>
    <w:rsid w:val="000E025A"/>
    <w:rsid w:val="000E1504"/>
    <w:rsid w:val="000E22E7"/>
    <w:rsid w:val="000E40EF"/>
    <w:rsid w:val="000E459D"/>
    <w:rsid w:val="000E46AB"/>
    <w:rsid w:val="000E4BC1"/>
    <w:rsid w:val="000E5EF4"/>
    <w:rsid w:val="000F2AEC"/>
    <w:rsid w:val="000F2C7B"/>
    <w:rsid w:val="000F3417"/>
    <w:rsid w:val="000F5E30"/>
    <w:rsid w:val="000F7061"/>
    <w:rsid w:val="000F735D"/>
    <w:rsid w:val="000F78ED"/>
    <w:rsid w:val="0010491C"/>
    <w:rsid w:val="00104C49"/>
    <w:rsid w:val="00107EA5"/>
    <w:rsid w:val="0011498D"/>
    <w:rsid w:val="00116E55"/>
    <w:rsid w:val="00117183"/>
    <w:rsid w:val="001175A2"/>
    <w:rsid w:val="00121428"/>
    <w:rsid w:val="001222CD"/>
    <w:rsid w:val="001231A4"/>
    <w:rsid w:val="00123BE7"/>
    <w:rsid w:val="00123CDC"/>
    <w:rsid w:val="00124423"/>
    <w:rsid w:val="00125363"/>
    <w:rsid w:val="00126896"/>
    <w:rsid w:val="00127B91"/>
    <w:rsid w:val="00132C31"/>
    <w:rsid w:val="00133F64"/>
    <w:rsid w:val="00136736"/>
    <w:rsid w:val="00142044"/>
    <w:rsid w:val="0014303A"/>
    <w:rsid w:val="00143C4C"/>
    <w:rsid w:val="00145248"/>
    <w:rsid w:val="001459FD"/>
    <w:rsid w:val="0014625D"/>
    <w:rsid w:val="00150EDB"/>
    <w:rsid w:val="001516A9"/>
    <w:rsid w:val="00151F5A"/>
    <w:rsid w:val="001537D2"/>
    <w:rsid w:val="00153915"/>
    <w:rsid w:val="00153E91"/>
    <w:rsid w:val="0015447D"/>
    <w:rsid w:val="00154513"/>
    <w:rsid w:val="00156F7B"/>
    <w:rsid w:val="00157A80"/>
    <w:rsid w:val="0016045B"/>
    <w:rsid w:val="00162433"/>
    <w:rsid w:val="001656A6"/>
    <w:rsid w:val="001667FD"/>
    <w:rsid w:val="00166D3E"/>
    <w:rsid w:val="0016710C"/>
    <w:rsid w:val="001701F2"/>
    <w:rsid w:val="00173CB7"/>
    <w:rsid w:val="00174465"/>
    <w:rsid w:val="001750C1"/>
    <w:rsid w:val="00175F59"/>
    <w:rsid w:val="00176365"/>
    <w:rsid w:val="00177F38"/>
    <w:rsid w:val="0018299E"/>
    <w:rsid w:val="00182B56"/>
    <w:rsid w:val="001834B7"/>
    <w:rsid w:val="00183D26"/>
    <w:rsid w:val="00185CEF"/>
    <w:rsid w:val="00186160"/>
    <w:rsid w:val="00186479"/>
    <w:rsid w:val="00187457"/>
    <w:rsid w:val="001924C1"/>
    <w:rsid w:val="00193843"/>
    <w:rsid w:val="00193DEF"/>
    <w:rsid w:val="0019472B"/>
    <w:rsid w:val="00194E4F"/>
    <w:rsid w:val="00195E99"/>
    <w:rsid w:val="001A091D"/>
    <w:rsid w:val="001A121F"/>
    <w:rsid w:val="001A1D93"/>
    <w:rsid w:val="001A361F"/>
    <w:rsid w:val="001A3F98"/>
    <w:rsid w:val="001B0E59"/>
    <w:rsid w:val="001B15A9"/>
    <w:rsid w:val="001B15EC"/>
    <w:rsid w:val="001B2C89"/>
    <w:rsid w:val="001B364B"/>
    <w:rsid w:val="001B4135"/>
    <w:rsid w:val="001B5F25"/>
    <w:rsid w:val="001C10DF"/>
    <w:rsid w:val="001C3815"/>
    <w:rsid w:val="001C4371"/>
    <w:rsid w:val="001C5953"/>
    <w:rsid w:val="001C6E94"/>
    <w:rsid w:val="001C7AF0"/>
    <w:rsid w:val="001C7CAA"/>
    <w:rsid w:val="001D01DF"/>
    <w:rsid w:val="001D2C08"/>
    <w:rsid w:val="001D2DA7"/>
    <w:rsid w:val="001D5BDF"/>
    <w:rsid w:val="001D75D7"/>
    <w:rsid w:val="001D7ACE"/>
    <w:rsid w:val="001E0AA0"/>
    <w:rsid w:val="001E2908"/>
    <w:rsid w:val="001E2DAD"/>
    <w:rsid w:val="001E3769"/>
    <w:rsid w:val="001E4CF6"/>
    <w:rsid w:val="001E58C8"/>
    <w:rsid w:val="001E7900"/>
    <w:rsid w:val="001F0211"/>
    <w:rsid w:val="001F0F51"/>
    <w:rsid w:val="001F208B"/>
    <w:rsid w:val="001F39C0"/>
    <w:rsid w:val="001F4423"/>
    <w:rsid w:val="001F6CAB"/>
    <w:rsid w:val="001F7CE2"/>
    <w:rsid w:val="001F7D2E"/>
    <w:rsid w:val="00200C46"/>
    <w:rsid w:val="002033F0"/>
    <w:rsid w:val="0020563C"/>
    <w:rsid w:val="00205DD8"/>
    <w:rsid w:val="0020770C"/>
    <w:rsid w:val="00210E10"/>
    <w:rsid w:val="002111DD"/>
    <w:rsid w:val="002138AD"/>
    <w:rsid w:val="00214613"/>
    <w:rsid w:val="00216E9C"/>
    <w:rsid w:val="00225424"/>
    <w:rsid w:val="00225CC1"/>
    <w:rsid w:val="00226FCB"/>
    <w:rsid w:val="00227C92"/>
    <w:rsid w:val="00233AB0"/>
    <w:rsid w:val="002361D9"/>
    <w:rsid w:val="0023655A"/>
    <w:rsid w:val="002365C5"/>
    <w:rsid w:val="00237460"/>
    <w:rsid w:val="00241A89"/>
    <w:rsid w:val="0024294E"/>
    <w:rsid w:val="0024392D"/>
    <w:rsid w:val="00244865"/>
    <w:rsid w:val="00244DE3"/>
    <w:rsid w:val="00245528"/>
    <w:rsid w:val="00250EF3"/>
    <w:rsid w:val="00251CEA"/>
    <w:rsid w:val="00252076"/>
    <w:rsid w:val="00255D25"/>
    <w:rsid w:val="00261EAD"/>
    <w:rsid w:val="00262B8C"/>
    <w:rsid w:val="00264228"/>
    <w:rsid w:val="00271D27"/>
    <w:rsid w:val="0027312C"/>
    <w:rsid w:val="00275338"/>
    <w:rsid w:val="00275D11"/>
    <w:rsid w:val="00276955"/>
    <w:rsid w:val="0027719B"/>
    <w:rsid w:val="00277EBC"/>
    <w:rsid w:val="0028026C"/>
    <w:rsid w:val="00283EE0"/>
    <w:rsid w:val="00285263"/>
    <w:rsid w:val="00291281"/>
    <w:rsid w:val="002917F5"/>
    <w:rsid w:val="00292C0D"/>
    <w:rsid w:val="00293B48"/>
    <w:rsid w:val="00294CE4"/>
    <w:rsid w:val="0029595B"/>
    <w:rsid w:val="00297206"/>
    <w:rsid w:val="002A01A0"/>
    <w:rsid w:val="002A1AF6"/>
    <w:rsid w:val="002A4550"/>
    <w:rsid w:val="002A51B7"/>
    <w:rsid w:val="002A713F"/>
    <w:rsid w:val="002A72A6"/>
    <w:rsid w:val="002A7F81"/>
    <w:rsid w:val="002B02F1"/>
    <w:rsid w:val="002B0929"/>
    <w:rsid w:val="002B0C46"/>
    <w:rsid w:val="002B0D07"/>
    <w:rsid w:val="002B10B4"/>
    <w:rsid w:val="002B19D2"/>
    <w:rsid w:val="002B1D3D"/>
    <w:rsid w:val="002B1E66"/>
    <w:rsid w:val="002B2D87"/>
    <w:rsid w:val="002B574B"/>
    <w:rsid w:val="002B743D"/>
    <w:rsid w:val="002C05F3"/>
    <w:rsid w:val="002C164A"/>
    <w:rsid w:val="002C3091"/>
    <w:rsid w:val="002C396D"/>
    <w:rsid w:val="002C408E"/>
    <w:rsid w:val="002C604D"/>
    <w:rsid w:val="002C66AD"/>
    <w:rsid w:val="002C7CE6"/>
    <w:rsid w:val="002D079A"/>
    <w:rsid w:val="002D32DC"/>
    <w:rsid w:val="002D5A89"/>
    <w:rsid w:val="002D5E62"/>
    <w:rsid w:val="002D5E93"/>
    <w:rsid w:val="002D6996"/>
    <w:rsid w:val="002E260A"/>
    <w:rsid w:val="002E2851"/>
    <w:rsid w:val="002E65C4"/>
    <w:rsid w:val="002E76B1"/>
    <w:rsid w:val="002F03E1"/>
    <w:rsid w:val="002F18BF"/>
    <w:rsid w:val="002F2641"/>
    <w:rsid w:val="002F3847"/>
    <w:rsid w:val="002F429E"/>
    <w:rsid w:val="002F45E0"/>
    <w:rsid w:val="002F5063"/>
    <w:rsid w:val="002F65C1"/>
    <w:rsid w:val="002F72A0"/>
    <w:rsid w:val="00300FBA"/>
    <w:rsid w:val="0030149D"/>
    <w:rsid w:val="00304367"/>
    <w:rsid w:val="00305370"/>
    <w:rsid w:val="00306D3A"/>
    <w:rsid w:val="003071CA"/>
    <w:rsid w:val="00307748"/>
    <w:rsid w:val="0031094A"/>
    <w:rsid w:val="00310D35"/>
    <w:rsid w:val="00311711"/>
    <w:rsid w:val="00312305"/>
    <w:rsid w:val="0031339E"/>
    <w:rsid w:val="00313C9D"/>
    <w:rsid w:val="0032096A"/>
    <w:rsid w:val="003215FF"/>
    <w:rsid w:val="003219CE"/>
    <w:rsid w:val="00323072"/>
    <w:rsid w:val="00323A52"/>
    <w:rsid w:val="00323E6D"/>
    <w:rsid w:val="003251D5"/>
    <w:rsid w:val="003265D7"/>
    <w:rsid w:val="00326694"/>
    <w:rsid w:val="00326AD3"/>
    <w:rsid w:val="00330FCE"/>
    <w:rsid w:val="00332454"/>
    <w:rsid w:val="00333A8C"/>
    <w:rsid w:val="00337D44"/>
    <w:rsid w:val="00343BC2"/>
    <w:rsid w:val="003447BA"/>
    <w:rsid w:val="00345338"/>
    <w:rsid w:val="00345C60"/>
    <w:rsid w:val="00346688"/>
    <w:rsid w:val="0035245B"/>
    <w:rsid w:val="00354807"/>
    <w:rsid w:val="00354945"/>
    <w:rsid w:val="00354FD2"/>
    <w:rsid w:val="0035589D"/>
    <w:rsid w:val="00355AB2"/>
    <w:rsid w:val="00356F67"/>
    <w:rsid w:val="00357055"/>
    <w:rsid w:val="00357323"/>
    <w:rsid w:val="00360A86"/>
    <w:rsid w:val="0036373A"/>
    <w:rsid w:val="00365F57"/>
    <w:rsid w:val="00366265"/>
    <w:rsid w:val="003706B8"/>
    <w:rsid w:val="00370A4F"/>
    <w:rsid w:val="00371918"/>
    <w:rsid w:val="00371B7B"/>
    <w:rsid w:val="00372907"/>
    <w:rsid w:val="00372B9A"/>
    <w:rsid w:val="003749CA"/>
    <w:rsid w:val="00374FF5"/>
    <w:rsid w:val="00376556"/>
    <w:rsid w:val="00380782"/>
    <w:rsid w:val="003808FC"/>
    <w:rsid w:val="003829CD"/>
    <w:rsid w:val="00384372"/>
    <w:rsid w:val="0038541E"/>
    <w:rsid w:val="003869C8"/>
    <w:rsid w:val="00386AD6"/>
    <w:rsid w:val="003903DA"/>
    <w:rsid w:val="003909C8"/>
    <w:rsid w:val="003912CD"/>
    <w:rsid w:val="00391EB5"/>
    <w:rsid w:val="0039509E"/>
    <w:rsid w:val="00395EB6"/>
    <w:rsid w:val="003976C5"/>
    <w:rsid w:val="003A20D3"/>
    <w:rsid w:val="003A2FE1"/>
    <w:rsid w:val="003A3434"/>
    <w:rsid w:val="003A378E"/>
    <w:rsid w:val="003A52C5"/>
    <w:rsid w:val="003A67DD"/>
    <w:rsid w:val="003A69FF"/>
    <w:rsid w:val="003B401C"/>
    <w:rsid w:val="003B5AC0"/>
    <w:rsid w:val="003B5DA2"/>
    <w:rsid w:val="003C0629"/>
    <w:rsid w:val="003C1AE9"/>
    <w:rsid w:val="003C1DEB"/>
    <w:rsid w:val="003C3E7B"/>
    <w:rsid w:val="003C47D1"/>
    <w:rsid w:val="003C532A"/>
    <w:rsid w:val="003C5536"/>
    <w:rsid w:val="003C56AC"/>
    <w:rsid w:val="003C7837"/>
    <w:rsid w:val="003D0E6B"/>
    <w:rsid w:val="003D2616"/>
    <w:rsid w:val="003D332D"/>
    <w:rsid w:val="003D58CA"/>
    <w:rsid w:val="003D6242"/>
    <w:rsid w:val="003D6C3D"/>
    <w:rsid w:val="003E0CB5"/>
    <w:rsid w:val="003E0DBD"/>
    <w:rsid w:val="003E1C12"/>
    <w:rsid w:val="003E253F"/>
    <w:rsid w:val="003E6A3C"/>
    <w:rsid w:val="003E7983"/>
    <w:rsid w:val="003F0FE3"/>
    <w:rsid w:val="003F1125"/>
    <w:rsid w:val="003F4C54"/>
    <w:rsid w:val="003F55D4"/>
    <w:rsid w:val="003F6CF0"/>
    <w:rsid w:val="003F6D05"/>
    <w:rsid w:val="003F6E99"/>
    <w:rsid w:val="003F7078"/>
    <w:rsid w:val="003F75F7"/>
    <w:rsid w:val="003F79C4"/>
    <w:rsid w:val="00401421"/>
    <w:rsid w:val="004036B7"/>
    <w:rsid w:val="00404C2B"/>
    <w:rsid w:val="00405190"/>
    <w:rsid w:val="00406A81"/>
    <w:rsid w:val="004115C2"/>
    <w:rsid w:val="00411D05"/>
    <w:rsid w:val="00414D49"/>
    <w:rsid w:val="0041593C"/>
    <w:rsid w:val="00415ECD"/>
    <w:rsid w:val="004164ED"/>
    <w:rsid w:val="00416E46"/>
    <w:rsid w:val="00417A4C"/>
    <w:rsid w:val="00420637"/>
    <w:rsid w:val="004217C3"/>
    <w:rsid w:val="00423269"/>
    <w:rsid w:val="00423A52"/>
    <w:rsid w:val="00423BBB"/>
    <w:rsid w:val="00424CEE"/>
    <w:rsid w:val="00426459"/>
    <w:rsid w:val="004270BA"/>
    <w:rsid w:val="00430DA7"/>
    <w:rsid w:val="00431398"/>
    <w:rsid w:val="00431634"/>
    <w:rsid w:val="00432034"/>
    <w:rsid w:val="004330A5"/>
    <w:rsid w:val="004336A3"/>
    <w:rsid w:val="00433E75"/>
    <w:rsid w:val="004348A4"/>
    <w:rsid w:val="00435876"/>
    <w:rsid w:val="00436082"/>
    <w:rsid w:val="00436743"/>
    <w:rsid w:val="00444A05"/>
    <w:rsid w:val="004477AF"/>
    <w:rsid w:val="004477E0"/>
    <w:rsid w:val="00452158"/>
    <w:rsid w:val="004563E1"/>
    <w:rsid w:val="0046180F"/>
    <w:rsid w:val="004634A0"/>
    <w:rsid w:val="00467CF3"/>
    <w:rsid w:val="00470724"/>
    <w:rsid w:val="00470CE4"/>
    <w:rsid w:val="004715B9"/>
    <w:rsid w:val="0047427F"/>
    <w:rsid w:val="00474885"/>
    <w:rsid w:val="00474B06"/>
    <w:rsid w:val="004817BA"/>
    <w:rsid w:val="00481B86"/>
    <w:rsid w:val="00481D58"/>
    <w:rsid w:val="00485DDA"/>
    <w:rsid w:val="00486CD1"/>
    <w:rsid w:val="00487536"/>
    <w:rsid w:val="004877B7"/>
    <w:rsid w:val="0049002F"/>
    <w:rsid w:val="004912FD"/>
    <w:rsid w:val="00494286"/>
    <w:rsid w:val="00496CBE"/>
    <w:rsid w:val="004A07E1"/>
    <w:rsid w:val="004A2A71"/>
    <w:rsid w:val="004A35A0"/>
    <w:rsid w:val="004A35F6"/>
    <w:rsid w:val="004A40C1"/>
    <w:rsid w:val="004B08EA"/>
    <w:rsid w:val="004B27BB"/>
    <w:rsid w:val="004B71D6"/>
    <w:rsid w:val="004C1208"/>
    <w:rsid w:val="004C27D3"/>
    <w:rsid w:val="004C282B"/>
    <w:rsid w:val="004C43C7"/>
    <w:rsid w:val="004C581C"/>
    <w:rsid w:val="004C67C0"/>
    <w:rsid w:val="004C728D"/>
    <w:rsid w:val="004C755F"/>
    <w:rsid w:val="004D01A1"/>
    <w:rsid w:val="004D0B31"/>
    <w:rsid w:val="004D26D7"/>
    <w:rsid w:val="004D31BE"/>
    <w:rsid w:val="004E14E0"/>
    <w:rsid w:val="004E1F13"/>
    <w:rsid w:val="004E312D"/>
    <w:rsid w:val="004E4FD7"/>
    <w:rsid w:val="004E613B"/>
    <w:rsid w:val="004E6CF3"/>
    <w:rsid w:val="004F0391"/>
    <w:rsid w:val="004F26AE"/>
    <w:rsid w:val="004F3B59"/>
    <w:rsid w:val="004F4095"/>
    <w:rsid w:val="004F5387"/>
    <w:rsid w:val="004F66AE"/>
    <w:rsid w:val="004F749E"/>
    <w:rsid w:val="0050214C"/>
    <w:rsid w:val="005028B5"/>
    <w:rsid w:val="005033E0"/>
    <w:rsid w:val="0050543A"/>
    <w:rsid w:val="00505E1C"/>
    <w:rsid w:val="00510CC3"/>
    <w:rsid w:val="005113DD"/>
    <w:rsid w:val="00511A38"/>
    <w:rsid w:val="00511DF1"/>
    <w:rsid w:val="00515655"/>
    <w:rsid w:val="00515C63"/>
    <w:rsid w:val="00517C3E"/>
    <w:rsid w:val="005201A5"/>
    <w:rsid w:val="00520C94"/>
    <w:rsid w:val="00523150"/>
    <w:rsid w:val="0052398C"/>
    <w:rsid w:val="0053065D"/>
    <w:rsid w:val="0053223B"/>
    <w:rsid w:val="00533666"/>
    <w:rsid w:val="00533900"/>
    <w:rsid w:val="005341DD"/>
    <w:rsid w:val="00534BCF"/>
    <w:rsid w:val="00536622"/>
    <w:rsid w:val="0054008A"/>
    <w:rsid w:val="0054048C"/>
    <w:rsid w:val="00540F49"/>
    <w:rsid w:val="00541164"/>
    <w:rsid w:val="00541A67"/>
    <w:rsid w:val="00541AB6"/>
    <w:rsid w:val="00542723"/>
    <w:rsid w:val="0054299E"/>
    <w:rsid w:val="00543C27"/>
    <w:rsid w:val="00543F87"/>
    <w:rsid w:val="00546368"/>
    <w:rsid w:val="005468CF"/>
    <w:rsid w:val="005521D4"/>
    <w:rsid w:val="00552405"/>
    <w:rsid w:val="0055305D"/>
    <w:rsid w:val="00553646"/>
    <w:rsid w:val="0055410F"/>
    <w:rsid w:val="00555683"/>
    <w:rsid w:val="005559D1"/>
    <w:rsid w:val="00555B9F"/>
    <w:rsid w:val="00557BA4"/>
    <w:rsid w:val="00557ECC"/>
    <w:rsid w:val="005605C1"/>
    <w:rsid w:val="005608B5"/>
    <w:rsid w:val="00561B0A"/>
    <w:rsid w:val="00561BCB"/>
    <w:rsid w:val="00562F72"/>
    <w:rsid w:val="0056453D"/>
    <w:rsid w:val="005646CE"/>
    <w:rsid w:val="00564929"/>
    <w:rsid w:val="0056503C"/>
    <w:rsid w:val="00565A46"/>
    <w:rsid w:val="00566693"/>
    <w:rsid w:val="00566C5F"/>
    <w:rsid w:val="00566ED1"/>
    <w:rsid w:val="00571CCD"/>
    <w:rsid w:val="00573E3F"/>
    <w:rsid w:val="00574625"/>
    <w:rsid w:val="00575501"/>
    <w:rsid w:val="00575BCC"/>
    <w:rsid w:val="00580CEF"/>
    <w:rsid w:val="0058388F"/>
    <w:rsid w:val="00584EBB"/>
    <w:rsid w:val="00586E81"/>
    <w:rsid w:val="00590511"/>
    <w:rsid w:val="005927F9"/>
    <w:rsid w:val="00593B54"/>
    <w:rsid w:val="00594790"/>
    <w:rsid w:val="00596158"/>
    <w:rsid w:val="00597AA8"/>
    <w:rsid w:val="005A0FD1"/>
    <w:rsid w:val="005A123C"/>
    <w:rsid w:val="005A1483"/>
    <w:rsid w:val="005A1634"/>
    <w:rsid w:val="005A2F35"/>
    <w:rsid w:val="005A5E20"/>
    <w:rsid w:val="005A6FA9"/>
    <w:rsid w:val="005A732E"/>
    <w:rsid w:val="005B2A8A"/>
    <w:rsid w:val="005B3114"/>
    <w:rsid w:val="005B6DD0"/>
    <w:rsid w:val="005B73F4"/>
    <w:rsid w:val="005C0FCD"/>
    <w:rsid w:val="005C3B71"/>
    <w:rsid w:val="005C4AF1"/>
    <w:rsid w:val="005C58D3"/>
    <w:rsid w:val="005C792B"/>
    <w:rsid w:val="005D01D0"/>
    <w:rsid w:val="005D0405"/>
    <w:rsid w:val="005D099F"/>
    <w:rsid w:val="005D0B37"/>
    <w:rsid w:val="005D2FDF"/>
    <w:rsid w:val="005D4532"/>
    <w:rsid w:val="005D4E24"/>
    <w:rsid w:val="005D69B6"/>
    <w:rsid w:val="005E0913"/>
    <w:rsid w:val="005E1AF3"/>
    <w:rsid w:val="005E27A1"/>
    <w:rsid w:val="005E2C23"/>
    <w:rsid w:val="005E4F86"/>
    <w:rsid w:val="005E68B8"/>
    <w:rsid w:val="005F3B4B"/>
    <w:rsid w:val="005F7849"/>
    <w:rsid w:val="00600CB7"/>
    <w:rsid w:val="006029BC"/>
    <w:rsid w:val="00602B37"/>
    <w:rsid w:val="006038D1"/>
    <w:rsid w:val="00604D88"/>
    <w:rsid w:val="00607103"/>
    <w:rsid w:val="0061012B"/>
    <w:rsid w:val="00610249"/>
    <w:rsid w:val="0061030C"/>
    <w:rsid w:val="0061047C"/>
    <w:rsid w:val="0061081C"/>
    <w:rsid w:val="006129D0"/>
    <w:rsid w:val="00612EFE"/>
    <w:rsid w:val="00613179"/>
    <w:rsid w:val="006146BF"/>
    <w:rsid w:val="00614A58"/>
    <w:rsid w:val="006154F3"/>
    <w:rsid w:val="0061567C"/>
    <w:rsid w:val="006158E7"/>
    <w:rsid w:val="00616156"/>
    <w:rsid w:val="0061636D"/>
    <w:rsid w:val="00620DE0"/>
    <w:rsid w:val="00622A63"/>
    <w:rsid w:val="00623B5A"/>
    <w:rsid w:val="0062416F"/>
    <w:rsid w:val="00625448"/>
    <w:rsid w:val="00626278"/>
    <w:rsid w:val="0062690E"/>
    <w:rsid w:val="00626D60"/>
    <w:rsid w:val="00631ABC"/>
    <w:rsid w:val="00633076"/>
    <w:rsid w:val="006348C8"/>
    <w:rsid w:val="00634A67"/>
    <w:rsid w:val="00634CCB"/>
    <w:rsid w:val="00635C65"/>
    <w:rsid w:val="006363FA"/>
    <w:rsid w:val="00637C11"/>
    <w:rsid w:val="00641B6D"/>
    <w:rsid w:val="00642D18"/>
    <w:rsid w:val="006450B6"/>
    <w:rsid w:val="006464C2"/>
    <w:rsid w:val="006464D0"/>
    <w:rsid w:val="00654FD2"/>
    <w:rsid w:val="00661C96"/>
    <w:rsid w:val="00662CE8"/>
    <w:rsid w:val="00663366"/>
    <w:rsid w:val="006633A2"/>
    <w:rsid w:val="00663B17"/>
    <w:rsid w:val="00663EFE"/>
    <w:rsid w:val="00664B28"/>
    <w:rsid w:val="00665544"/>
    <w:rsid w:val="00670256"/>
    <w:rsid w:val="006708AD"/>
    <w:rsid w:val="00670C0F"/>
    <w:rsid w:val="00671309"/>
    <w:rsid w:val="00673D51"/>
    <w:rsid w:val="006751BD"/>
    <w:rsid w:val="0067583A"/>
    <w:rsid w:val="00680F87"/>
    <w:rsid w:val="006818F2"/>
    <w:rsid w:val="006821D0"/>
    <w:rsid w:val="00682612"/>
    <w:rsid w:val="00684F4A"/>
    <w:rsid w:val="00686482"/>
    <w:rsid w:val="00694B78"/>
    <w:rsid w:val="0069586C"/>
    <w:rsid w:val="00696098"/>
    <w:rsid w:val="006975A4"/>
    <w:rsid w:val="006A1AC1"/>
    <w:rsid w:val="006A26FD"/>
    <w:rsid w:val="006A33F7"/>
    <w:rsid w:val="006A3FDB"/>
    <w:rsid w:val="006A5040"/>
    <w:rsid w:val="006A69A5"/>
    <w:rsid w:val="006B422E"/>
    <w:rsid w:val="006B50EF"/>
    <w:rsid w:val="006B6A12"/>
    <w:rsid w:val="006C0EB2"/>
    <w:rsid w:val="006C1386"/>
    <w:rsid w:val="006C1697"/>
    <w:rsid w:val="006C2378"/>
    <w:rsid w:val="006C2C14"/>
    <w:rsid w:val="006C407C"/>
    <w:rsid w:val="006C4338"/>
    <w:rsid w:val="006C58B3"/>
    <w:rsid w:val="006C5C3B"/>
    <w:rsid w:val="006C79A0"/>
    <w:rsid w:val="006D04D2"/>
    <w:rsid w:val="006D1457"/>
    <w:rsid w:val="006D2347"/>
    <w:rsid w:val="006D36F3"/>
    <w:rsid w:val="006D3AC5"/>
    <w:rsid w:val="006D74B8"/>
    <w:rsid w:val="006D756A"/>
    <w:rsid w:val="006D763C"/>
    <w:rsid w:val="006D7735"/>
    <w:rsid w:val="006D7F4A"/>
    <w:rsid w:val="006E0635"/>
    <w:rsid w:val="006E26BA"/>
    <w:rsid w:val="006E3192"/>
    <w:rsid w:val="006E31FA"/>
    <w:rsid w:val="006E4C07"/>
    <w:rsid w:val="006E5772"/>
    <w:rsid w:val="006F0993"/>
    <w:rsid w:val="006F3547"/>
    <w:rsid w:val="006F49E2"/>
    <w:rsid w:val="006F502F"/>
    <w:rsid w:val="006F7879"/>
    <w:rsid w:val="00700692"/>
    <w:rsid w:val="00702DD9"/>
    <w:rsid w:val="0070644C"/>
    <w:rsid w:val="007070CA"/>
    <w:rsid w:val="00707456"/>
    <w:rsid w:val="00707ABB"/>
    <w:rsid w:val="007106D4"/>
    <w:rsid w:val="00710C8A"/>
    <w:rsid w:val="00710CBE"/>
    <w:rsid w:val="0071161F"/>
    <w:rsid w:val="007122DC"/>
    <w:rsid w:val="007138E1"/>
    <w:rsid w:val="007143CE"/>
    <w:rsid w:val="00715C6B"/>
    <w:rsid w:val="007169A3"/>
    <w:rsid w:val="00716D1E"/>
    <w:rsid w:val="00717275"/>
    <w:rsid w:val="00717294"/>
    <w:rsid w:val="00717F35"/>
    <w:rsid w:val="00720058"/>
    <w:rsid w:val="007208EE"/>
    <w:rsid w:val="00722C4E"/>
    <w:rsid w:val="00724953"/>
    <w:rsid w:val="00725A66"/>
    <w:rsid w:val="00731651"/>
    <w:rsid w:val="00732051"/>
    <w:rsid w:val="00733643"/>
    <w:rsid w:val="007347EE"/>
    <w:rsid w:val="00736349"/>
    <w:rsid w:val="00740715"/>
    <w:rsid w:val="00741A07"/>
    <w:rsid w:val="00742774"/>
    <w:rsid w:val="00745540"/>
    <w:rsid w:val="00745B05"/>
    <w:rsid w:val="00746654"/>
    <w:rsid w:val="007474D7"/>
    <w:rsid w:val="00747C9B"/>
    <w:rsid w:val="00750040"/>
    <w:rsid w:val="0075037E"/>
    <w:rsid w:val="00753378"/>
    <w:rsid w:val="00753489"/>
    <w:rsid w:val="0075401E"/>
    <w:rsid w:val="00754891"/>
    <w:rsid w:val="00755540"/>
    <w:rsid w:val="00756327"/>
    <w:rsid w:val="00756691"/>
    <w:rsid w:val="007642C4"/>
    <w:rsid w:val="007648CE"/>
    <w:rsid w:val="007650DA"/>
    <w:rsid w:val="0076606D"/>
    <w:rsid w:val="007666FF"/>
    <w:rsid w:val="00771784"/>
    <w:rsid w:val="00776080"/>
    <w:rsid w:val="00781A8B"/>
    <w:rsid w:val="00782E00"/>
    <w:rsid w:val="00783C65"/>
    <w:rsid w:val="00784176"/>
    <w:rsid w:val="007842EF"/>
    <w:rsid w:val="00786196"/>
    <w:rsid w:val="00787B89"/>
    <w:rsid w:val="00790B69"/>
    <w:rsid w:val="00792C5F"/>
    <w:rsid w:val="0079673F"/>
    <w:rsid w:val="00796D03"/>
    <w:rsid w:val="00796D5E"/>
    <w:rsid w:val="007A3E13"/>
    <w:rsid w:val="007A4E6B"/>
    <w:rsid w:val="007A7F43"/>
    <w:rsid w:val="007B1948"/>
    <w:rsid w:val="007B45FB"/>
    <w:rsid w:val="007B54D0"/>
    <w:rsid w:val="007B6811"/>
    <w:rsid w:val="007C0002"/>
    <w:rsid w:val="007C1FDD"/>
    <w:rsid w:val="007C250D"/>
    <w:rsid w:val="007C4D03"/>
    <w:rsid w:val="007C6884"/>
    <w:rsid w:val="007D2D84"/>
    <w:rsid w:val="007D2E80"/>
    <w:rsid w:val="007D63C2"/>
    <w:rsid w:val="007D7EAE"/>
    <w:rsid w:val="007E145C"/>
    <w:rsid w:val="007E1AFC"/>
    <w:rsid w:val="007E355B"/>
    <w:rsid w:val="007E507F"/>
    <w:rsid w:val="007E5234"/>
    <w:rsid w:val="007E61BA"/>
    <w:rsid w:val="007F0388"/>
    <w:rsid w:val="007F0F67"/>
    <w:rsid w:val="007F5CCB"/>
    <w:rsid w:val="007F6E86"/>
    <w:rsid w:val="008017F1"/>
    <w:rsid w:val="00802F0A"/>
    <w:rsid w:val="0080503E"/>
    <w:rsid w:val="008052C3"/>
    <w:rsid w:val="008062D4"/>
    <w:rsid w:val="008115D3"/>
    <w:rsid w:val="00811A08"/>
    <w:rsid w:val="00811F28"/>
    <w:rsid w:val="00812A2D"/>
    <w:rsid w:val="00815A0E"/>
    <w:rsid w:val="00816A4B"/>
    <w:rsid w:val="00816E58"/>
    <w:rsid w:val="00817959"/>
    <w:rsid w:val="00820486"/>
    <w:rsid w:val="008208B7"/>
    <w:rsid w:val="0082188F"/>
    <w:rsid w:val="00823229"/>
    <w:rsid w:val="0082408B"/>
    <w:rsid w:val="00825216"/>
    <w:rsid w:val="00825CD5"/>
    <w:rsid w:val="00831D04"/>
    <w:rsid w:val="00831ECE"/>
    <w:rsid w:val="0083439D"/>
    <w:rsid w:val="00836662"/>
    <w:rsid w:val="0083764B"/>
    <w:rsid w:val="00840ADB"/>
    <w:rsid w:val="008412C1"/>
    <w:rsid w:val="00841398"/>
    <w:rsid w:val="008414BD"/>
    <w:rsid w:val="00842291"/>
    <w:rsid w:val="008444EE"/>
    <w:rsid w:val="00845009"/>
    <w:rsid w:val="008510A2"/>
    <w:rsid w:val="00851352"/>
    <w:rsid w:val="00851CDD"/>
    <w:rsid w:val="008527A5"/>
    <w:rsid w:val="0085496D"/>
    <w:rsid w:val="00854C13"/>
    <w:rsid w:val="00857692"/>
    <w:rsid w:val="00857804"/>
    <w:rsid w:val="00857E70"/>
    <w:rsid w:val="008603BF"/>
    <w:rsid w:val="008620F1"/>
    <w:rsid w:val="00862FAF"/>
    <w:rsid w:val="00864F55"/>
    <w:rsid w:val="00866E28"/>
    <w:rsid w:val="00866E63"/>
    <w:rsid w:val="0086700B"/>
    <w:rsid w:val="00867C5E"/>
    <w:rsid w:val="0087018C"/>
    <w:rsid w:val="00871DC8"/>
    <w:rsid w:val="008765A8"/>
    <w:rsid w:val="008801B0"/>
    <w:rsid w:val="00881D2C"/>
    <w:rsid w:val="00884D7C"/>
    <w:rsid w:val="0088523D"/>
    <w:rsid w:val="00886456"/>
    <w:rsid w:val="00890700"/>
    <w:rsid w:val="00890C7F"/>
    <w:rsid w:val="00891C86"/>
    <w:rsid w:val="008925E9"/>
    <w:rsid w:val="008937A0"/>
    <w:rsid w:val="00893EDA"/>
    <w:rsid w:val="0089494B"/>
    <w:rsid w:val="00894E46"/>
    <w:rsid w:val="00894E63"/>
    <w:rsid w:val="00895570"/>
    <w:rsid w:val="008975BC"/>
    <w:rsid w:val="008A228E"/>
    <w:rsid w:val="008A3B44"/>
    <w:rsid w:val="008A40FC"/>
    <w:rsid w:val="008A6C23"/>
    <w:rsid w:val="008B002D"/>
    <w:rsid w:val="008B1C79"/>
    <w:rsid w:val="008B23B7"/>
    <w:rsid w:val="008B2C95"/>
    <w:rsid w:val="008B388E"/>
    <w:rsid w:val="008B5248"/>
    <w:rsid w:val="008B73E9"/>
    <w:rsid w:val="008C0084"/>
    <w:rsid w:val="008C1140"/>
    <w:rsid w:val="008C16C7"/>
    <w:rsid w:val="008C3442"/>
    <w:rsid w:val="008C63FB"/>
    <w:rsid w:val="008D075D"/>
    <w:rsid w:val="008D1A8F"/>
    <w:rsid w:val="008D3654"/>
    <w:rsid w:val="008D3B60"/>
    <w:rsid w:val="008E0751"/>
    <w:rsid w:val="008E30D6"/>
    <w:rsid w:val="008E354F"/>
    <w:rsid w:val="008F1FE7"/>
    <w:rsid w:val="008F289E"/>
    <w:rsid w:val="008F3533"/>
    <w:rsid w:val="0090046A"/>
    <w:rsid w:val="00900AE1"/>
    <w:rsid w:val="009061FA"/>
    <w:rsid w:val="00907A78"/>
    <w:rsid w:val="00910BBD"/>
    <w:rsid w:val="009128BD"/>
    <w:rsid w:val="00912927"/>
    <w:rsid w:val="009145A1"/>
    <w:rsid w:val="00915073"/>
    <w:rsid w:val="0091507C"/>
    <w:rsid w:val="00920CE7"/>
    <w:rsid w:val="00921C35"/>
    <w:rsid w:val="009244E1"/>
    <w:rsid w:val="00925E37"/>
    <w:rsid w:val="00925FE3"/>
    <w:rsid w:val="00927D29"/>
    <w:rsid w:val="00930BFA"/>
    <w:rsid w:val="00935F4A"/>
    <w:rsid w:val="00936893"/>
    <w:rsid w:val="009411A7"/>
    <w:rsid w:val="00941215"/>
    <w:rsid w:val="00942497"/>
    <w:rsid w:val="00943967"/>
    <w:rsid w:val="0094485C"/>
    <w:rsid w:val="00946335"/>
    <w:rsid w:val="00955ED3"/>
    <w:rsid w:val="009567EE"/>
    <w:rsid w:val="00957053"/>
    <w:rsid w:val="009570CA"/>
    <w:rsid w:val="009573BE"/>
    <w:rsid w:val="00960AAA"/>
    <w:rsid w:val="009619AC"/>
    <w:rsid w:val="00963A35"/>
    <w:rsid w:val="009648CD"/>
    <w:rsid w:val="00967399"/>
    <w:rsid w:val="00967A50"/>
    <w:rsid w:val="00970B74"/>
    <w:rsid w:val="00971EC9"/>
    <w:rsid w:val="00973D13"/>
    <w:rsid w:val="00973FE3"/>
    <w:rsid w:val="009750C5"/>
    <w:rsid w:val="0097535D"/>
    <w:rsid w:val="0097577F"/>
    <w:rsid w:val="00975812"/>
    <w:rsid w:val="00976107"/>
    <w:rsid w:val="0097755D"/>
    <w:rsid w:val="00977644"/>
    <w:rsid w:val="00980B7D"/>
    <w:rsid w:val="0098242C"/>
    <w:rsid w:val="00983178"/>
    <w:rsid w:val="009845C1"/>
    <w:rsid w:val="00986114"/>
    <w:rsid w:val="009863FE"/>
    <w:rsid w:val="00986B6A"/>
    <w:rsid w:val="00987C63"/>
    <w:rsid w:val="00991806"/>
    <w:rsid w:val="009924F7"/>
    <w:rsid w:val="00992C17"/>
    <w:rsid w:val="009977E0"/>
    <w:rsid w:val="009A39E3"/>
    <w:rsid w:val="009A4866"/>
    <w:rsid w:val="009A503D"/>
    <w:rsid w:val="009A6B45"/>
    <w:rsid w:val="009A71B8"/>
    <w:rsid w:val="009A777E"/>
    <w:rsid w:val="009B100A"/>
    <w:rsid w:val="009B1025"/>
    <w:rsid w:val="009B1C32"/>
    <w:rsid w:val="009B212F"/>
    <w:rsid w:val="009B2F27"/>
    <w:rsid w:val="009B32DF"/>
    <w:rsid w:val="009B4E70"/>
    <w:rsid w:val="009B5830"/>
    <w:rsid w:val="009B640B"/>
    <w:rsid w:val="009C00FF"/>
    <w:rsid w:val="009C0281"/>
    <w:rsid w:val="009C1A33"/>
    <w:rsid w:val="009C3BA0"/>
    <w:rsid w:val="009C3EE4"/>
    <w:rsid w:val="009C5E6F"/>
    <w:rsid w:val="009C7542"/>
    <w:rsid w:val="009C757B"/>
    <w:rsid w:val="009D0457"/>
    <w:rsid w:val="009D0C76"/>
    <w:rsid w:val="009D1CDF"/>
    <w:rsid w:val="009D2152"/>
    <w:rsid w:val="009D468C"/>
    <w:rsid w:val="009D52F7"/>
    <w:rsid w:val="009D6431"/>
    <w:rsid w:val="009D6AA4"/>
    <w:rsid w:val="009E0178"/>
    <w:rsid w:val="009E0743"/>
    <w:rsid w:val="009E1662"/>
    <w:rsid w:val="009E2D02"/>
    <w:rsid w:val="009E4B8E"/>
    <w:rsid w:val="009E4C8F"/>
    <w:rsid w:val="009E4E5B"/>
    <w:rsid w:val="009E5019"/>
    <w:rsid w:val="009E6A66"/>
    <w:rsid w:val="009E6D0D"/>
    <w:rsid w:val="009E7556"/>
    <w:rsid w:val="009E7D36"/>
    <w:rsid w:val="009F011E"/>
    <w:rsid w:val="009F0B39"/>
    <w:rsid w:val="009F2CC4"/>
    <w:rsid w:val="009F35B0"/>
    <w:rsid w:val="009F5291"/>
    <w:rsid w:val="009F7C9F"/>
    <w:rsid w:val="00A0030B"/>
    <w:rsid w:val="00A003DD"/>
    <w:rsid w:val="00A00A7D"/>
    <w:rsid w:val="00A01431"/>
    <w:rsid w:val="00A014A9"/>
    <w:rsid w:val="00A04E61"/>
    <w:rsid w:val="00A07D29"/>
    <w:rsid w:val="00A11C66"/>
    <w:rsid w:val="00A129FB"/>
    <w:rsid w:val="00A13320"/>
    <w:rsid w:val="00A137D0"/>
    <w:rsid w:val="00A14E19"/>
    <w:rsid w:val="00A17F01"/>
    <w:rsid w:val="00A21984"/>
    <w:rsid w:val="00A2198C"/>
    <w:rsid w:val="00A21FF6"/>
    <w:rsid w:val="00A22004"/>
    <w:rsid w:val="00A22D9D"/>
    <w:rsid w:val="00A23D90"/>
    <w:rsid w:val="00A24963"/>
    <w:rsid w:val="00A24A96"/>
    <w:rsid w:val="00A268D6"/>
    <w:rsid w:val="00A303DD"/>
    <w:rsid w:val="00A32B91"/>
    <w:rsid w:val="00A3453B"/>
    <w:rsid w:val="00A349F9"/>
    <w:rsid w:val="00A3711F"/>
    <w:rsid w:val="00A43029"/>
    <w:rsid w:val="00A45219"/>
    <w:rsid w:val="00A465D7"/>
    <w:rsid w:val="00A52CC5"/>
    <w:rsid w:val="00A56A5A"/>
    <w:rsid w:val="00A57C08"/>
    <w:rsid w:val="00A601C7"/>
    <w:rsid w:val="00A63D75"/>
    <w:rsid w:val="00A6476F"/>
    <w:rsid w:val="00A64AFE"/>
    <w:rsid w:val="00A65DD0"/>
    <w:rsid w:val="00A66B0E"/>
    <w:rsid w:val="00A6708C"/>
    <w:rsid w:val="00A71AD6"/>
    <w:rsid w:val="00A73B28"/>
    <w:rsid w:val="00A75D9F"/>
    <w:rsid w:val="00A7626F"/>
    <w:rsid w:val="00A76B56"/>
    <w:rsid w:val="00A77F31"/>
    <w:rsid w:val="00A80A20"/>
    <w:rsid w:val="00A814B2"/>
    <w:rsid w:val="00A82DF7"/>
    <w:rsid w:val="00A82E69"/>
    <w:rsid w:val="00A8553D"/>
    <w:rsid w:val="00A905A9"/>
    <w:rsid w:val="00A92A86"/>
    <w:rsid w:val="00A9349E"/>
    <w:rsid w:val="00A9425A"/>
    <w:rsid w:val="00A95720"/>
    <w:rsid w:val="00A9577A"/>
    <w:rsid w:val="00A95C90"/>
    <w:rsid w:val="00A966DA"/>
    <w:rsid w:val="00A97308"/>
    <w:rsid w:val="00A976D6"/>
    <w:rsid w:val="00A976FE"/>
    <w:rsid w:val="00AA23D9"/>
    <w:rsid w:val="00AA4C67"/>
    <w:rsid w:val="00AA6C05"/>
    <w:rsid w:val="00AA73A8"/>
    <w:rsid w:val="00AB1289"/>
    <w:rsid w:val="00AB1D28"/>
    <w:rsid w:val="00AB2CC8"/>
    <w:rsid w:val="00AC1FBF"/>
    <w:rsid w:val="00AC34B1"/>
    <w:rsid w:val="00AC3B7C"/>
    <w:rsid w:val="00AC4B8D"/>
    <w:rsid w:val="00AC525A"/>
    <w:rsid w:val="00AC75A4"/>
    <w:rsid w:val="00AD1D3C"/>
    <w:rsid w:val="00AD41FB"/>
    <w:rsid w:val="00AD42BA"/>
    <w:rsid w:val="00AD5745"/>
    <w:rsid w:val="00AD6C40"/>
    <w:rsid w:val="00AE1F14"/>
    <w:rsid w:val="00AE3121"/>
    <w:rsid w:val="00AE5B42"/>
    <w:rsid w:val="00AE70C1"/>
    <w:rsid w:val="00AF28B8"/>
    <w:rsid w:val="00AF47B9"/>
    <w:rsid w:val="00AF5185"/>
    <w:rsid w:val="00AF6646"/>
    <w:rsid w:val="00AF66A7"/>
    <w:rsid w:val="00AF6851"/>
    <w:rsid w:val="00B01769"/>
    <w:rsid w:val="00B01780"/>
    <w:rsid w:val="00B01C2D"/>
    <w:rsid w:val="00B049E4"/>
    <w:rsid w:val="00B04B06"/>
    <w:rsid w:val="00B055E2"/>
    <w:rsid w:val="00B06F64"/>
    <w:rsid w:val="00B073D9"/>
    <w:rsid w:val="00B1166D"/>
    <w:rsid w:val="00B14EC1"/>
    <w:rsid w:val="00B156FA"/>
    <w:rsid w:val="00B21FB3"/>
    <w:rsid w:val="00B23B2F"/>
    <w:rsid w:val="00B25C2D"/>
    <w:rsid w:val="00B27383"/>
    <w:rsid w:val="00B302DB"/>
    <w:rsid w:val="00B313C6"/>
    <w:rsid w:val="00B315DD"/>
    <w:rsid w:val="00B32E8C"/>
    <w:rsid w:val="00B344E8"/>
    <w:rsid w:val="00B37585"/>
    <w:rsid w:val="00B37F4D"/>
    <w:rsid w:val="00B41C8A"/>
    <w:rsid w:val="00B42059"/>
    <w:rsid w:val="00B435AA"/>
    <w:rsid w:val="00B44647"/>
    <w:rsid w:val="00B44654"/>
    <w:rsid w:val="00B465F5"/>
    <w:rsid w:val="00B4687F"/>
    <w:rsid w:val="00B46D31"/>
    <w:rsid w:val="00B502FC"/>
    <w:rsid w:val="00B505B5"/>
    <w:rsid w:val="00B50D18"/>
    <w:rsid w:val="00B52643"/>
    <w:rsid w:val="00B52C54"/>
    <w:rsid w:val="00B5471B"/>
    <w:rsid w:val="00B557A8"/>
    <w:rsid w:val="00B56113"/>
    <w:rsid w:val="00B56376"/>
    <w:rsid w:val="00B575AC"/>
    <w:rsid w:val="00B57951"/>
    <w:rsid w:val="00B60E5F"/>
    <w:rsid w:val="00B60E7D"/>
    <w:rsid w:val="00B62F46"/>
    <w:rsid w:val="00B64074"/>
    <w:rsid w:val="00B6420D"/>
    <w:rsid w:val="00B64F8F"/>
    <w:rsid w:val="00B665CB"/>
    <w:rsid w:val="00B6755A"/>
    <w:rsid w:val="00B70474"/>
    <w:rsid w:val="00B70B79"/>
    <w:rsid w:val="00B74ED0"/>
    <w:rsid w:val="00B75233"/>
    <w:rsid w:val="00B76608"/>
    <w:rsid w:val="00B80A76"/>
    <w:rsid w:val="00B812CC"/>
    <w:rsid w:val="00B8158D"/>
    <w:rsid w:val="00B81C40"/>
    <w:rsid w:val="00B826A6"/>
    <w:rsid w:val="00B85409"/>
    <w:rsid w:val="00B865C2"/>
    <w:rsid w:val="00B876EF"/>
    <w:rsid w:val="00B90616"/>
    <w:rsid w:val="00B906B4"/>
    <w:rsid w:val="00B91D77"/>
    <w:rsid w:val="00B91FBB"/>
    <w:rsid w:val="00B92B99"/>
    <w:rsid w:val="00B92D05"/>
    <w:rsid w:val="00B95F02"/>
    <w:rsid w:val="00B9644D"/>
    <w:rsid w:val="00BA18A9"/>
    <w:rsid w:val="00BA2DD8"/>
    <w:rsid w:val="00BA3444"/>
    <w:rsid w:val="00BA3757"/>
    <w:rsid w:val="00BA3991"/>
    <w:rsid w:val="00BA53CE"/>
    <w:rsid w:val="00BA5F7B"/>
    <w:rsid w:val="00BA6229"/>
    <w:rsid w:val="00BA6B06"/>
    <w:rsid w:val="00BB14CD"/>
    <w:rsid w:val="00BB3CFA"/>
    <w:rsid w:val="00BB4170"/>
    <w:rsid w:val="00BB4324"/>
    <w:rsid w:val="00BC09AE"/>
    <w:rsid w:val="00BC6786"/>
    <w:rsid w:val="00BC7E17"/>
    <w:rsid w:val="00BC7E62"/>
    <w:rsid w:val="00BD1BB3"/>
    <w:rsid w:val="00BD2B8E"/>
    <w:rsid w:val="00BD38C6"/>
    <w:rsid w:val="00BD7921"/>
    <w:rsid w:val="00BD7CF9"/>
    <w:rsid w:val="00BE3986"/>
    <w:rsid w:val="00BE56DC"/>
    <w:rsid w:val="00BE5BC4"/>
    <w:rsid w:val="00BE7852"/>
    <w:rsid w:val="00BF1107"/>
    <w:rsid w:val="00BF31E4"/>
    <w:rsid w:val="00BF417B"/>
    <w:rsid w:val="00BF739A"/>
    <w:rsid w:val="00BF7BF2"/>
    <w:rsid w:val="00C006B7"/>
    <w:rsid w:val="00C0175D"/>
    <w:rsid w:val="00C017D6"/>
    <w:rsid w:val="00C020E7"/>
    <w:rsid w:val="00C02A3F"/>
    <w:rsid w:val="00C042C4"/>
    <w:rsid w:val="00C05E37"/>
    <w:rsid w:val="00C06E97"/>
    <w:rsid w:val="00C07A7A"/>
    <w:rsid w:val="00C1001A"/>
    <w:rsid w:val="00C100EC"/>
    <w:rsid w:val="00C12D62"/>
    <w:rsid w:val="00C13FA9"/>
    <w:rsid w:val="00C15954"/>
    <w:rsid w:val="00C16741"/>
    <w:rsid w:val="00C16942"/>
    <w:rsid w:val="00C16A46"/>
    <w:rsid w:val="00C17E00"/>
    <w:rsid w:val="00C23CD0"/>
    <w:rsid w:val="00C24987"/>
    <w:rsid w:val="00C24BDA"/>
    <w:rsid w:val="00C25AD0"/>
    <w:rsid w:val="00C2600F"/>
    <w:rsid w:val="00C2656E"/>
    <w:rsid w:val="00C2662B"/>
    <w:rsid w:val="00C27ABE"/>
    <w:rsid w:val="00C321B3"/>
    <w:rsid w:val="00C323B4"/>
    <w:rsid w:val="00C33865"/>
    <w:rsid w:val="00C33F2E"/>
    <w:rsid w:val="00C34F65"/>
    <w:rsid w:val="00C42BF6"/>
    <w:rsid w:val="00C4311B"/>
    <w:rsid w:val="00C452BB"/>
    <w:rsid w:val="00C464E7"/>
    <w:rsid w:val="00C46AD9"/>
    <w:rsid w:val="00C46D08"/>
    <w:rsid w:val="00C47793"/>
    <w:rsid w:val="00C50D1D"/>
    <w:rsid w:val="00C54076"/>
    <w:rsid w:val="00C57D93"/>
    <w:rsid w:val="00C6337F"/>
    <w:rsid w:val="00C63405"/>
    <w:rsid w:val="00C63511"/>
    <w:rsid w:val="00C63CD2"/>
    <w:rsid w:val="00C64585"/>
    <w:rsid w:val="00C6522A"/>
    <w:rsid w:val="00C677E5"/>
    <w:rsid w:val="00C727B0"/>
    <w:rsid w:val="00C72C1B"/>
    <w:rsid w:val="00C734A4"/>
    <w:rsid w:val="00C810EA"/>
    <w:rsid w:val="00C817E8"/>
    <w:rsid w:val="00C81813"/>
    <w:rsid w:val="00C84369"/>
    <w:rsid w:val="00C84672"/>
    <w:rsid w:val="00C85BD6"/>
    <w:rsid w:val="00C85FD4"/>
    <w:rsid w:val="00C86B13"/>
    <w:rsid w:val="00C86FFC"/>
    <w:rsid w:val="00C876B0"/>
    <w:rsid w:val="00C87A15"/>
    <w:rsid w:val="00C91BAF"/>
    <w:rsid w:val="00C92D1C"/>
    <w:rsid w:val="00CA05FA"/>
    <w:rsid w:val="00CA163A"/>
    <w:rsid w:val="00CA25ED"/>
    <w:rsid w:val="00CA4A03"/>
    <w:rsid w:val="00CA5CCB"/>
    <w:rsid w:val="00CA6F00"/>
    <w:rsid w:val="00CB4086"/>
    <w:rsid w:val="00CB4283"/>
    <w:rsid w:val="00CB506B"/>
    <w:rsid w:val="00CC071F"/>
    <w:rsid w:val="00CC1080"/>
    <w:rsid w:val="00CC224B"/>
    <w:rsid w:val="00CC2D7E"/>
    <w:rsid w:val="00CC3593"/>
    <w:rsid w:val="00CC4175"/>
    <w:rsid w:val="00CC7A45"/>
    <w:rsid w:val="00CD0AB0"/>
    <w:rsid w:val="00CD2FB2"/>
    <w:rsid w:val="00CD671F"/>
    <w:rsid w:val="00CE5CAC"/>
    <w:rsid w:val="00CE62A6"/>
    <w:rsid w:val="00CE6ACC"/>
    <w:rsid w:val="00CE71A3"/>
    <w:rsid w:val="00CF05B1"/>
    <w:rsid w:val="00CF06BC"/>
    <w:rsid w:val="00CF1EC6"/>
    <w:rsid w:val="00CF31E4"/>
    <w:rsid w:val="00CF4252"/>
    <w:rsid w:val="00CF7468"/>
    <w:rsid w:val="00D00EC7"/>
    <w:rsid w:val="00D01278"/>
    <w:rsid w:val="00D027BC"/>
    <w:rsid w:val="00D047B6"/>
    <w:rsid w:val="00D04977"/>
    <w:rsid w:val="00D04CBD"/>
    <w:rsid w:val="00D05C6B"/>
    <w:rsid w:val="00D06389"/>
    <w:rsid w:val="00D0704A"/>
    <w:rsid w:val="00D10E2E"/>
    <w:rsid w:val="00D11874"/>
    <w:rsid w:val="00D13C1C"/>
    <w:rsid w:val="00D13E70"/>
    <w:rsid w:val="00D1423B"/>
    <w:rsid w:val="00D1565D"/>
    <w:rsid w:val="00D15C73"/>
    <w:rsid w:val="00D23179"/>
    <w:rsid w:val="00D250FC"/>
    <w:rsid w:val="00D26374"/>
    <w:rsid w:val="00D2666D"/>
    <w:rsid w:val="00D26CB3"/>
    <w:rsid w:val="00D277BD"/>
    <w:rsid w:val="00D27CBE"/>
    <w:rsid w:val="00D32998"/>
    <w:rsid w:val="00D36824"/>
    <w:rsid w:val="00D37057"/>
    <w:rsid w:val="00D371E6"/>
    <w:rsid w:val="00D376BC"/>
    <w:rsid w:val="00D40ECD"/>
    <w:rsid w:val="00D42F16"/>
    <w:rsid w:val="00D43E51"/>
    <w:rsid w:val="00D45497"/>
    <w:rsid w:val="00D4624C"/>
    <w:rsid w:val="00D47DB5"/>
    <w:rsid w:val="00D50FB6"/>
    <w:rsid w:val="00D51C13"/>
    <w:rsid w:val="00D54C70"/>
    <w:rsid w:val="00D54F6B"/>
    <w:rsid w:val="00D552C7"/>
    <w:rsid w:val="00D6056B"/>
    <w:rsid w:val="00D61F0D"/>
    <w:rsid w:val="00D627E3"/>
    <w:rsid w:val="00D63091"/>
    <w:rsid w:val="00D636AF"/>
    <w:rsid w:val="00D63F2A"/>
    <w:rsid w:val="00D644AE"/>
    <w:rsid w:val="00D644B6"/>
    <w:rsid w:val="00D649B8"/>
    <w:rsid w:val="00D655D5"/>
    <w:rsid w:val="00D657FE"/>
    <w:rsid w:val="00D66006"/>
    <w:rsid w:val="00D66967"/>
    <w:rsid w:val="00D66BEA"/>
    <w:rsid w:val="00D7071D"/>
    <w:rsid w:val="00D742E9"/>
    <w:rsid w:val="00D74C97"/>
    <w:rsid w:val="00D76190"/>
    <w:rsid w:val="00D7668A"/>
    <w:rsid w:val="00D77AA3"/>
    <w:rsid w:val="00D77DAB"/>
    <w:rsid w:val="00D80E0C"/>
    <w:rsid w:val="00D815EE"/>
    <w:rsid w:val="00D833EC"/>
    <w:rsid w:val="00D84D55"/>
    <w:rsid w:val="00D852D0"/>
    <w:rsid w:val="00D85FBE"/>
    <w:rsid w:val="00D86B77"/>
    <w:rsid w:val="00D873E0"/>
    <w:rsid w:val="00D87B1B"/>
    <w:rsid w:val="00D903FF"/>
    <w:rsid w:val="00D9226B"/>
    <w:rsid w:val="00D92D8B"/>
    <w:rsid w:val="00D93E1A"/>
    <w:rsid w:val="00DA03BB"/>
    <w:rsid w:val="00DA0481"/>
    <w:rsid w:val="00DA3244"/>
    <w:rsid w:val="00DA4576"/>
    <w:rsid w:val="00DB0BF5"/>
    <w:rsid w:val="00DB0C81"/>
    <w:rsid w:val="00DB1C21"/>
    <w:rsid w:val="00DB4917"/>
    <w:rsid w:val="00DB5A03"/>
    <w:rsid w:val="00DB6768"/>
    <w:rsid w:val="00DB6C8D"/>
    <w:rsid w:val="00DB708B"/>
    <w:rsid w:val="00DB7853"/>
    <w:rsid w:val="00DB792D"/>
    <w:rsid w:val="00DC112C"/>
    <w:rsid w:val="00DC1EAD"/>
    <w:rsid w:val="00DC264E"/>
    <w:rsid w:val="00DC2F3F"/>
    <w:rsid w:val="00DC5C74"/>
    <w:rsid w:val="00DD0289"/>
    <w:rsid w:val="00DD28DF"/>
    <w:rsid w:val="00DD3BF8"/>
    <w:rsid w:val="00DD3E8D"/>
    <w:rsid w:val="00DD4850"/>
    <w:rsid w:val="00DD49F1"/>
    <w:rsid w:val="00DD644C"/>
    <w:rsid w:val="00DE518F"/>
    <w:rsid w:val="00DE5B9E"/>
    <w:rsid w:val="00DE6C0F"/>
    <w:rsid w:val="00DF1FB2"/>
    <w:rsid w:val="00DF2EB7"/>
    <w:rsid w:val="00DF6027"/>
    <w:rsid w:val="00DF68FE"/>
    <w:rsid w:val="00DF7651"/>
    <w:rsid w:val="00E01D4E"/>
    <w:rsid w:val="00E0388C"/>
    <w:rsid w:val="00E05FD2"/>
    <w:rsid w:val="00E064A7"/>
    <w:rsid w:val="00E071FA"/>
    <w:rsid w:val="00E07403"/>
    <w:rsid w:val="00E13222"/>
    <w:rsid w:val="00E1355F"/>
    <w:rsid w:val="00E16C23"/>
    <w:rsid w:val="00E16FED"/>
    <w:rsid w:val="00E20005"/>
    <w:rsid w:val="00E2180F"/>
    <w:rsid w:val="00E232B3"/>
    <w:rsid w:val="00E243C7"/>
    <w:rsid w:val="00E24FCD"/>
    <w:rsid w:val="00E25868"/>
    <w:rsid w:val="00E260F0"/>
    <w:rsid w:val="00E27F5C"/>
    <w:rsid w:val="00E30237"/>
    <w:rsid w:val="00E30CC7"/>
    <w:rsid w:val="00E33408"/>
    <w:rsid w:val="00E36468"/>
    <w:rsid w:val="00E37510"/>
    <w:rsid w:val="00E41B1C"/>
    <w:rsid w:val="00E446D2"/>
    <w:rsid w:val="00E4617C"/>
    <w:rsid w:val="00E5138C"/>
    <w:rsid w:val="00E51834"/>
    <w:rsid w:val="00E5197D"/>
    <w:rsid w:val="00E5396B"/>
    <w:rsid w:val="00E53D0C"/>
    <w:rsid w:val="00E562D8"/>
    <w:rsid w:val="00E57529"/>
    <w:rsid w:val="00E57D64"/>
    <w:rsid w:val="00E6108F"/>
    <w:rsid w:val="00E6129B"/>
    <w:rsid w:val="00E61FD4"/>
    <w:rsid w:val="00E625E6"/>
    <w:rsid w:val="00E62EC9"/>
    <w:rsid w:val="00E64C92"/>
    <w:rsid w:val="00E708A3"/>
    <w:rsid w:val="00E72230"/>
    <w:rsid w:val="00E72F5F"/>
    <w:rsid w:val="00E77CE9"/>
    <w:rsid w:val="00E80900"/>
    <w:rsid w:val="00E817F1"/>
    <w:rsid w:val="00E82AF2"/>
    <w:rsid w:val="00E82DB8"/>
    <w:rsid w:val="00E84910"/>
    <w:rsid w:val="00E86A8C"/>
    <w:rsid w:val="00E93BD8"/>
    <w:rsid w:val="00E94981"/>
    <w:rsid w:val="00E9551F"/>
    <w:rsid w:val="00E95882"/>
    <w:rsid w:val="00E9592F"/>
    <w:rsid w:val="00E963E1"/>
    <w:rsid w:val="00E976F7"/>
    <w:rsid w:val="00EA0466"/>
    <w:rsid w:val="00EA0E52"/>
    <w:rsid w:val="00EA2DDA"/>
    <w:rsid w:val="00EA4E95"/>
    <w:rsid w:val="00EA5441"/>
    <w:rsid w:val="00EA684B"/>
    <w:rsid w:val="00EB5866"/>
    <w:rsid w:val="00EB6142"/>
    <w:rsid w:val="00EB7352"/>
    <w:rsid w:val="00EC178A"/>
    <w:rsid w:val="00EC1BC7"/>
    <w:rsid w:val="00EC2137"/>
    <w:rsid w:val="00EC5160"/>
    <w:rsid w:val="00ED1548"/>
    <w:rsid w:val="00ED1734"/>
    <w:rsid w:val="00ED223E"/>
    <w:rsid w:val="00ED5032"/>
    <w:rsid w:val="00ED5A73"/>
    <w:rsid w:val="00ED5E14"/>
    <w:rsid w:val="00ED7017"/>
    <w:rsid w:val="00ED72E6"/>
    <w:rsid w:val="00EE0637"/>
    <w:rsid w:val="00EE11A6"/>
    <w:rsid w:val="00EE188F"/>
    <w:rsid w:val="00EE1CE2"/>
    <w:rsid w:val="00EE47E4"/>
    <w:rsid w:val="00EE5578"/>
    <w:rsid w:val="00EE55D5"/>
    <w:rsid w:val="00EE798D"/>
    <w:rsid w:val="00EF0051"/>
    <w:rsid w:val="00EF1BC4"/>
    <w:rsid w:val="00EF24FF"/>
    <w:rsid w:val="00EF2D9A"/>
    <w:rsid w:val="00EF4605"/>
    <w:rsid w:val="00EF553A"/>
    <w:rsid w:val="00EF5BE4"/>
    <w:rsid w:val="00F00095"/>
    <w:rsid w:val="00F00A8E"/>
    <w:rsid w:val="00F01BE3"/>
    <w:rsid w:val="00F045C1"/>
    <w:rsid w:val="00F04662"/>
    <w:rsid w:val="00F047A6"/>
    <w:rsid w:val="00F04FE8"/>
    <w:rsid w:val="00F0533A"/>
    <w:rsid w:val="00F07515"/>
    <w:rsid w:val="00F13C2A"/>
    <w:rsid w:val="00F142B0"/>
    <w:rsid w:val="00F1430C"/>
    <w:rsid w:val="00F14339"/>
    <w:rsid w:val="00F14B7F"/>
    <w:rsid w:val="00F15A49"/>
    <w:rsid w:val="00F15C41"/>
    <w:rsid w:val="00F208AF"/>
    <w:rsid w:val="00F21F83"/>
    <w:rsid w:val="00F2253B"/>
    <w:rsid w:val="00F234B8"/>
    <w:rsid w:val="00F23605"/>
    <w:rsid w:val="00F236B4"/>
    <w:rsid w:val="00F244BA"/>
    <w:rsid w:val="00F25F4B"/>
    <w:rsid w:val="00F27AA5"/>
    <w:rsid w:val="00F315E2"/>
    <w:rsid w:val="00F32E09"/>
    <w:rsid w:val="00F32F8A"/>
    <w:rsid w:val="00F35F14"/>
    <w:rsid w:val="00F373A5"/>
    <w:rsid w:val="00F4001D"/>
    <w:rsid w:val="00F415F1"/>
    <w:rsid w:val="00F41799"/>
    <w:rsid w:val="00F435C5"/>
    <w:rsid w:val="00F44799"/>
    <w:rsid w:val="00F44EA0"/>
    <w:rsid w:val="00F4628D"/>
    <w:rsid w:val="00F53198"/>
    <w:rsid w:val="00F5392B"/>
    <w:rsid w:val="00F53E64"/>
    <w:rsid w:val="00F55AA3"/>
    <w:rsid w:val="00F55F81"/>
    <w:rsid w:val="00F5607D"/>
    <w:rsid w:val="00F579F0"/>
    <w:rsid w:val="00F57D39"/>
    <w:rsid w:val="00F57F6D"/>
    <w:rsid w:val="00F6005F"/>
    <w:rsid w:val="00F6128B"/>
    <w:rsid w:val="00F64141"/>
    <w:rsid w:val="00F64A31"/>
    <w:rsid w:val="00F665A6"/>
    <w:rsid w:val="00F72FBB"/>
    <w:rsid w:val="00F760E8"/>
    <w:rsid w:val="00F7754B"/>
    <w:rsid w:val="00F811EA"/>
    <w:rsid w:val="00F81EF1"/>
    <w:rsid w:val="00F8285B"/>
    <w:rsid w:val="00F83B0D"/>
    <w:rsid w:val="00F84201"/>
    <w:rsid w:val="00F91583"/>
    <w:rsid w:val="00F9161B"/>
    <w:rsid w:val="00F95135"/>
    <w:rsid w:val="00F9563A"/>
    <w:rsid w:val="00F96E35"/>
    <w:rsid w:val="00FA1DAD"/>
    <w:rsid w:val="00FA2F93"/>
    <w:rsid w:val="00FA5753"/>
    <w:rsid w:val="00FA5AF3"/>
    <w:rsid w:val="00FA6AC3"/>
    <w:rsid w:val="00FB0539"/>
    <w:rsid w:val="00FB0D04"/>
    <w:rsid w:val="00FB4470"/>
    <w:rsid w:val="00FB4FF4"/>
    <w:rsid w:val="00FB696A"/>
    <w:rsid w:val="00FC1496"/>
    <w:rsid w:val="00FC1966"/>
    <w:rsid w:val="00FC2190"/>
    <w:rsid w:val="00FC248E"/>
    <w:rsid w:val="00FC2A5E"/>
    <w:rsid w:val="00FC356C"/>
    <w:rsid w:val="00FC3D81"/>
    <w:rsid w:val="00FC65F9"/>
    <w:rsid w:val="00FC7694"/>
    <w:rsid w:val="00FC7D63"/>
    <w:rsid w:val="00FD07A2"/>
    <w:rsid w:val="00FD080E"/>
    <w:rsid w:val="00FD315B"/>
    <w:rsid w:val="00FD3F1C"/>
    <w:rsid w:val="00FD7CCD"/>
    <w:rsid w:val="00FE3B5F"/>
    <w:rsid w:val="00FE3BCE"/>
    <w:rsid w:val="00FE4064"/>
    <w:rsid w:val="00FE4C4D"/>
    <w:rsid w:val="00FE5D39"/>
    <w:rsid w:val="00FE7CA6"/>
    <w:rsid w:val="00FF2850"/>
    <w:rsid w:val="00FF4748"/>
    <w:rsid w:val="00FF79DB"/>
    <w:rsid w:val="1AA354C0"/>
    <w:rsid w:val="1C3200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nhideWhenUsed="0" w:uiPriority="39" w:semiHidden="0" w:name="toc 1"/>
    <w:lsdException w:unhideWhenUsed="0"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nhideWhenUsed="0" w:uiPriority="0" w:semiHidden="0" w:name="Normal Indent"/>
    <w:lsdException w:uiPriority="0" w:name="footnote text"/>
    <w:lsdException w:unhideWhenUsed="0" w:uiPriority="0" w:semiHidden="0" w:name="annotation text"/>
    <w:lsdException w:unhideWhenUsed="0" w:uiPriority="0" w:semiHidden="0" w:name="header"/>
    <w:lsdException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unhideWhenUsed="0" w:uiPriority="0" w:semiHidden="0"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iPriority="0" w:name="macro"/>
    <w:lsdException w:unhideWhenUsed="0" w:uiPriority="0" w:semiHidden="0" w:name="toa heading"/>
    <w:lsdException w:uiPriority="0" w:name="List"/>
    <w:lsdException w:uiPriority="0" w:name="List Bullet"/>
    <w:lsdException w:unhideWhenUsed="0" w:uiPriority="0" w:semiHidden="0" w:name="List Number"/>
    <w:lsdException w:unhideWhenUsed="0" w:uiPriority="0" w:semiHidden="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nhideWhenUsed="0" w:uiPriority="0" w:semiHidden="0" w:name="Body Text"/>
    <w:lsdException w:uiPriority="0" w:name="Body Text Indent"/>
    <w:lsdException w:uiPriority="0" w:name="List Continue"/>
    <w:lsdException w:uiPriority="0" w:name="List Continue 2"/>
    <w:lsdException w:uiPriority="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Times New Roman"/>
      <w:kern w:val="2"/>
      <w:sz w:val="24"/>
      <w:lang w:val="en-US" w:eastAsia="zh-CN" w:bidi="ar-SA"/>
    </w:rPr>
  </w:style>
  <w:style w:type="paragraph" w:styleId="2">
    <w:name w:val="heading 1"/>
    <w:basedOn w:val="1"/>
    <w:next w:val="1"/>
    <w:qFormat/>
    <w:uiPriority w:val="0"/>
    <w:pPr>
      <w:kinsoku w:val="0"/>
      <w:overflowPunct w:val="0"/>
      <w:autoSpaceDE w:val="0"/>
      <w:autoSpaceDN w:val="0"/>
      <w:adjustRightInd w:val="0"/>
      <w:snapToGrid w:val="0"/>
      <w:spacing w:before="40"/>
      <w:outlineLvl w:val="0"/>
    </w:pPr>
    <w:rPr>
      <w:rFonts w:ascii="黑体" w:eastAsia="黑体"/>
      <w:b/>
      <w:kern w:val="44"/>
      <w:sz w:val="28"/>
    </w:rPr>
  </w:style>
  <w:style w:type="paragraph" w:styleId="3">
    <w:name w:val="heading 2"/>
    <w:basedOn w:val="1"/>
    <w:next w:val="4"/>
    <w:qFormat/>
    <w:uiPriority w:val="0"/>
    <w:pPr>
      <w:kinsoku w:val="0"/>
      <w:overflowPunct w:val="0"/>
      <w:autoSpaceDE w:val="0"/>
      <w:autoSpaceDN w:val="0"/>
      <w:adjustRightInd w:val="0"/>
      <w:snapToGrid w:val="0"/>
      <w:outlineLvl w:val="1"/>
    </w:pPr>
    <w:rPr>
      <w:sz w:val="28"/>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4">
    <w:name w:val="Normal Indent"/>
    <w:basedOn w:val="1"/>
    <w:uiPriority w:val="0"/>
    <w:pPr>
      <w:ind w:firstLine="420"/>
    </w:pPr>
  </w:style>
  <w:style w:type="paragraph" w:styleId="5">
    <w:name w:val="caption"/>
    <w:basedOn w:val="1"/>
    <w:next w:val="1"/>
    <w:qFormat/>
    <w:uiPriority w:val="0"/>
    <w:pPr>
      <w:kinsoku w:val="0"/>
      <w:overflowPunct w:val="0"/>
      <w:autoSpaceDE w:val="0"/>
      <w:autoSpaceDN w:val="0"/>
      <w:adjustRightInd w:val="0"/>
      <w:snapToGrid w:val="0"/>
    </w:pPr>
    <w:rPr>
      <w:rFonts w:ascii="Arial" w:hAnsi="Arial" w:cs="Arial"/>
    </w:rPr>
  </w:style>
  <w:style w:type="paragraph" w:styleId="6">
    <w:name w:val="Document Map"/>
    <w:basedOn w:val="1"/>
    <w:semiHidden/>
    <w:qFormat/>
    <w:uiPriority w:val="0"/>
    <w:pPr>
      <w:shd w:val="clear" w:color="auto" w:fill="000080"/>
    </w:pPr>
  </w:style>
  <w:style w:type="paragraph" w:styleId="7">
    <w:name w:val="annotation text"/>
    <w:basedOn w:val="1"/>
    <w:link w:val="38"/>
    <w:uiPriority w:val="0"/>
    <w:pPr>
      <w:jc w:val="left"/>
    </w:pPr>
    <w:rPr>
      <w:rFonts w:ascii="Times New Roman" w:hAnsi="Times New Roman"/>
      <w:sz w:val="21"/>
    </w:rPr>
  </w:style>
  <w:style w:type="paragraph" w:styleId="8">
    <w:name w:val="Body Text"/>
    <w:basedOn w:val="1"/>
    <w:link w:val="43"/>
    <w:uiPriority w:val="0"/>
    <w:pPr>
      <w:adjustRightInd w:val="0"/>
      <w:spacing w:line="480" w:lineRule="exact"/>
      <w:ind w:firstLine="200" w:firstLineChars="200"/>
      <w:textAlignment w:val="baseline"/>
    </w:pPr>
    <w:rPr>
      <w:rFonts w:ascii="仿宋_GB2312" w:hAnsi="Times New Roman" w:eastAsia="仿宋_GB2312"/>
      <w:kern w:val="0"/>
      <w:sz w:val="28"/>
    </w:rPr>
  </w:style>
  <w:style w:type="paragraph" w:styleId="9">
    <w:name w:val="Date"/>
    <w:basedOn w:val="1"/>
    <w:next w:val="1"/>
    <w:uiPriority w:val="0"/>
    <w:pPr>
      <w:ind w:left="100" w:leftChars="2500"/>
    </w:pPr>
  </w:style>
  <w:style w:type="paragraph" w:styleId="10">
    <w:name w:val="Balloon Text"/>
    <w:basedOn w:val="1"/>
    <w:semiHidden/>
    <w:uiPriority w:val="0"/>
    <w:rPr>
      <w:sz w:val="18"/>
      <w:szCs w:val="18"/>
    </w:rPr>
  </w:style>
  <w:style w:type="paragraph" w:styleId="11">
    <w:name w:val="footer"/>
    <w:basedOn w:val="1"/>
    <w:link w:val="46"/>
    <w:uiPriority w:val="99"/>
    <w:pPr>
      <w:pBdr>
        <w:top w:val="single" w:color="auto" w:sz="4" w:space="1"/>
      </w:pBdr>
      <w:tabs>
        <w:tab w:val="center" w:pos="4153"/>
        <w:tab w:val="right" w:pos="8306"/>
      </w:tabs>
      <w:snapToGrid w:val="0"/>
      <w:jc w:val="left"/>
    </w:pPr>
    <w:rPr>
      <w:sz w:val="18"/>
      <w:szCs w:val="18"/>
    </w:rPr>
  </w:style>
  <w:style w:type="paragraph" w:styleId="12">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uiPriority w:val="39"/>
  </w:style>
  <w:style w:type="paragraph" w:styleId="14">
    <w:name w:val="Subtitle"/>
    <w:basedOn w:val="1"/>
    <w:qFormat/>
    <w:uiPriority w:val="0"/>
    <w:pPr>
      <w:spacing w:before="240" w:after="60" w:line="312" w:lineRule="auto"/>
      <w:jc w:val="center"/>
      <w:outlineLvl w:val="1"/>
    </w:pPr>
    <w:rPr>
      <w:rFonts w:ascii="Arial" w:hAnsi="Arial" w:cs="Arial"/>
      <w:b/>
      <w:bCs/>
      <w:kern w:val="28"/>
      <w:sz w:val="32"/>
      <w:szCs w:val="32"/>
    </w:rPr>
  </w:style>
  <w:style w:type="paragraph" w:styleId="15">
    <w:name w:val="toc 2"/>
    <w:basedOn w:val="1"/>
    <w:next w:val="1"/>
    <w:uiPriority w:val="39"/>
    <w:pPr>
      <w:ind w:left="420" w:leftChars="200"/>
    </w:pPr>
  </w:style>
  <w:style w:type="paragraph" w:styleId="16">
    <w:name w:val="annotation subject"/>
    <w:basedOn w:val="7"/>
    <w:next w:val="7"/>
    <w:semiHidden/>
    <w:uiPriority w:val="0"/>
    <w:rPr>
      <w:rFonts w:ascii="宋体" w:hAnsi="宋体"/>
      <w:b/>
      <w:bCs/>
      <w:sz w:val="24"/>
    </w:rPr>
  </w:style>
  <w:style w:type="table" w:styleId="18">
    <w:name w:val="Table Grid"/>
    <w:basedOn w:val="17"/>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page number"/>
    <w:basedOn w:val="19"/>
    <w:uiPriority w:val="0"/>
  </w:style>
  <w:style w:type="character" w:styleId="21">
    <w:name w:val="Hyperlink"/>
    <w:uiPriority w:val="99"/>
    <w:rPr>
      <w:color w:val="0000FF"/>
      <w:u w:val="single"/>
    </w:rPr>
  </w:style>
  <w:style w:type="character" w:styleId="22">
    <w:name w:val="annotation reference"/>
    <w:uiPriority w:val="0"/>
    <w:rPr>
      <w:sz w:val="21"/>
      <w:szCs w:val="21"/>
    </w:rPr>
  </w:style>
  <w:style w:type="paragraph" w:customStyle="1" w:styleId="23">
    <w:name w:val="前言、引言标题"/>
    <w:next w:val="1"/>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24">
    <w:name w:val="章标题"/>
    <w:next w:val="25"/>
    <w:qFormat/>
    <w:uiPriority w:val="0"/>
    <w:pPr>
      <w:numPr>
        <w:ilvl w:val="1"/>
        <w:numId w:val="1"/>
      </w:numPr>
      <w:spacing w:beforeLines="50" w:afterLines="50"/>
      <w:jc w:val="both"/>
      <w:outlineLvl w:val="1"/>
    </w:pPr>
    <w:rPr>
      <w:rFonts w:ascii="黑体" w:hAnsi="Times New Roman" w:eastAsia="黑体" w:cs="Times New Roman"/>
      <w:sz w:val="21"/>
      <w:lang w:val="en-US" w:eastAsia="zh-CN" w:bidi="ar-SA"/>
    </w:rPr>
  </w:style>
  <w:style w:type="paragraph" w:customStyle="1" w:styleId="25">
    <w:name w:val="段"/>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6">
    <w:name w:val="一级条标题"/>
    <w:basedOn w:val="24"/>
    <w:next w:val="25"/>
    <w:uiPriority w:val="0"/>
    <w:pPr>
      <w:numPr>
        <w:ilvl w:val="2"/>
      </w:numPr>
      <w:tabs>
        <w:tab w:val="left" w:pos="1260"/>
      </w:tabs>
      <w:spacing w:beforeLines="0" w:afterLines="0"/>
      <w:ind w:left="1260" w:hanging="420"/>
      <w:outlineLvl w:val="2"/>
    </w:pPr>
  </w:style>
  <w:style w:type="paragraph" w:customStyle="1" w:styleId="27">
    <w:name w:val="二级条标题"/>
    <w:basedOn w:val="26"/>
    <w:next w:val="25"/>
    <w:uiPriority w:val="0"/>
    <w:pPr>
      <w:numPr>
        <w:ilvl w:val="3"/>
      </w:numPr>
      <w:tabs>
        <w:tab w:val="left" w:pos="1680"/>
      </w:tabs>
      <w:ind w:left="1680" w:hanging="420"/>
      <w:outlineLvl w:val="3"/>
    </w:pPr>
  </w:style>
  <w:style w:type="paragraph" w:customStyle="1" w:styleId="28">
    <w:name w:val="三级条标题"/>
    <w:basedOn w:val="27"/>
    <w:next w:val="25"/>
    <w:qFormat/>
    <w:uiPriority w:val="0"/>
    <w:pPr>
      <w:numPr>
        <w:ilvl w:val="4"/>
      </w:numPr>
      <w:tabs>
        <w:tab w:val="left" w:pos="2100"/>
      </w:tabs>
      <w:ind w:left="2100" w:hanging="420"/>
      <w:outlineLvl w:val="4"/>
    </w:pPr>
  </w:style>
  <w:style w:type="paragraph" w:customStyle="1" w:styleId="29">
    <w:name w:val="四级条标题"/>
    <w:basedOn w:val="28"/>
    <w:next w:val="25"/>
    <w:qFormat/>
    <w:uiPriority w:val="0"/>
    <w:pPr>
      <w:numPr>
        <w:ilvl w:val="5"/>
      </w:numPr>
      <w:tabs>
        <w:tab w:val="left" w:pos="2520"/>
      </w:tabs>
      <w:ind w:left="2520" w:hanging="420"/>
      <w:outlineLvl w:val="5"/>
    </w:pPr>
  </w:style>
  <w:style w:type="paragraph" w:customStyle="1" w:styleId="30">
    <w:name w:val="五级条标题"/>
    <w:basedOn w:val="29"/>
    <w:next w:val="25"/>
    <w:uiPriority w:val="0"/>
    <w:pPr>
      <w:numPr>
        <w:ilvl w:val="6"/>
      </w:numPr>
      <w:tabs>
        <w:tab w:val="left" w:pos="2940"/>
      </w:tabs>
      <w:ind w:left="2940" w:hanging="420"/>
      <w:outlineLvl w:val="6"/>
    </w:pPr>
  </w:style>
  <w:style w:type="paragraph" w:customStyle="1" w:styleId="31">
    <w:name w:val="正文表标题"/>
    <w:next w:val="25"/>
    <w:uiPriority w:val="0"/>
    <w:pPr>
      <w:numPr>
        <w:ilvl w:val="0"/>
        <w:numId w:val="2"/>
      </w:numPr>
      <w:jc w:val="center"/>
    </w:pPr>
    <w:rPr>
      <w:rFonts w:ascii="黑体" w:hAnsi="Times New Roman" w:eastAsia="黑体" w:cs="Times New Roman"/>
      <w:sz w:val="21"/>
      <w:lang w:val="en-US" w:eastAsia="zh-CN" w:bidi="ar-SA"/>
    </w:rPr>
  </w:style>
  <w:style w:type="paragraph" w:customStyle="1" w:styleId="32">
    <w:name w:val="普通正文"/>
    <w:basedOn w:val="1"/>
    <w:link w:val="39"/>
    <w:uiPriority w:val="0"/>
    <w:pPr>
      <w:widowControl/>
      <w:spacing w:line="360" w:lineRule="auto"/>
    </w:pPr>
    <w:rPr>
      <w:rFonts w:ascii="Times New Roman" w:hAnsi="Times New Roman"/>
      <w:kern w:val="21"/>
      <w:sz w:val="21"/>
    </w:rPr>
  </w:style>
  <w:style w:type="paragraph" w:customStyle="1" w:styleId="33">
    <w:name w:val="Char Char Char"/>
    <w:basedOn w:val="1"/>
    <w:qFormat/>
    <w:uiPriority w:val="0"/>
    <w:rPr>
      <w:rFonts w:ascii="Tahoma" w:hAnsi="Tahoma"/>
    </w:rPr>
  </w:style>
  <w:style w:type="paragraph" w:customStyle="1" w:styleId="34">
    <w:name w:val="文档正文"/>
    <w:basedOn w:val="1"/>
    <w:uiPriority w:val="0"/>
    <w:pPr>
      <w:adjustRightInd w:val="0"/>
      <w:spacing w:line="560" w:lineRule="exact"/>
      <w:jc w:val="center"/>
      <w:textAlignment w:val="baseline"/>
    </w:pPr>
    <w:rPr>
      <w:rFonts w:ascii="Times New Roman"/>
      <w:kern w:val="0"/>
      <w:sz w:val="28"/>
      <w:szCs w:val="28"/>
    </w:rPr>
  </w:style>
  <w:style w:type="paragraph" w:customStyle="1" w:styleId="35">
    <w:name w:val="默认段落字体 Para Char Char Char Char Char Char Char Char Char Char Char Char Char Char"/>
    <w:basedOn w:val="6"/>
    <w:uiPriority w:val="0"/>
    <w:rPr>
      <w:rFonts w:ascii="Tahoma" w:hAnsi="Tahoma" w:eastAsia="仿宋_GB2312"/>
      <w:szCs w:val="28"/>
    </w:rPr>
  </w:style>
  <w:style w:type="paragraph" w:customStyle="1" w:styleId="36">
    <w:name w:val="Char2"/>
    <w:basedOn w:val="6"/>
    <w:uiPriority w:val="0"/>
    <w:pPr>
      <w:adjustRightInd w:val="0"/>
      <w:spacing w:line="436" w:lineRule="exact"/>
      <w:ind w:left="357"/>
      <w:jc w:val="left"/>
      <w:outlineLvl w:val="3"/>
    </w:pPr>
    <w:rPr>
      <w:rFonts w:ascii="Tahoma" w:hAnsi="Tahoma"/>
      <w:b/>
      <w:szCs w:val="24"/>
    </w:rPr>
  </w:style>
  <w:style w:type="paragraph" w:customStyle="1" w:styleId="37">
    <w:name w:val="表格"/>
    <w:basedOn w:val="1"/>
    <w:uiPriority w:val="0"/>
    <w:pPr>
      <w:adjustRightInd w:val="0"/>
      <w:spacing w:line="400" w:lineRule="atLeast"/>
      <w:textAlignment w:val="baseline"/>
    </w:pPr>
    <w:rPr>
      <w:rFonts w:ascii="长城仿宋" w:hAnsi="Times New Roman" w:eastAsia="长城仿宋"/>
      <w:kern w:val="0"/>
      <w:sz w:val="28"/>
    </w:rPr>
  </w:style>
  <w:style w:type="character" w:customStyle="1" w:styleId="38">
    <w:name w:val="批注文字 Char"/>
    <w:link w:val="7"/>
    <w:uiPriority w:val="0"/>
    <w:rPr>
      <w:rFonts w:eastAsia="宋体"/>
      <w:kern w:val="2"/>
      <w:sz w:val="21"/>
      <w:lang w:val="en-US" w:eastAsia="zh-CN" w:bidi="ar-SA"/>
    </w:rPr>
  </w:style>
  <w:style w:type="character" w:customStyle="1" w:styleId="39">
    <w:name w:val="普通正文 Char"/>
    <w:link w:val="32"/>
    <w:uiPriority w:val="0"/>
    <w:rPr>
      <w:rFonts w:eastAsia="宋体"/>
      <w:kern w:val="21"/>
      <w:sz w:val="21"/>
      <w:lang w:val="en-US" w:eastAsia="zh-CN" w:bidi="ar-SA"/>
    </w:rPr>
  </w:style>
  <w:style w:type="paragraph" w:styleId="40">
    <w:name w:val="List Paragraph"/>
    <w:basedOn w:val="1"/>
    <w:qFormat/>
    <w:uiPriority w:val="0"/>
    <w:pPr>
      <w:ind w:firstLine="420" w:firstLineChars="200"/>
    </w:pPr>
    <w:rPr>
      <w:rFonts w:ascii="Calibri" w:hAnsi="Calibri"/>
      <w:sz w:val="21"/>
      <w:szCs w:val="22"/>
    </w:rPr>
  </w:style>
  <w:style w:type="paragraph" w:customStyle="1" w:styleId="41">
    <w:name w:val="Char Char"/>
    <w:basedOn w:val="6"/>
    <w:uiPriority w:val="0"/>
    <w:pPr>
      <w:adjustRightInd w:val="0"/>
      <w:spacing w:line="436" w:lineRule="exact"/>
      <w:ind w:left="357"/>
      <w:jc w:val="left"/>
      <w:outlineLvl w:val="3"/>
    </w:pPr>
    <w:rPr>
      <w:rFonts w:ascii="Tahoma" w:hAnsi="Tahoma"/>
      <w:b/>
      <w:szCs w:val="24"/>
    </w:rPr>
  </w:style>
  <w:style w:type="paragraph" w:customStyle="1" w:styleId="42">
    <w:name w:val="TOC Heading"/>
    <w:basedOn w:val="2"/>
    <w:next w:val="1"/>
    <w:qFormat/>
    <w:uiPriority w:val="39"/>
    <w:pPr>
      <w:keepNext/>
      <w:keepLines/>
      <w:widowControl/>
      <w:kinsoku/>
      <w:overflowPunct/>
      <w:autoSpaceDE/>
      <w:autoSpaceDN/>
      <w:adjustRightInd/>
      <w:snapToGrid/>
      <w:spacing w:before="480" w:line="276" w:lineRule="auto"/>
      <w:jc w:val="left"/>
      <w:outlineLvl w:val="9"/>
    </w:pPr>
    <w:rPr>
      <w:rFonts w:ascii="Cambria" w:hAnsi="Cambria" w:eastAsia="宋体"/>
      <w:bCs/>
      <w:color w:val="365F91"/>
      <w:kern w:val="0"/>
      <w:szCs w:val="28"/>
    </w:rPr>
  </w:style>
  <w:style w:type="character" w:customStyle="1" w:styleId="43">
    <w:name w:val="正文文本 Char"/>
    <w:link w:val="8"/>
    <w:uiPriority w:val="0"/>
    <w:rPr>
      <w:rFonts w:ascii="仿宋_GB2312" w:eastAsia="仿宋_GB2312"/>
      <w:sz w:val="28"/>
      <w:lang w:val="en-US" w:eastAsia="zh-CN" w:bidi="ar-SA"/>
    </w:rPr>
  </w:style>
  <w:style w:type="paragraph" w:customStyle="1" w:styleId="44">
    <w:name w:val="正文1"/>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customStyle="1" w:styleId="45">
    <w:name w:val="a"/>
    <w:basedOn w:val="1"/>
    <w:uiPriority w:val="0"/>
    <w:pPr>
      <w:widowControl/>
      <w:spacing w:line="360" w:lineRule="auto"/>
      <w:ind w:right="100" w:rightChars="100" w:firstLine="420"/>
    </w:pPr>
    <w:rPr>
      <w:rFonts w:cs="宋体"/>
      <w:kern w:val="0"/>
      <w:sz w:val="28"/>
      <w:szCs w:val="28"/>
    </w:rPr>
  </w:style>
  <w:style w:type="character" w:customStyle="1" w:styleId="46">
    <w:name w:val="页脚 Char"/>
    <w:link w:val="11"/>
    <w:uiPriority w:val="99"/>
    <w:rPr>
      <w:rFonts w:ascii="宋体" w:hAnsi="宋体"/>
      <w:kern w:val="2"/>
      <w:sz w:val="18"/>
      <w:szCs w:val="18"/>
    </w:rPr>
  </w:style>
  <w:style w:type="paragraph" w:customStyle="1" w:styleId="47">
    <w:name w:val="附录标识"/>
    <w:basedOn w:val="23"/>
    <w:uiPriority w:val="0"/>
    <w:pPr>
      <w:numPr>
        <w:ilvl w:val="0"/>
        <w:numId w:val="3"/>
      </w:numPr>
      <w:tabs>
        <w:tab w:val="left" w:pos="6405"/>
      </w:tabs>
      <w:spacing w:after="200"/>
    </w:pPr>
    <w:rPr>
      <w:sz w:val="21"/>
    </w:rPr>
  </w:style>
  <w:style w:type="paragraph" w:customStyle="1" w:styleId="48">
    <w:name w:val="样式1"/>
    <w:basedOn w:val="1"/>
    <w:link w:val="49"/>
    <w:uiPriority w:val="0"/>
    <w:pPr>
      <w:autoSpaceDE w:val="0"/>
      <w:autoSpaceDN w:val="0"/>
      <w:adjustRightInd w:val="0"/>
      <w:spacing w:line="480" w:lineRule="exact"/>
      <w:jc w:val="center"/>
      <w:textAlignment w:val="baseline"/>
    </w:pPr>
    <w:rPr>
      <w:rFonts w:eastAsia="仿宋_GB2312" w:cs="宋体"/>
      <w:kern w:val="0"/>
      <w:sz w:val="28"/>
      <w:szCs w:val="28"/>
    </w:rPr>
  </w:style>
  <w:style w:type="character" w:customStyle="1" w:styleId="49">
    <w:name w:val="样式1 Char"/>
    <w:basedOn w:val="19"/>
    <w:link w:val="48"/>
    <w:uiPriority w:val="0"/>
    <w:rPr>
      <w:rFonts w:ascii="宋体" w:hAnsi="宋体" w:eastAsia="仿宋_GB2312" w:cs="宋体"/>
      <w:sz w:val="28"/>
      <w:szCs w:val="28"/>
    </w:rPr>
  </w:style>
  <w:style w:type="paragraph" w:customStyle="1" w:styleId="50">
    <w:name w:val="正文4"/>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customStyle="1" w:styleId="51">
    <w:name w:val="正文2"/>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image" Target="media/image19.emf"/><Relationship Id="rId27" Type="http://schemas.openxmlformats.org/officeDocument/2006/relationships/image" Target="media/image18.emf"/><Relationship Id="rId26" Type="http://schemas.openxmlformats.org/officeDocument/2006/relationships/image" Target="media/image17.emf"/><Relationship Id="rId25" Type="http://schemas.openxmlformats.org/officeDocument/2006/relationships/image" Target="media/image16.emf"/><Relationship Id="rId24" Type="http://schemas.openxmlformats.org/officeDocument/2006/relationships/image" Target="media/image15.emf"/><Relationship Id="rId23" Type="http://schemas.openxmlformats.org/officeDocument/2006/relationships/image" Target="media/image14.emf"/><Relationship Id="rId22" Type="http://schemas.openxmlformats.org/officeDocument/2006/relationships/image" Target="media/image13.emf"/><Relationship Id="rId21" Type="http://schemas.openxmlformats.org/officeDocument/2006/relationships/image" Target="media/image12.emf"/><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image" Target="media/image9.emf"/><Relationship Id="rId17" Type="http://schemas.openxmlformats.org/officeDocument/2006/relationships/image" Target="media/image8.e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image" Target="media/image4.emf"/><Relationship Id="rId12" Type="http://schemas.openxmlformats.org/officeDocument/2006/relationships/image" Target="media/image3.wmf"/><Relationship Id="rId11" Type="http://schemas.openxmlformats.org/officeDocument/2006/relationships/image" Target="media/image2.emf"/><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中讯邮电咨询设计院</Company>
  <Pages>30</Pages>
  <Words>2264</Words>
  <Characters>12910</Characters>
  <Lines>107</Lines>
  <Paragraphs>30</Paragraphs>
  <TotalTime>0</TotalTime>
  <ScaleCrop>false</ScaleCrop>
  <LinksUpToDate>false</LinksUpToDate>
  <CharactersWithSpaces>15144</CharactersWithSpaces>
  <Application>WPS Office_11.1.0.10168_F1E327BC-269C-435d-A152-05C5408002CA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2020-10-31T07:59:00Z</dcterms:created>
  <dc:creator>lht</dc:creator>
  <cp:lastModifiedBy>李洪栋-网研院</cp:lastModifiedBy>
  <cp:lastPrinted>2016-03-31T11:09:00Z</cp:lastPrinted>
  <dcterms:modified xsi:type="dcterms:W3CDTF">2021-03-12T07:39:25Z</dcterms:modified>
  <dc:title>光纤配纤架（ODF-S）</dc:title>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2052-11.1.0.10168</vt:lpwstr>
  </property>
</Properties>
</file>