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r>
        <w:rPr>
          <w:rFonts w:hint="eastAsia" w:ascii="宋体_GB2312" w:hAnsi="宋体_GB2312" w:eastAsia="宋体_GB2312"/>
          <w:b/>
          <w:sz w:val="44"/>
          <w:szCs w:val="44"/>
        </w:rPr>
        <w:t>中国联通蝶形光缆、预成端蝶形光缆技术规范书（2020版）</w:t>
      </w: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bookmarkStart w:id="0" w:name="_Toc189707226"/>
      <w:bookmarkStart w:id="1" w:name="_Toc188064293"/>
    </w:p>
    <w:bookmarkEnd w:id="0"/>
    <w:bookmarkEnd w:id="1"/>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r>
        <w:rPr>
          <w:rFonts w:hint="eastAsia" w:ascii="宋体_GB2312" w:hAnsi="宋体_GB2312" w:eastAsia="宋体_GB2312"/>
          <w:b/>
          <w:sz w:val="44"/>
          <w:szCs w:val="44"/>
        </w:rPr>
        <w:t>中国联合网络通信有限公司</w:t>
      </w: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r>
        <w:rPr>
          <w:rFonts w:ascii="宋体_GB2312" w:hAnsi="宋体_GB2312" w:eastAsia="宋体_GB2312"/>
          <w:b/>
          <w:sz w:val="44"/>
          <w:szCs w:val="44"/>
        </w:rPr>
        <w:t>202</w:t>
      </w:r>
      <w:r>
        <w:rPr>
          <w:rFonts w:hint="eastAsia" w:ascii="宋体_GB2312" w:hAnsi="宋体_GB2312" w:eastAsia="宋体_GB2312"/>
          <w:b/>
          <w:sz w:val="44"/>
          <w:szCs w:val="44"/>
          <w:lang w:val="en-US" w:eastAsia="zh-CN"/>
        </w:rPr>
        <w:t>1</w:t>
      </w:r>
      <w:r>
        <w:rPr>
          <w:rFonts w:hint="eastAsia" w:ascii="宋体_GB2312" w:hAnsi="宋体_GB2312" w:eastAsia="宋体_GB2312"/>
          <w:b/>
          <w:sz w:val="44"/>
          <w:szCs w:val="44"/>
        </w:rPr>
        <w:t>年</w:t>
      </w:r>
      <w:r>
        <w:rPr>
          <w:rFonts w:hint="eastAsia" w:ascii="宋体_GB2312" w:hAnsi="宋体_GB2312" w:eastAsia="宋体_GB2312"/>
          <w:b/>
          <w:sz w:val="44"/>
          <w:szCs w:val="44"/>
          <w:lang w:val="en-US" w:eastAsia="zh-CN"/>
        </w:rPr>
        <w:t>2</w:t>
      </w:r>
      <w:r>
        <w:rPr>
          <w:rFonts w:hint="eastAsia" w:ascii="宋体_GB2312" w:hAnsi="宋体_GB2312" w:eastAsia="宋体_GB2312"/>
          <w:b/>
          <w:sz w:val="44"/>
          <w:szCs w:val="44"/>
        </w:rPr>
        <w:t>月</w:t>
      </w:r>
    </w:p>
    <w:p>
      <w:pPr>
        <w:pStyle w:val="222"/>
        <w:spacing w:after="12" w:line="276" w:lineRule="auto"/>
        <w:jc w:val="center"/>
        <w:rPr>
          <w:rFonts w:ascii="宋体_GB2312" w:hAnsi="宋体_GB2312" w:eastAsia="宋体_GB2312"/>
          <w:color w:val="auto"/>
        </w:rPr>
      </w:pPr>
      <w:r>
        <w:rPr>
          <w:rFonts w:ascii="宋体_GB2312" w:hAnsi="宋体_GB2312" w:eastAsia="宋体_GB2312"/>
          <w:color w:val="auto"/>
          <w:lang w:val="zh-CN"/>
        </w:rPr>
        <w:t>目   录</w:t>
      </w:r>
    </w:p>
    <w:p>
      <w:pPr>
        <w:pStyle w:val="32"/>
        <w:tabs>
          <w:tab w:val="right" w:leader="dot" w:pos="9747"/>
          <w:tab w:val="clear" w:pos="9737"/>
        </w:tabs>
      </w:pPr>
      <w:r>
        <w:rPr>
          <w:rFonts w:ascii="宋体_GB2312" w:hAnsi="宋体_GB2312" w:eastAsia="宋体_GB2312"/>
          <w:sz w:val="21"/>
          <w:szCs w:val="21"/>
        </w:rPr>
        <w:fldChar w:fldCharType="begin"/>
      </w:r>
      <w:r>
        <w:rPr>
          <w:rFonts w:ascii="宋体_GB2312" w:hAnsi="宋体_GB2312" w:eastAsia="宋体_GB2312"/>
          <w:sz w:val="21"/>
          <w:szCs w:val="21"/>
        </w:rPr>
        <w:instrText xml:space="preserve"> TOC \o "1-3" \h \z \u </w:instrText>
      </w:r>
      <w:r>
        <w:rPr>
          <w:rFonts w:ascii="宋体_GB2312" w:hAnsi="宋体_GB2312" w:eastAsia="宋体_GB2312"/>
          <w:sz w:val="21"/>
          <w:szCs w:val="21"/>
        </w:rPr>
        <w:fldChar w:fldCharType="separate"/>
      </w: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_Toc11209 </w:instrText>
      </w:r>
      <w:r>
        <w:rPr>
          <w:rFonts w:ascii="宋体_GB2312" w:hAnsi="宋体_GB2312" w:eastAsia="宋体_GB2312"/>
          <w:bCs w:val="0"/>
          <w:szCs w:val="21"/>
          <w:lang w:val="zh-CN"/>
        </w:rPr>
        <w:fldChar w:fldCharType="separate"/>
      </w:r>
      <w:r>
        <w:rPr>
          <w:rFonts w:ascii="宋体_GB2312" w:hAnsi="宋体_GB2312" w:eastAsia="宋体_GB2312"/>
          <w:szCs w:val="24"/>
        </w:rPr>
        <w:t xml:space="preserve">1 </w:t>
      </w:r>
      <w:r>
        <w:rPr>
          <w:rFonts w:hint="eastAsia" w:ascii="宋体_GB2312" w:hAnsi="宋体_GB2312" w:eastAsia="宋体_GB2312"/>
          <w:szCs w:val="24"/>
        </w:rPr>
        <w:t>概述</w:t>
      </w:r>
      <w:r>
        <w:tab/>
      </w:r>
      <w:r>
        <w:fldChar w:fldCharType="begin"/>
      </w:r>
      <w:r>
        <w:instrText xml:space="preserve"> PAGEREF _Toc11209 </w:instrText>
      </w:r>
      <w:r>
        <w:fldChar w:fldCharType="separate"/>
      </w:r>
      <w:r>
        <w:t>3</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_Toc24107 </w:instrText>
      </w:r>
      <w:r>
        <w:rPr>
          <w:rFonts w:ascii="宋体_GB2312" w:hAnsi="宋体_GB2312" w:eastAsia="宋体_GB2312"/>
          <w:bCs w:val="0"/>
          <w:szCs w:val="21"/>
          <w:lang w:val="zh-CN"/>
        </w:rPr>
        <w:fldChar w:fldCharType="separate"/>
      </w:r>
      <w:r>
        <w:rPr>
          <w:rFonts w:ascii="宋体_GB2312" w:hAnsi="宋体_GB2312" w:eastAsia="宋体_GB2312"/>
          <w:szCs w:val="24"/>
        </w:rPr>
        <w:t xml:space="preserve">2 </w:t>
      </w:r>
      <w:r>
        <w:rPr>
          <w:rFonts w:hint="eastAsia" w:ascii="宋体_GB2312" w:hAnsi="宋体_GB2312" w:eastAsia="宋体_GB2312"/>
          <w:szCs w:val="24"/>
        </w:rPr>
        <w:t>普通蝶形光缆主要技术要求和指标</w:t>
      </w:r>
      <w:r>
        <w:tab/>
      </w:r>
      <w:r>
        <w:fldChar w:fldCharType="begin"/>
      </w:r>
      <w:r>
        <w:instrText xml:space="preserve"> PAGEREF _Toc24107 </w:instrText>
      </w:r>
      <w:r>
        <w:fldChar w:fldCharType="separate"/>
      </w:r>
      <w:r>
        <w:t>3</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_Toc7890 </w:instrText>
      </w:r>
      <w:r>
        <w:rPr>
          <w:rFonts w:ascii="宋体_GB2312" w:hAnsi="宋体_GB2312" w:eastAsia="宋体_GB2312"/>
          <w:bCs w:val="0"/>
          <w:szCs w:val="21"/>
          <w:lang w:val="zh-CN"/>
        </w:rPr>
        <w:fldChar w:fldCharType="separate"/>
      </w:r>
      <w:r>
        <w:rPr>
          <w:rFonts w:hint="eastAsia" w:ascii="宋体_GB2312" w:hAnsi="宋体_GB2312" w:eastAsia="宋体_GB2312"/>
          <w:szCs w:val="24"/>
        </w:rPr>
        <w:t>★</w:t>
      </w:r>
      <w:r>
        <w:rPr>
          <w:rFonts w:ascii="宋体_GB2312" w:hAnsi="宋体_GB2312" w:eastAsia="宋体_GB2312"/>
          <w:szCs w:val="24"/>
        </w:rPr>
        <w:t>2.1光缆中的光纤</w:t>
      </w:r>
      <w:r>
        <w:tab/>
      </w:r>
      <w:r>
        <w:fldChar w:fldCharType="begin"/>
      </w:r>
      <w:r>
        <w:instrText xml:space="preserve"> PAGEREF _Toc7890 </w:instrText>
      </w:r>
      <w:r>
        <w:fldChar w:fldCharType="separate"/>
      </w:r>
      <w:r>
        <w:t>3</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_Toc17450 </w:instrText>
      </w:r>
      <w:r>
        <w:rPr>
          <w:rFonts w:ascii="宋体_GB2312" w:hAnsi="宋体_GB2312" w:eastAsia="宋体_GB2312"/>
          <w:bCs w:val="0"/>
          <w:szCs w:val="21"/>
          <w:lang w:val="zh-CN"/>
        </w:rPr>
        <w:fldChar w:fldCharType="separate"/>
      </w:r>
      <w:r>
        <w:rPr>
          <w:rFonts w:ascii="宋体_GB2312" w:hAnsi="宋体_GB2312" w:eastAsia="宋体_GB2312"/>
          <w:szCs w:val="24"/>
        </w:rPr>
        <w:t>2.2</w:t>
      </w:r>
      <w:r>
        <w:rPr>
          <w:rFonts w:hint="eastAsia" w:ascii="宋体_GB2312" w:hAnsi="宋体_GB2312" w:eastAsia="宋体_GB2312"/>
          <w:szCs w:val="24"/>
        </w:rPr>
        <w:t>光缆结构</w:t>
      </w:r>
      <w:r>
        <w:tab/>
      </w:r>
      <w:r>
        <w:fldChar w:fldCharType="begin"/>
      </w:r>
      <w:r>
        <w:instrText xml:space="preserve"> PAGEREF _Toc17450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_Toc4652 </w:instrText>
      </w:r>
      <w:r>
        <w:rPr>
          <w:rFonts w:ascii="宋体_GB2312" w:hAnsi="宋体_GB2312" w:eastAsia="宋体_GB2312"/>
          <w:bCs w:val="0"/>
          <w:szCs w:val="21"/>
          <w:lang w:val="zh-CN"/>
        </w:rPr>
        <w:fldChar w:fldCharType="separate"/>
      </w:r>
      <w:r>
        <w:rPr>
          <w:rFonts w:ascii="宋体_GB2312" w:hAnsi="宋体_GB2312" w:eastAsia="宋体_GB2312"/>
        </w:rPr>
        <w:t>2.2.1</w:t>
      </w:r>
      <w:r>
        <w:rPr>
          <w:rFonts w:hint="eastAsia" w:ascii="宋体_GB2312" w:hAnsi="宋体_GB2312" w:eastAsia="宋体_GB2312"/>
        </w:rPr>
        <w:t>光纤识别</w:t>
      </w:r>
      <w:r>
        <w:tab/>
      </w:r>
      <w:r>
        <w:fldChar w:fldCharType="begin"/>
      </w:r>
      <w:r>
        <w:instrText xml:space="preserve"> PAGEREF _Toc4652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_Toc21045 </w:instrText>
      </w:r>
      <w:r>
        <w:rPr>
          <w:rFonts w:ascii="宋体_GB2312" w:hAnsi="宋体_GB2312" w:eastAsia="宋体_GB2312"/>
          <w:bCs w:val="0"/>
          <w:szCs w:val="21"/>
          <w:lang w:val="zh-CN"/>
        </w:rPr>
        <w:fldChar w:fldCharType="separate"/>
      </w:r>
      <w:r>
        <w:rPr>
          <w:rFonts w:ascii="宋体_GB2312" w:hAnsi="宋体_GB2312" w:eastAsia="宋体_GB2312"/>
        </w:rPr>
        <w:t>2.2.2</w:t>
      </w:r>
      <w:r>
        <w:rPr>
          <w:rFonts w:hint="eastAsia" w:ascii="宋体_GB2312" w:hAnsi="宋体_GB2312" w:eastAsia="宋体_GB2312"/>
        </w:rPr>
        <w:t>加强构件</w:t>
      </w:r>
      <w:r>
        <w:tab/>
      </w:r>
      <w:r>
        <w:fldChar w:fldCharType="begin"/>
      </w:r>
      <w:r>
        <w:instrText xml:space="preserve"> PAGEREF _Toc21045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_Toc10079 </w:instrText>
      </w:r>
      <w:r>
        <w:rPr>
          <w:rFonts w:ascii="宋体_GB2312" w:hAnsi="宋体_GB2312" w:eastAsia="宋体_GB2312"/>
          <w:bCs w:val="0"/>
          <w:szCs w:val="21"/>
          <w:lang w:val="zh-CN"/>
        </w:rPr>
        <w:fldChar w:fldCharType="separate"/>
      </w:r>
      <w:r>
        <w:rPr>
          <w:rFonts w:ascii="宋体_GB2312" w:hAnsi="宋体_GB2312" w:eastAsia="宋体_GB2312"/>
        </w:rPr>
        <w:t>2.2.3</w:t>
      </w:r>
      <w:r>
        <w:rPr>
          <w:rFonts w:hint="eastAsia" w:ascii="宋体_GB2312" w:hAnsi="宋体_GB2312" w:eastAsia="宋体_GB2312"/>
        </w:rPr>
        <w:t>增强构件</w:t>
      </w:r>
      <w:r>
        <w:tab/>
      </w:r>
      <w:r>
        <w:fldChar w:fldCharType="begin"/>
      </w:r>
      <w:r>
        <w:instrText xml:space="preserve"> PAGEREF _Toc10079 </w:instrText>
      </w:r>
      <w:r>
        <w:fldChar w:fldCharType="separate"/>
      </w:r>
      <w:r>
        <w:t>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_Toc28097 </w:instrText>
      </w:r>
      <w:r>
        <w:rPr>
          <w:rFonts w:ascii="宋体_GB2312" w:hAnsi="宋体_GB2312" w:eastAsia="宋体_GB2312"/>
          <w:bCs w:val="0"/>
          <w:szCs w:val="21"/>
          <w:lang w:val="zh-CN"/>
        </w:rPr>
        <w:fldChar w:fldCharType="separate"/>
      </w:r>
      <w:r>
        <w:rPr>
          <w:rFonts w:ascii="宋体_GB2312" w:hAnsi="宋体_GB2312" w:eastAsia="宋体_GB2312"/>
        </w:rPr>
        <w:t>2.2.4</w:t>
      </w:r>
      <w:r>
        <w:rPr>
          <w:rFonts w:hint="eastAsia" w:ascii="宋体_GB2312" w:hAnsi="宋体_GB2312" w:eastAsia="宋体_GB2312"/>
        </w:rPr>
        <w:t>护套</w:t>
      </w:r>
      <w:r>
        <w:tab/>
      </w:r>
      <w:r>
        <w:fldChar w:fldCharType="begin"/>
      </w:r>
      <w:r>
        <w:instrText xml:space="preserve"> PAGEREF _Toc28097 </w:instrText>
      </w:r>
      <w:r>
        <w:fldChar w:fldCharType="separate"/>
      </w:r>
      <w:r>
        <w:t>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_Toc30701 </w:instrText>
      </w:r>
      <w:r>
        <w:rPr>
          <w:rFonts w:ascii="宋体_GB2312" w:hAnsi="宋体_GB2312" w:eastAsia="宋体_GB2312"/>
          <w:bCs w:val="0"/>
          <w:szCs w:val="21"/>
          <w:lang w:val="zh-CN"/>
        </w:rPr>
        <w:fldChar w:fldCharType="separate"/>
      </w:r>
      <w:r>
        <w:rPr>
          <w:rFonts w:ascii="宋体_GB2312" w:hAnsi="宋体_GB2312" w:eastAsia="宋体_GB2312"/>
        </w:rPr>
        <w:t>2.2.5</w:t>
      </w:r>
      <w:r>
        <w:rPr>
          <w:rFonts w:hint="eastAsia" w:ascii="宋体_GB2312" w:hAnsi="宋体_GB2312" w:eastAsia="宋体_GB2312"/>
        </w:rPr>
        <w:t>外护套</w:t>
      </w:r>
      <w:r>
        <w:tab/>
      </w:r>
      <w:r>
        <w:fldChar w:fldCharType="begin"/>
      </w:r>
      <w:r>
        <w:instrText xml:space="preserve"> PAGEREF _Toc30701 </w:instrText>
      </w:r>
      <w:r>
        <w:fldChar w:fldCharType="separate"/>
      </w:r>
      <w:r>
        <w:t>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_Toc29855 </w:instrText>
      </w:r>
      <w:r>
        <w:rPr>
          <w:rFonts w:ascii="宋体_GB2312" w:hAnsi="宋体_GB2312" w:eastAsia="宋体_GB2312"/>
          <w:bCs w:val="0"/>
          <w:szCs w:val="21"/>
          <w:lang w:val="zh-CN"/>
        </w:rPr>
        <w:fldChar w:fldCharType="separate"/>
      </w:r>
      <w:r>
        <w:rPr>
          <w:rFonts w:ascii="宋体_GB2312" w:hAnsi="宋体_GB2312" w:eastAsia="宋体_GB2312"/>
        </w:rPr>
        <w:t>2.2.6</w:t>
      </w:r>
      <w:r>
        <w:rPr>
          <w:rFonts w:hint="eastAsia" w:ascii="宋体_GB2312" w:hAnsi="宋体_GB2312" w:eastAsia="宋体_GB2312"/>
        </w:rPr>
        <w:t>典型结构尺寸</w:t>
      </w:r>
      <w:r>
        <w:tab/>
      </w:r>
      <w:r>
        <w:fldChar w:fldCharType="begin"/>
      </w:r>
      <w:r>
        <w:instrText xml:space="preserve"> PAGEREF _Toc29855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_Toc21333 </w:instrText>
      </w:r>
      <w:r>
        <w:rPr>
          <w:rFonts w:ascii="宋体_GB2312" w:hAnsi="宋体_GB2312" w:eastAsia="宋体_GB2312"/>
          <w:bCs w:val="0"/>
          <w:szCs w:val="21"/>
          <w:lang w:val="zh-CN"/>
        </w:rPr>
        <w:fldChar w:fldCharType="separate"/>
      </w:r>
      <w:r>
        <w:rPr>
          <w:rFonts w:ascii="宋体_GB2312" w:hAnsi="宋体_GB2312" w:eastAsia="宋体_GB2312"/>
        </w:rPr>
        <w:t>2.2.7</w:t>
      </w:r>
      <w:r>
        <w:rPr>
          <w:rFonts w:hint="eastAsia" w:ascii="宋体_GB2312" w:hAnsi="宋体_GB2312" w:eastAsia="宋体_GB2312"/>
        </w:rPr>
        <w:t>制造长度</w:t>
      </w:r>
      <w:r>
        <w:tab/>
      </w:r>
      <w:r>
        <w:fldChar w:fldCharType="begin"/>
      </w:r>
      <w:r>
        <w:instrText xml:space="preserve"> PAGEREF _Toc21333 </w:instrText>
      </w:r>
      <w:r>
        <w:fldChar w:fldCharType="separate"/>
      </w:r>
      <w:r>
        <w:t>8</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_Toc1410 </w:instrText>
      </w:r>
      <w:r>
        <w:rPr>
          <w:rFonts w:ascii="宋体_GB2312" w:hAnsi="宋体_GB2312" w:eastAsia="宋体_GB2312"/>
          <w:bCs w:val="0"/>
          <w:szCs w:val="21"/>
          <w:lang w:val="zh-CN"/>
        </w:rPr>
        <w:fldChar w:fldCharType="separate"/>
      </w:r>
      <w:r>
        <w:rPr>
          <w:rFonts w:ascii="宋体_GB2312" w:hAnsi="宋体_GB2312" w:eastAsia="宋体_GB2312"/>
          <w:szCs w:val="24"/>
        </w:rPr>
        <w:t>2.3</w:t>
      </w:r>
      <w:r>
        <w:rPr>
          <w:rFonts w:hint="eastAsia" w:ascii="宋体_GB2312" w:hAnsi="宋体_GB2312" w:eastAsia="宋体_GB2312"/>
          <w:szCs w:val="24"/>
        </w:rPr>
        <w:t>性能要求</w:t>
      </w:r>
      <w:r>
        <w:tab/>
      </w:r>
      <w:r>
        <w:fldChar w:fldCharType="begin"/>
      </w:r>
      <w:r>
        <w:instrText xml:space="preserve"> PAGEREF _Toc1410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_Toc24064 </w:instrText>
      </w:r>
      <w:r>
        <w:rPr>
          <w:rFonts w:ascii="宋体_GB2312" w:hAnsi="宋体_GB2312" w:eastAsia="宋体_GB2312"/>
          <w:bCs w:val="0"/>
          <w:szCs w:val="21"/>
          <w:lang w:val="zh-CN"/>
        </w:rPr>
        <w:fldChar w:fldCharType="separate"/>
      </w:r>
      <w:r>
        <w:rPr>
          <w:rFonts w:ascii="宋体_GB2312" w:hAnsi="宋体_GB2312" w:eastAsia="宋体_GB2312"/>
        </w:rPr>
        <w:t>2.3.1</w:t>
      </w:r>
      <w:r>
        <w:rPr>
          <w:rFonts w:hint="eastAsia" w:ascii="宋体_GB2312" w:hAnsi="宋体_GB2312" w:eastAsia="宋体_GB2312"/>
        </w:rPr>
        <w:t>护套性能</w:t>
      </w:r>
      <w:r>
        <w:tab/>
      </w:r>
      <w:r>
        <w:fldChar w:fldCharType="begin"/>
      </w:r>
      <w:r>
        <w:instrText xml:space="preserve"> PAGEREF _Toc24064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_Toc14754 </w:instrText>
      </w:r>
      <w:r>
        <w:rPr>
          <w:rFonts w:ascii="宋体_GB2312" w:hAnsi="宋体_GB2312" w:eastAsia="宋体_GB2312"/>
          <w:bCs w:val="0"/>
          <w:szCs w:val="21"/>
          <w:lang w:val="zh-CN"/>
        </w:rPr>
        <w:fldChar w:fldCharType="separate"/>
      </w:r>
      <w:r>
        <w:rPr>
          <w:rFonts w:ascii="宋体_GB2312" w:hAnsi="宋体_GB2312" w:eastAsia="宋体_GB2312"/>
          <w:highlight w:val="none"/>
        </w:rPr>
        <w:t>2.3.2</w:t>
      </w:r>
      <w:r>
        <w:rPr>
          <w:rFonts w:hint="eastAsia" w:ascii="宋体_GB2312" w:hAnsi="宋体_GB2312" w:eastAsia="宋体_GB2312"/>
          <w:highlight w:val="none"/>
        </w:rPr>
        <w:t>光缆机械性能</w:t>
      </w:r>
      <w:r>
        <w:tab/>
      </w:r>
      <w:r>
        <w:fldChar w:fldCharType="begin"/>
      </w:r>
      <w:r>
        <w:instrText xml:space="preserve"> PAGEREF _Toc14754 </w:instrText>
      </w:r>
      <w:r>
        <w:fldChar w:fldCharType="separate"/>
      </w:r>
      <w:r>
        <w:t>9</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_Toc8410 </w:instrText>
      </w:r>
      <w:r>
        <w:rPr>
          <w:rFonts w:ascii="宋体_GB2312" w:hAnsi="宋体_GB2312" w:eastAsia="宋体_GB2312"/>
          <w:bCs w:val="0"/>
          <w:szCs w:val="21"/>
          <w:lang w:val="zh-CN"/>
        </w:rPr>
        <w:fldChar w:fldCharType="separate"/>
      </w:r>
      <w:r>
        <w:rPr>
          <w:rFonts w:ascii="宋体_GB2312" w:hAnsi="宋体_GB2312" w:eastAsia="宋体_GB2312"/>
          <w:highlight w:val="none"/>
        </w:rPr>
        <w:t xml:space="preserve">2.3.3 </w:t>
      </w:r>
      <w:r>
        <w:rPr>
          <w:rFonts w:hint="eastAsia" w:ascii="宋体_GB2312" w:hAnsi="宋体_GB2312" w:eastAsia="宋体_GB2312"/>
          <w:highlight w:val="none"/>
        </w:rPr>
        <w:t>光缆环境性能</w:t>
      </w:r>
      <w:r>
        <w:tab/>
      </w:r>
      <w:r>
        <w:fldChar w:fldCharType="begin"/>
      </w:r>
      <w:r>
        <w:instrText xml:space="preserve"> PAGEREF _Toc8410 </w:instrText>
      </w:r>
      <w:r>
        <w:fldChar w:fldCharType="separate"/>
      </w:r>
      <w:r>
        <w:t>11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_Toc16522 </w:instrText>
      </w:r>
      <w:r>
        <w:rPr>
          <w:rFonts w:ascii="宋体_GB2312" w:hAnsi="宋体_GB2312" w:eastAsia="宋体_GB2312"/>
          <w:bCs w:val="0"/>
          <w:szCs w:val="21"/>
          <w:lang w:val="zh-CN"/>
        </w:rPr>
        <w:fldChar w:fldCharType="separate"/>
      </w:r>
      <w:r>
        <w:rPr>
          <w:rFonts w:ascii="宋体_GB2312" w:hAnsi="宋体_GB2312" w:eastAsia="宋体_GB2312"/>
          <w:highlight w:val="none"/>
        </w:rPr>
        <w:t>2.3.4</w:t>
      </w:r>
      <w:r>
        <w:rPr>
          <w:rFonts w:hint="eastAsia" w:ascii="宋体_GB2312" w:hAnsi="宋体_GB2312" w:eastAsia="宋体_GB2312"/>
          <w:highlight w:val="none"/>
        </w:rPr>
        <w:t>环保性能</w:t>
      </w:r>
      <w:r>
        <w:tab/>
      </w:r>
      <w:r>
        <w:fldChar w:fldCharType="begin"/>
      </w:r>
      <w:r>
        <w:instrText xml:space="preserve"> PAGEREF _Toc16522 </w:instrText>
      </w:r>
      <w:r>
        <w:fldChar w:fldCharType="separate"/>
      </w:r>
      <w:r>
        <w:t>12</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_Toc22112 </w:instrText>
      </w:r>
      <w:r>
        <w:rPr>
          <w:rFonts w:ascii="宋体_GB2312" w:hAnsi="宋体_GB2312" w:eastAsia="宋体_GB2312"/>
          <w:bCs w:val="0"/>
          <w:szCs w:val="21"/>
          <w:lang w:val="zh-CN"/>
        </w:rPr>
        <w:fldChar w:fldCharType="separate"/>
      </w:r>
      <w:r>
        <w:rPr>
          <w:rFonts w:ascii="宋体_GB2312" w:hAnsi="宋体_GB2312" w:eastAsia="宋体_GB2312"/>
          <w:szCs w:val="24"/>
        </w:rPr>
        <w:t>2.4</w:t>
      </w:r>
      <w:r>
        <w:rPr>
          <w:rFonts w:hint="eastAsia" w:ascii="宋体_GB2312" w:hAnsi="宋体_GB2312" w:eastAsia="宋体_GB2312"/>
          <w:szCs w:val="24"/>
        </w:rPr>
        <w:t>试验方法</w:t>
      </w:r>
      <w:r>
        <w:tab/>
      </w:r>
      <w:r>
        <w:fldChar w:fldCharType="begin"/>
      </w:r>
      <w:r>
        <w:instrText xml:space="preserve"> PAGEREF _Toc22112 </w:instrText>
      </w:r>
      <w:r>
        <w:fldChar w:fldCharType="separate"/>
      </w:r>
      <w:r>
        <w:t>13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_Toc5978 </w:instrText>
      </w:r>
      <w:r>
        <w:rPr>
          <w:rFonts w:ascii="宋体_GB2312" w:hAnsi="宋体_GB2312" w:eastAsia="宋体_GB2312"/>
          <w:bCs w:val="0"/>
          <w:szCs w:val="21"/>
          <w:lang w:val="zh-CN"/>
        </w:rPr>
        <w:fldChar w:fldCharType="separate"/>
      </w:r>
      <w:r>
        <w:rPr>
          <w:rFonts w:ascii="宋体_GB2312" w:hAnsi="宋体_GB2312" w:eastAsia="宋体_GB2312"/>
        </w:rPr>
        <w:t>2.4.1</w:t>
      </w:r>
      <w:r>
        <w:rPr>
          <w:rFonts w:hint="eastAsia" w:ascii="宋体_GB2312" w:hAnsi="宋体_GB2312" w:eastAsia="宋体_GB2312"/>
        </w:rPr>
        <w:t>光缆结构检查</w:t>
      </w:r>
      <w:r>
        <w:tab/>
      </w:r>
      <w:r>
        <w:fldChar w:fldCharType="begin"/>
      </w:r>
      <w:r>
        <w:instrText xml:space="preserve"> PAGEREF _Toc5978 </w:instrText>
      </w:r>
      <w:r>
        <w:fldChar w:fldCharType="separate"/>
      </w:r>
      <w:r>
        <w:t>13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_Toc26985 </w:instrText>
      </w:r>
      <w:r>
        <w:rPr>
          <w:rFonts w:ascii="宋体_GB2312" w:hAnsi="宋体_GB2312" w:eastAsia="宋体_GB2312"/>
          <w:bCs w:val="0"/>
          <w:szCs w:val="21"/>
          <w:lang w:val="zh-CN"/>
        </w:rPr>
        <w:fldChar w:fldCharType="separate"/>
      </w:r>
      <w:r>
        <w:rPr>
          <w:rFonts w:ascii="宋体_GB2312" w:hAnsi="宋体_GB2312" w:eastAsia="宋体_GB2312"/>
        </w:rPr>
        <w:t>2.4.2</w:t>
      </w:r>
      <w:r>
        <w:rPr>
          <w:rFonts w:hint="eastAsia" w:ascii="宋体_GB2312" w:hAnsi="宋体_GB2312" w:eastAsia="宋体_GB2312"/>
        </w:rPr>
        <w:t>光缆标志检查</w:t>
      </w:r>
      <w:r>
        <w:tab/>
      </w:r>
      <w:r>
        <w:fldChar w:fldCharType="begin"/>
      </w:r>
      <w:r>
        <w:instrText xml:space="preserve"> PAGEREF _Toc26985 </w:instrText>
      </w:r>
      <w:r>
        <w:fldChar w:fldCharType="separate"/>
      </w:r>
      <w:r>
        <w:t>13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_Toc7931 </w:instrText>
      </w:r>
      <w:r>
        <w:rPr>
          <w:rFonts w:ascii="宋体_GB2312" w:hAnsi="宋体_GB2312" w:eastAsia="宋体_GB2312"/>
          <w:bCs w:val="0"/>
          <w:szCs w:val="21"/>
          <w:lang w:val="zh-CN"/>
        </w:rPr>
        <w:fldChar w:fldCharType="separate"/>
      </w:r>
      <w:r>
        <w:rPr>
          <w:rFonts w:ascii="宋体_GB2312" w:hAnsi="宋体_GB2312" w:eastAsia="宋体_GB2312"/>
        </w:rPr>
        <w:t>2.4.3</w:t>
      </w:r>
      <w:r>
        <w:rPr>
          <w:rFonts w:hint="eastAsia" w:ascii="宋体_GB2312" w:hAnsi="宋体_GB2312" w:eastAsia="宋体_GB2312"/>
        </w:rPr>
        <w:t>光缆长度检查</w:t>
      </w:r>
      <w:r>
        <w:tab/>
      </w:r>
      <w:r>
        <w:fldChar w:fldCharType="begin"/>
      </w:r>
      <w:r>
        <w:instrText xml:space="preserve"> PAGEREF _Toc7931 </w:instrText>
      </w:r>
      <w:r>
        <w:fldChar w:fldCharType="separate"/>
      </w:r>
      <w:r>
        <w:t>13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_Toc31479 </w:instrText>
      </w:r>
      <w:r>
        <w:rPr>
          <w:rFonts w:ascii="宋体_GB2312" w:hAnsi="宋体_GB2312" w:eastAsia="宋体_GB2312"/>
          <w:bCs w:val="0"/>
          <w:szCs w:val="21"/>
          <w:lang w:val="zh-CN"/>
        </w:rPr>
        <w:fldChar w:fldCharType="separate"/>
      </w:r>
      <w:r>
        <w:rPr>
          <w:rFonts w:ascii="宋体_GB2312" w:hAnsi="宋体_GB2312" w:eastAsia="宋体_GB2312"/>
        </w:rPr>
        <w:t>2.4.4</w:t>
      </w:r>
      <w:r>
        <w:rPr>
          <w:rFonts w:hint="eastAsia" w:ascii="宋体_GB2312" w:hAnsi="宋体_GB2312" w:eastAsia="宋体_GB2312"/>
        </w:rPr>
        <w:t>护套热老化前后的抗拉强度和断裂伸长率</w:t>
      </w:r>
      <w:r>
        <w:tab/>
      </w:r>
      <w:r>
        <w:fldChar w:fldCharType="begin"/>
      </w:r>
      <w:r>
        <w:instrText xml:space="preserve"> PAGEREF _Toc31479 </w:instrText>
      </w:r>
      <w:r>
        <w:fldChar w:fldCharType="separate"/>
      </w:r>
      <w:r>
        <w:t>13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_Toc12572 </w:instrText>
      </w:r>
      <w:r>
        <w:rPr>
          <w:rFonts w:ascii="宋体_GB2312" w:hAnsi="宋体_GB2312" w:eastAsia="宋体_GB2312"/>
          <w:bCs w:val="0"/>
          <w:szCs w:val="21"/>
          <w:lang w:val="zh-CN"/>
        </w:rPr>
        <w:fldChar w:fldCharType="separate"/>
      </w:r>
      <w:r>
        <w:rPr>
          <w:rFonts w:ascii="宋体_GB2312" w:hAnsi="宋体_GB2312" w:eastAsia="宋体_GB2312"/>
        </w:rPr>
        <w:t>2.4.5</w:t>
      </w:r>
      <w:r>
        <w:rPr>
          <w:rFonts w:hint="eastAsia" w:ascii="宋体_GB2312" w:hAnsi="宋体_GB2312" w:eastAsia="宋体_GB2312"/>
        </w:rPr>
        <w:t>机械性能试验方法</w:t>
      </w:r>
      <w:r>
        <w:tab/>
      </w:r>
      <w:r>
        <w:fldChar w:fldCharType="begin"/>
      </w:r>
      <w:r>
        <w:instrText xml:space="preserve"> PAGEREF _Toc12572 </w:instrText>
      </w:r>
      <w:r>
        <w:fldChar w:fldCharType="separate"/>
      </w:r>
      <w:r>
        <w:t>14</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_Toc12242 </w:instrText>
      </w:r>
      <w:r>
        <w:rPr>
          <w:rFonts w:ascii="宋体_GB2312" w:hAnsi="宋体_GB2312" w:eastAsia="宋体_GB2312"/>
          <w:bCs w:val="0"/>
          <w:szCs w:val="21"/>
          <w:lang w:val="zh-CN"/>
        </w:rPr>
        <w:fldChar w:fldCharType="separate"/>
      </w:r>
      <w:r>
        <w:rPr>
          <w:rFonts w:ascii="宋体_GB2312" w:hAnsi="宋体_GB2312" w:eastAsia="宋体_GB2312"/>
        </w:rPr>
        <w:t>2.4.6</w:t>
      </w:r>
      <w:r>
        <w:rPr>
          <w:rFonts w:hint="eastAsia" w:ascii="宋体_GB2312" w:hAnsi="宋体_GB2312" w:eastAsia="宋体_GB2312"/>
        </w:rPr>
        <w:t>环境性能试验方法</w:t>
      </w:r>
      <w:r>
        <w:tab/>
      </w:r>
      <w:r>
        <w:fldChar w:fldCharType="begin"/>
      </w:r>
      <w:r>
        <w:instrText xml:space="preserve"> PAGEREF _Toc12242 </w:instrText>
      </w:r>
      <w:r>
        <w:fldChar w:fldCharType="separate"/>
      </w:r>
      <w:r>
        <w:t>17</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_Toc4593 </w:instrText>
      </w:r>
      <w:r>
        <w:rPr>
          <w:rFonts w:ascii="宋体_GB2312" w:hAnsi="宋体_GB2312" w:eastAsia="宋体_GB2312"/>
          <w:bCs w:val="0"/>
          <w:szCs w:val="21"/>
          <w:lang w:val="zh-CN"/>
        </w:rPr>
        <w:fldChar w:fldCharType="separate"/>
      </w:r>
      <w:r>
        <w:rPr>
          <w:rFonts w:ascii="宋体_GB2312" w:hAnsi="宋体_GB2312" w:eastAsia="宋体_GB2312"/>
          <w:szCs w:val="24"/>
        </w:rPr>
        <w:t>2.5</w:t>
      </w:r>
      <w:r>
        <w:rPr>
          <w:rFonts w:hint="eastAsia" w:ascii="宋体_GB2312" w:hAnsi="宋体_GB2312" w:eastAsia="宋体_GB2312"/>
          <w:szCs w:val="24"/>
        </w:rPr>
        <w:t>光缆标志</w:t>
      </w:r>
      <w:r>
        <w:tab/>
      </w:r>
      <w:r>
        <w:fldChar w:fldCharType="begin"/>
      </w:r>
      <w:r>
        <w:instrText xml:space="preserve"> PAGEREF _Toc4593 </w:instrText>
      </w:r>
      <w:r>
        <w:fldChar w:fldCharType="separate"/>
      </w:r>
      <w:r>
        <w:t>18</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_Toc19390 </w:instrText>
      </w:r>
      <w:r>
        <w:rPr>
          <w:rFonts w:ascii="宋体_GB2312" w:hAnsi="宋体_GB2312" w:eastAsia="宋体_GB2312"/>
          <w:bCs w:val="0"/>
          <w:szCs w:val="21"/>
          <w:lang w:val="zh-CN"/>
        </w:rPr>
        <w:fldChar w:fldCharType="separate"/>
      </w:r>
      <w:r>
        <w:rPr>
          <w:rFonts w:ascii="宋体_GB2312" w:hAnsi="宋体_GB2312" w:eastAsia="宋体_GB2312"/>
          <w:szCs w:val="24"/>
        </w:rPr>
        <w:t>2.6</w:t>
      </w:r>
      <w:r>
        <w:rPr>
          <w:rFonts w:hint="eastAsia" w:ascii="宋体_GB2312" w:hAnsi="宋体_GB2312" w:eastAsia="宋体_GB2312"/>
          <w:szCs w:val="24"/>
        </w:rPr>
        <w:t>其它性能和要求</w:t>
      </w:r>
      <w:r>
        <w:tab/>
      </w:r>
      <w:r>
        <w:fldChar w:fldCharType="begin"/>
      </w:r>
      <w:r>
        <w:instrText xml:space="preserve"> PAGEREF _Toc19390 </w:instrText>
      </w:r>
      <w:r>
        <w:fldChar w:fldCharType="separate"/>
      </w:r>
      <w:r>
        <w:t>19</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_Toc19721 </w:instrText>
      </w:r>
      <w:r>
        <w:rPr>
          <w:rFonts w:ascii="宋体_GB2312" w:hAnsi="宋体_GB2312" w:eastAsia="宋体_GB2312"/>
          <w:bCs w:val="0"/>
          <w:szCs w:val="21"/>
          <w:lang w:val="zh-CN"/>
        </w:rPr>
        <w:fldChar w:fldCharType="separate"/>
      </w:r>
      <w:r>
        <w:rPr>
          <w:rFonts w:ascii="宋体_GB2312" w:hAnsi="宋体_GB2312" w:eastAsia="宋体_GB2312"/>
          <w:szCs w:val="24"/>
        </w:rPr>
        <w:t xml:space="preserve">3 </w:t>
      </w:r>
      <w:r>
        <w:rPr>
          <w:rFonts w:hint="eastAsia" w:ascii="宋体_GB2312" w:hAnsi="宋体_GB2312" w:eastAsia="宋体_GB2312"/>
          <w:szCs w:val="24"/>
        </w:rPr>
        <w:t>预制</w:t>
      </w:r>
      <w:r>
        <w:rPr>
          <w:rFonts w:ascii="宋体_GB2312" w:hAnsi="宋体_GB2312" w:eastAsia="宋体_GB2312"/>
          <w:szCs w:val="24"/>
        </w:rPr>
        <w:t>成端</w:t>
      </w:r>
      <w:r>
        <w:rPr>
          <w:rFonts w:hint="eastAsia" w:ascii="宋体_GB2312" w:hAnsi="宋体_GB2312" w:eastAsia="宋体_GB2312"/>
          <w:szCs w:val="24"/>
        </w:rPr>
        <w:t>蝶形光缆主要技术要求和指标</w:t>
      </w:r>
      <w:r>
        <w:tab/>
      </w:r>
      <w:r>
        <w:fldChar w:fldCharType="begin"/>
      </w:r>
      <w:r>
        <w:instrText xml:space="preserve"> PAGEREF _Toc19721 </w:instrText>
      </w:r>
      <w:r>
        <w:fldChar w:fldCharType="separate"/>
      </w:r>
      <w:r>
        <w:t>19</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_Toc3970 </w:instrText>
      </w:r>
      <w:r>
        <w:rPr>
          <w:rFonts w:ascii="宋体_GB2312" w:hAnsi="宋体_GB2312" w:eastAsia="宋体_GB2312"/>
          <w:bCs w:val="0"/>
          <w:szCs w:val="21"/>
          <w:lang w:val="zh-CN"/>
        </w:rPr>
        <w:fldChar w:fldCharType="separate"/>
      </w:r>
      <w:r>
        <w:rPr>
          <w:rFonts w:ascii="宋体_GB2312" w:hAnsi="宋体_GB2312" w:eastAsia="宋体_GB2312"/>
          <w:szCs w:val="24"/>
        </w:rPr>
        <w:t>3.1</w:t>
      </w:r>
      <w:r>
        <w:rPr>
          <w:rFonts w:hint="eastAsia" w:ascii="宋体_GB2312" w:hAnsi="宋体_GB2312" w:eastAsia="宋体_GB2312"/>
          <w:szCs w:val="24"/>
        </w:rPr>
        <w:t>环境要求</w:t>
      </w:r>
      <w:r>
        <w:tab/>
      </w:r>
      <w:r>
        <w:fldChar w:fldCharType="begin"/>
      </w:r>
      <w:r>
        <w:instrText xml:space="preserve"> PAGEREF _Toc3970 </w:instrText>
      </w:r>
      <w:r>
        <w:fldChar w:fldCharType="separate"/>
      </w:r>
      <w:r>
        <w:t>19</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_Toc15800 </w:instrText>
      </w:r>
      <w:r>
        <w:rPr>
          <w:rFonts w:ascii="宋体_GB2312" w:hAnsi="宋体_GB2312" w:eastAsia="宋体_GB2312"/>
          <w:bCs w:val="0"/>
          <w:szCs w:val="21"/>
          <w:lang w:val="zh-CN"/>
        </w:rPr>
        <w:fldChar w:fldCharType="separate"/>
      </w:r>
      <w:r>
        <w:rPr>
          <w:rFonts w:ascii="宋体_GB2312" w:hAnsi="宋体_GB2312" w:eastAsia="宋体_GB2312"/>
          <w:szCs w:val="24"/>
        </w:rPr>
        <w:t>3.2</w:t>
      </w:r>
      <w:r>
        <w:rPr>
          <w:rFonts w:hint="eastAsia" w:ascii="宋体_GB2312" w:hAnsi="宋体_GB2312" w:eastAsia="宋体_GB2312"/>
          <w:szCs w:val="24"/>
        </w:rPr>
        <w:t>材料与结构</w:t>
      </w:r>
      <w:r>
        <w:tab/>
      </w:r>
      <w:r>
        <w:fldChar w:fldCharType="begin"/>
      </w:r>
      <w:r>
        <w:instrText xml:space="preserve"> PAGEREF _Toc15800 </w:instrText>
      </w:r>
      <w:r>
        <w:fldChar w:fldCharType="separate"/>
      </w:r>
      <w:r>
        <w:t>19</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_Toc14373 </w:instrText>
      </w:r>
      <w:r>
        <w:rPr>
          <w:rFonts w:ascii="宋体_GB2312" w:hAnsi="宋体_GB2312" w:eastAsia="宋体_GB2312"/>
          <w:bCs w:val="0"/>
          <w:szCs w:val="21"/>
          <w:lang w:val="zh-CN"/>
        </w:rPr>
        <w:fldChar w:fldCharType="separate"/>
      </w:r>
      <w:r>
        <w:rPr>
          <w:rFonts w:ascii="宋体_GB2312" w:hAnsi="宋体_GB2312" w:eastAsia="宋体_GB2312"/>
        </w:rPr>
        <w:t>3.2.1</w:t>
      </w:r>
      <w:r>
        <w:rPr>
          <w:rFonts w:hint="eastAsia" w:ascii="宋体_GB2312" w:hAnsi="宋体_GB2312" w:eastAsia="宋体_GB2312"/>
        </w:rPr>
        <w:t>光缆</w:t>
      </w:r>
      <w:r>
        <w:tab/>
      </w:r>
      <w:r>
        <w:fldChar w:fldCharType="begin"/>
      </w:r>
      <w:r>
        <w:instrText xml:space="preserve"> PAGEREF _Toc14373 </w:instrText>
      </w:r>
      <w:r>
        <w:fldChar w:fldCharType="separate"/>
      </w:r>
      <w:r>
        <w:t>19</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_Toc18403 </w:instrText>
      </w:r>
      <w:r>
        <w:rPr>
          <w:rFonts w:ascii="宋体_GB2312" w:hAnsi="宋体_GB2312" w:eastAsia="宋体_GB2312"/>
          <w:bCs w:val="0"/>
          <w:szCs w:val="21"/>
          <w:lang w:val="zh-CN"/>
        </w:rPr>
        <w:fldChar w:fldCharType="separate"/>
      </w:r>
      <w:r>
        <w:rPr>
          <w:rFonts w:ascii="宋体_GB2312" w:hAnsi="宋体_GB2312" w:eastAsia="宋体_GB2312"/>
        </w:rPr>
        <w:t>3.2.2</w:t>
      </w:r>
      <w:r>
        <w:rPr>
          <w:rFonts w:hint="eastAsia" w:ascii="宋体_GB2312" w:hAnsi="宋体_GB2312" w:eastAsia="宋体_GB2312"/>
        </w:rPr>
        <w:t>连接器</w:t>
      </w:r>
      <w:r>
        <w:tab/>
      </w:r>
      <w:r>
        <w:fldChar w:fldCharType="begin"/>
      </w:r>
      <w:r>
        <w:instrText xml:space="preserve"> PAGEREF _Toc18403 </w:instrText>
      </w:r>
      <w:r>
        <w:fldChar w:fldCharType="separate"/>
      </w:r>
      <w:r>
        <w:t>20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_Toc12549 </w:instrText>
      </w:r>
      <w:r>
        <w:rPr>
          <w:rFonts w:ascii="宋体_GB2312" w:hAnsi="宋体_GB2312" w:eastAsia="宋体_GB2312"/>
          <w:bCs w:val="0"/>
          <w:szCs w:val="21"/>
          <w:lang w:val="zh-CN"/>
        </w:rPr>
        <w:fldChar w:fldCharType="separate"/>
      </w:r>
      <w:r>
        <w:rPr>
          <w:rFonts w:ascii="宋体_GB2312" w:hAnsi="宋体_GB2312" w:eastAsia="宋体_GB2312"/>
        </w:rPr>
        <w:t xml:space="preserve">3.2.3 </w:t>
      </w:r>
      <w:r>
        <w:rPr>
          <w:rFonts w:hint="eastAsia" w:ascii="宋体_GB2312" w:hAnsi="宋体_GB2312" w:eastAsia="宋体_GB2312"/>
        </w:rPr>
        <w:t>组件结构</w:t>
      </w:r>
      <w:r>
        <w:tab/>
      </w:r>
      <w:r>
        <w:fldChar w:fldCharType="begin"/>
      </w:r>
      <w:r>
        <w:instrText xml:space="preserve"> PAGEREF _Toc12549 </w:instrText>
      </w:r>
      <w:r>
        <w:fldChar w:fldCharType="separate"/>
      </w:r>
      <w:r>
        <w:t>20</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_Toc11324 </w:instrText>
      </w:r>
      <w:r>
        <w:rPr>
          <w:rFonts w:ascii="宋体_GB2312" w:hAnsi="宋体_GB2312" w:eastAsia="宋体_GB2312"/>
          <w:bCs w:val="0"/>
          <w:szCs w:val="21"/>
          <w:lang w:val="zh-CN"/>
        </w:rPr>
        <w:fldChar w:fldCharType="separate"/>
      </w:r>
      <w:r>
        <w:rPr>
          <w:rFonts w:ascii="宋体_GB2312" w:hAnsi="宋体_GB2312" w:eastAsia="宋体_GB2312"/>
          <w:szCs w:val="24"/>
        </w:rPr>
        <w:t>3.3</w:t>
      </w:r>
      <w:r>
        <w:rPr>
          <w:rFonts w:hint="eastAsia" w:ascii="宋体_GB2312" w:hAnsi="宋体_GB2312" w:eastAsia="宋体_GB2312"/>
          <w:szCs w:val="24"/>
        </w:rPr>
        <w:t>外观及尺寸</w:t>
      </w:r>
      <w:r>
        <w:tab/>
      </w:r>
      <w:r>
        <w:fldChar w:fldCharType="begin"/>
      </w:r>
      <w:r>
        <w:instrText xml:space="preserve"> PAGEREF _Toc11324 </w:instrText>
      </w:r>
      <w:r>
        <w:fldChar w:fldCharType="separate"/>
      </w:r>
      <w:r>
        <w:t>21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_Toc22453 </w:instrText>
      </w:r>
      <w:r>
        <w:rPr>
          <w:rFonts w:ascii="宋体_GB2312" w:hAnsi="宋体_GB2312" w:eastAsia="宋体_GB2312"/>
          <w:bCs w:val="0"/>
          <w:szCs w:val="21"/>
          <w:lang w:val="zh-CN"/>
        </w:rPr>
        <w:fldChar w:fldCharType="separate"/>
      </w:r>
      <w:r>
        <w:rPr>
          <w:rFonts w:ascii="宋体_GB2312" w:hAnsi="宋体_GB2312" w:eastAsia="宋体_GB2312"/>
        </w:rPr>
        <w:t>3.3.1光纤连接器</w:t>
      </w:r>
      <w:r>
        <w:rPr>
          <w:rFonts w:hint="eastAsia" w:ascii="宋体_GB2312" w:hAnsi="宋体_GB2312" w:eastAsia="宋体_GB2312"/>
        </w:rPr>
        <w:t>插头要求</w:t>
      </w:r>
      <w:r>
        <w:tab/>
      </w:r>
      <w:r>
        <w:fldChar w:fldCharType="begin"/>
      </w:r>
      <w:r>
        <w:instrText xml:space="preserve"> PAGEREF _Toc22453 </w:instrText>
      </w:r>
      <w:r>
        <w:fldChar w:fldCharType="separate"/>
      </w:r>
      <w:r>
        <w:t>21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_Toc31520 </w:instrText>
      </w:r>
      <w:r>
        <w:rPr>
          <w:rFonts w:ascii="宋体_GB2312" w:hAnsi="宋体_GB2312" w:eastAsia="宋体_GB2312"/>
          <w:bCs w:val="0"/>
          <w:szCs w:val="21"/>
          <w:lang w:val="zh-CN"/>
        </w:rPr>
        <w:fldChar w:fldCharType="separate"/>
      </w:r>
      <w:r>
        <w:rPr>
          <w:rFonts w:ascii="宋体_GB2312" w:hAnsi="宋体_GB2312" w:eastAsia="宋体_GB2312"/>
        </w:rPr>
        <w:t>3.3.2</w:t>
      </w:r>
      <w:r>
        <w:rPr>
          <w:rFonts w:hint="eastAsia" w:ascii="宋体_GB2312" w:hAnsi="宋体_GB2312" w:eastAsia="宋体_GB2312"/>
        </w:rPr>
        <w:t>蝶形光缆要求</w:t>
      </w:r>
      <w:r>
        <w:tab/>
      </w:r>
      <w:r>
        <w:fldChar w:fldCharType="begin"/>
      </w:r>
      <w:r>
        <w:instrText xml:space="preserve"> PAGEREF _Toc31520 </w:instrText>
      </w:r>
      <w:r>
        <w:fldChar w:fldCharType="separate"/>
      </w:r>
      <w:r>
        <w:t>22</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_Toc26569 </w:instrText>
      </w:r>
      <w:r>
        <w:rPr>
          <w:rFonts w:ascii="宋体_GB2312" w:hAnsi="宋体_GB2312" w:eastAsia="宋体_GB2312"/>
          <w:bCs w:val="0"/>
          <w:szCs w:val="21"/>
          <w:lang w:val="zh-CN"/>
        </w:rPr>
        <w:fldChar w:fldCharType="separate"/>
      </w:r>
      <w:r>
        <w:rPr>
          <w:rFonts w:ascii="宋体_GB2312" w:hAnsi="宋体_GB2312" w:eastAsia="宋体_GB2312"/>
        </w:rPr>
        <w:t>3.3.3</w:t>
      </w:r>
      <w:r>
        <w:rPr>
          <w:rFonts w:hint="eastAsia" w:ascii="宋体_GB2312" w:hAnsi="宋体_GB2312" w:eastAsia="宋体_GB2312"/>
        </w:rPr>
        <w:t>长度要求</w:t>
      </w:r>
      <w:r>
        <w:tab/>
      </w:r>
      <w:r>
        <w:fldChar w:fldCharType="begin"/>
      </w:r>
      <w:r>
        <w:instrText xml:space="preserve"> PAGEREF _Toc26569 </w:instrText>
      </w:r>
      <w:r>
        <w:fldChar w:fldCharType="separate"/>
      </w:r>
      <w:r>
        <w:t>22</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_Toc960 </w:instrText>
      </w:r>
      <w:r>
        <w:rPr>
          <w:rFonts w:ascii="宋体_GB2312" w:hAnsi="宋体_GB2312" w:eastAsia="宋体_GB2312"/>
          <w:bCs w:val="0"/>
          <w:szCs w:val="21"/>
          <w:lang w:val="zh-CN"/>
        </w:rPr>
        <w:fldChar w:fldCharType="separate"/>
      </w:r>
      <w:r>
        <w:rPr>
          <w:rFonts w:ascii="宋体_GB2312" w:hAnsi="宋体_GB2312" w:eastAsia="宋体_GB2312"/>
          <w:szCs w:val="24"/>
        </w:rPr>
        <w:t>3.4</w:t>
      </w:r>
      <w:r>
        <w:rPr>
          <w:rFonts w:hint="eastAsia" w:ascii="宋体_GB2312" w:hAnsi="宋体_GB2312" w:eastAsia="宋体_GB2312"/>
          <w:szCs w:val="24"/>
        </w:rPr>
        <w:t>材料要求</w:t>
      </w:r>
      <w:r>
        <w:tab/>
      </w:r>
      <w:r>
        <w:fldChar w:fldCharType="begin"/>
      </w:r>
      <w:r>
        <w:instrText xml:space="preserve"> PAGEREF _Toc960 </w:instrText>
      </w:r>
      <w:r>
        <w:fldChar w:fldCharType="separate"/>
      </w:r>
      <w:r>
        <w:t>22</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_Toc5620 </w:instrText>
      </w:r>
      <w:r>
        <w:rPr>
          <w:rFonts w:ascii="宋体_GB2312" w:hAnsi="宋体_GB2312" w:eastAsia="宋体_GB2312"/>
          <w:bCs w:val="0"/>
          <w:szCs w:val="21"/>
          <w:lang w:val="zh-CN"/>
        </w:rPr>
        <w:fldChar w:fldCharType="separate"/>
      </w:r>
      <w:r>
        <w:rPr>
          <w:rFonts w:ascii="宋体_GB2312" w:hAnsi="宋体_GB2312" w:eastAsia="宋体_GB2312"/>
          <w:szCs w:val="24"/>
        </w:rPr>
        <w:t>3.5</w:t>
      </w:r>
      <w:r>
        <w:rPr>
          <w:rFonts w:hint="eastAsia" w:ascii="宋体_GB2312" w:hAnsi="宋体_GB2312" w:eastAsia="宋体_GB2312"/>
          <w:szCs w:val="24"/>
        </w:rPr>
        <w:t>性能要求</w:t>
      </w:r>
      <w:r>
        <w:tab/>
      </w:r>
      <w:r>
        <w:fldChar w:fldCharType="begin"/>
      </w:r>
      <w:r>
        <w:instrText xml:space="preserve"> PAGEREF _Toc5620 </w:instrText>
      </w:r>
      <w:r>
        <w:fldChar w:fldCharType="separate"/>
      </w:r>
      <w:r>
        <w:t>22</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_Toc18749 </w:instrText>
      </w:r>
      <w:r>
        <w:rPr>
          <w:rFonts w:ascii="宋体_GB2312" w:hAnsi="宋体_GB2312" w:eastAsia="宋体_GB2312"/>
          <w:bCs w:val="0"/>
          <w:szCs w:val="21"/>
          <w:lang w:val="zh-CN"/>
        </w:rPr>
        <w:fldChar w:fldCharType="separate"/>
      </w:r>
      <w:r>
        <w:rPr>
          <w:rFonts w:hint="eastAsia" w:ascii="宋体_GB2312" w:hAnsi="宋体_GB2312" w:eastAsia="宋体_GB2312"/>
          <w:szCs w:val="24"/>
        </w:rPr>
        <w:t>★</w:t>
      </w:r>
      <w:r>
        <w:rPr>
          <w:rFonts w:ascii="宋体_GB2312" w:hAnsi="宋体_GB2312" w:eastAsia="宋体_GB2312"/>
        </w:rPr>
        <w:t>3.5.1</w:t>
      </w:r>
      <w:r>
        <w:rPr>
          <w:rFonts w:hint="eastAsia" w:ascii="宋体_GB2312" w:hAnsi="宋体_GB2312" w:eastAsia="宋体_GB2312"/>
        </w:rPr>
        <w:t>传输性能要求</w:t>
      </w:r>
      <w:r>
        <w:tab/>
      </w:r>
      <w:r>
        <w:fldChar w:fldCharType="begin"/>
      </w:r>
      <w:r>
        <w:instrText xml:space="preserve"> PAGEREF _Toc18749 </w:instrText>
      </w:r>
      <w:r>
        <w:fldChar w:fldCharType="separate"/>
      </w:r>
      <w:r>
        <w:t>22</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_Toc23845 </w:instrText>
      </w:r>
      <w:r>
        <w:rPr>
          <w:rFonts w:ascii="宋体_GB2312" w:hAnsi="宋体_GB2312" w:eastAsia="宋体_GB2312"/>
          <w:bCs w:val="0"/>
          <w:szCs w:val="21"/>
          <w:lang w:val="zh-CN"/>
        </w:rPr>
        <w:fldChar w:fldCharType="separate"/>
      </w:r>
      <w:r>
        <w:rPr>
          <w:rFonts w:ascii="宋体_GB2312" w:hAnsi="宋体_GB2312" w:eastAsia="宋体_GB2312"/>
        </w:rPr>
        <w:t>3.5.2</w:t>
      </w:r>
      <w:r>
        <w:rPr>
          <w:rFonts w:hint="eastAsia" w:ascii="宋体_GB2312" w:hAnsi="宋体_GB2312" w:eastAsia="宋体_GB2312"/>
        </w:rPr>
        <w:t>机械性能</w:t>
      </w:r>
      <w:r>
        <w:tab/>
      </w:r>
      <w:r>
        <w:fldChar w:fldCharType="begin"/>
      </w:r>
      <w:r>
        <w:instrText xml:space="preserve"> PAGEREF _Toc23845 </w:instrText>
      </w:r>
      <w:r>
        <w:fldChar w:fldCharType="separate"/>
      </w:r>
      <w:r>
        <w:t>23</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_Toc5587 </w:instrText>
      </w:r>
      <w:r>
        <w:rPr>
          <w:rFonts w:ascii="宋体_GB2312" w:hAnsi="宋体_GB2312" w:eastAsia="宋体_GB2312"/>
          <w:bCs w:val="0"/>
          <w:szCs w:val="21"/>
          <w:lang w:val="zh-CN"/>
        </w:rPr>
        <w:fldChar w:fldCharType="separate"/>
      </w:r>
      <w:r>
        <w:rPr>
          <w:rFonts w:ascii="宋体_GB2312" w:hAnsi="宋体_GB2312" w:eastAsia="宋体_GB2312"/>
        </w:rPr>
        <w:t>3.5.3</w:t>
      </w:r>
      <w:r>
        <w:rPr>
          <w:rFonts w:hint="eastAsia" w:ascii="宋体_GB2312" w:hAnsi="宋体_GB2312" w:eastAsia="宋体_GB2312"/>
        </w:rPr>
        <w:t>环境性能</w:t>
      </w:r>
      <w:r>
        <w:tab/>
      </w:r>
      <w:r>
        <w:fldChar w:fldCharType="begin"/>
      </w:r>
      <w:r>
        <w:instrText xml:space="preserve"> PAGEREF _Toc5587 </w:instrText>
      </w:r>
      <w:r>
        <w:fldChar w:fldCharType="separate"/>
      </w:r>
      <w:r>
        <w:t>24</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_Toc21897 </w:instrText>
      </w:r>
      <w:r>
        <w:rPr>
          <w:rFonts w:ascii="宋体_GB2312" w:hAnsi="宋体_GB2312" w:eastAsia="宋体_GB2312"/>
          <w:bCs w:val="0"/>
          <w:szCs w:val="21"/>
          <w:lang w:val="zh-CN"/>
        </w:rPr>
        <w:fldChar w:fldCharType="separate"/>
      </w:r>
      <w:r>
        <w:rPr>
          <w:rFonts w:ascii="宋体_GB2312" w:hAnsi="宋体_GB2312" w:eastAsia="宋体_GB2312"/>
        </w:rPr>
        <w:t xml:space="preserve">3.5.4 </w:t>
      </w:r>
      <w:r>
        <w:rPr>
          <w:rFonts w:hint="eastAsia" w:ascii="宋体_GB2312" w:hAnsi="宋体_GB2312" w:eastAsia="宋体_GB2312"/>
        </w:rPr>
        <w:t>阻燃性能</w:t>
      </w:r>
      <w:r>
        <w:tab/>
      </w:r>
      <w:r>
        <w:fldChar w:fldCharType="begin"/>
      </w:r>
      <w:r>
        <w:instrText xml:space="preserve"> PAGEREF _Toc21897 </w:instrText>
      </w:r>
      <w:r>
        <w:fldChar w:fldCharType="separate"/>
      </w:r>
      <w:r>
        <w:t>25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_Toc17493 </w:instrText>
      </w:r>
      <w:r>
        <w:rPr>
          <w:rFonts w:ascii="宋体_GB2312" w:hAnsi="宋体_GB2312" w:eastAsia="宋体_GB2312"/>
          <w:bCs w:val="0"/>
          <w:szCs w:val="21"/>
          <w:lang w:val="zh-CN"/>
        </w:rPr>
        <w:fldChar w:fldCharType="separate"/>
      </w:r>
      <w:r>
        <w:rPr>
          <w:rFonts w:ascii="宋体_GB2312" w:hAnsi="宋体_GB2312" w:eastAsia="宋体_GB2312"/>
        </w:rPr>
        <w:t xml:space="preserve">3.5.5 </w:t>
      </w:r>
      <w:r>
        <w:rPr>
          <w:rFonts w:hint="eastAsia" w:ascii="宋体_GB2312" w:hAnsi="宋体_GB2312" w:eastAsia="宋体_GB2312"/>
          <w:lang w:eastAsia="zh-CN"/>
        </w:rPr>
        <w:t>环保</w:t>
      </w:r>
      <w:r>
        <w:rPr>
          <w:rFonts w:hint="eastAsia" w:ascii="宋体_GB2312" w:hAnsi="宋体_GB2312" w:eastAsia="宋体_GB2312"/>
        </w:rPr>
        <w:t>性能</w:t>
      </w:r>
      <w:r>
        <w:tab/>
      </w:r>
      <w:r>
        <w:fldChar w:fldCharType="begin"/>
      </w:r>
      <w:r>
        <w:instrText xml:space="preserve"> PAGEREF _Toc17493 </w:instrText>
      </w:r>
      <w:r>
        <w:fldChar w:fldCharType="separate"/>
      </w:r>
      <w:r>
        <w:t>25</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_Toc27801 </w:instrText>
      </w:r>
      <w:r>
        <w:rPr>
          <w:rFonts w:ascii="宋体_GB2312" w:hAnsi="宋体_GB2312" w:eastAsia="宋体_GB2312"/>
          <w:bCs w:val="0"/>
          <w:szCs w:val="21"/>
          <w:lang w:val="zh-CN"/>
        </w:rPr>
        <w:fldChar w:fldCharType="separate"/>
      </w:r>
      <w:r>
        <w:rPr>
          <w:rFonts w:ascii="宋体_GB2312" w:hAnsi="宋体_GB2312" w:eastAsia="宋体_GB2312"/>
          <w:szCs w:val="24"/>
        </w:rPr>
        <w:t>3.6</w:t>
      </w:r>
      <w:r>
        <w:rPr>
          <w:rFonts w:hint="eastAsia" w:ascii="宋体_GB2312" w:hAnsi="宋体_GB2312" w:eastAsia="宋体_GB2312"/>
          <w:szCs w:val="24"/>
        </w:rPr>
        <w:t>试验方法</w:t>
      </w:r>
      <w:r>
        <w:tab/>
      </w:r>
      <w:r>
        <w:fldChar w:fldCharType="begin"/>
      </w:r>
      <w:r>
        <w:instrText xml:space="preserve"> PAGEREF _Toc27801 </w:instrText>
      </w:r>
      <w:r>
        <w:fldChar w:fldCharType="separate"/>
      </w:r>
      <w:r>
        <w:t>25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_Toc23168 </w:instrText>
      </w:r>
      <w:r>
        <w:rPr>
          <w:rFonts w:ascii="宋体_GB2312" w:hAnsi="宋体_GB2312" w:eastAsia="宋体_GB2312"/>
          <w:bCs w:val="0"/>
          <w:szCs w:val="21"/>
          <w:lang w:val="zh-CN"/>
        </w:rPr>
        <w:fldChar w:fldCharType="separate"/>
      </w:r>
      <w:r>
        <w:rPr>
          <w:rFonts w:ascii="宋体_GB2312" w:hAnsi="宋体_GB2312" w:eastAsia="宋体_GB2312"/>
        </w:rPr>
        <w:t>3.6.1</w:t>
      </w:r>
      <w:r>
        <w:rPr>
          <w:rFonts w:hint="eastAsia" w:ascii="宋体_GB2312" w:hAnsi="宋体_GB2312" w:eastAsia="宋体_GB2312"/>
        </w:rPr>
        <w:t>试验的环境条件</w:t>
      </w:r>
      <w:r>
        <w:tab/>
      </w:r>
      <w:r>
        <w:fldChar w:fldCharType="begin"/>
      </w:r>
      <w:r>
        <w:instrText xml:space="preserve"> PAGEREF _Toc23168 </w:instrText>
      </w:r>
      <w:r>
        <w:fldChar w:fldCharType="separate"/>
      </w:r>
      <w:r>
        <w:t>25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_Toc20128 </w:instrText>
      </w:r>
      <w:r>
        <w:rPr>
          <w:rFonts w:ascii="宋体_GB2312" w:hAnsi="宋体_GB2312" w:eastAsia="宋体_GB2312"/>
          <w:bCs w:val="0"/>
          <w:szCs w:val="21"/>
          <w:lang w:val="zh-CN"/>
        </w:rPr>
        <w:fldChar w:fldCharType="separate"/>
      </w:r>
      <w:r>
        <w:rPr>
          <w:rFonts w:ascii="宋体_GB2312" w:hAnsi="宋体_GB2312" w:eastAsia="宋体_GB2312"/>
        </w:rPr>
        <w:t>3.6.2</w:t>
      </w:r>
      <w:r>
        <w:rPr>
          <w:rFonts w:hint="eastAsia" w:ascii="宋体_GB2312" w:hAnsi="宋体_GB2312" w:eastAsia="宋体_GB2312"/>
        </w:rPr>
        <w:t>外观及尺寸</w:t>
      </w:r>
      <w:r>
        <w:tab/>
      </w:r>
      <w:r>
        <w:fldChar w:fldCharType="begin"/>
      </w:r>
      <w:r>
        <w:instrText xml:space="preserve"> PAGEREF _Toc20128 </w:instrText>
      </w:r>
      <w:r>
        <w:fldChar w:fldCharType="separate"/>
      </w:r>
      <w:r>
        <w:t>26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_Toc8946 </w:instrText>
      </w:r>
      <w:r>
        <w:rPr>
          <w:rFonts w:ascii="宋体_GB2312" w:hAnsi="宋体_GB2312" w:eastAsia="宋体_GB2312"/>
          <w:bCs w:val="0"/>
          <w:szCs w:val="21"/>
          <w:lang w:val="zh-CN"/>
        </w:rPr>
        <w:fldChar w:fldCharType="separate"/>
      </w:r>
      <w:r>
        <w:rPr>
          <w:rFonts w:ascii="宋体_GB2312" w:hAnsi="宋体_GB2312" w:eastAsia="宋体_GB2312"/>
        </w:rPr>
        <w:t>3.6.3</w:t>
      </w:r>
      <w:r>
        <w:rPr>
          <w:rFonts w:hint="eastAsia" w:ascii="宋体_GB2312" w:hAnsi="宋体_GB2312" w:eastAsia="宋体_GB2312"/>
        </w:rPr>
        <w:t>长度</w:t>
      </w:r>
      <w:r>
        <w:tab/>
      </w:r>
      <w:r>
        <w:fldChar w:fldCharType="begin"/>
      </w:r>
      <w:r>
        <w:instrText xml:space="preserve"> PAGEREF _Toc8946 </w:instrText>
      </w:r>
      <w:r>
        <w:fldChar w:fldCharType="separate"/>
      </w:r>
      <w:r>
        <w:t>26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_Toc5464 </w:instrText>
      </w:r>
      <w:r>
        <w:rPr>
          <w:rFonts w:ascii="宋体_GB2312" w:hAnsi="宋体_GB2312" w:eastAsia="宋体_GB2312"/>
          <w:bCs w:val="0"/>
          <w:szCs w:val="21"/>
          <w:lang w:val="zh-CN"/>
        </w:rPr>
        <w:fldChar w:fldCharType="separate"/>
      </w:r>
      <w:r>
        <w:rPr>
          <w:rFonts w:ascii="宋体_GB2312" w:hAnsi="宋体_GB2312" w:eastAsia="宋体_GB2312"/>
        </w:rPr>
        <w:t>3.6.4</w:t>
      </w:r>
      <w:r>
        <w:rPr>
          <w:rFonts w:hint="eastAsia" w:ascii="宋体_GB2312" w:hAnsi="宋体_GB2312" w:eastAsia="宋体_GB2312"/>
        </w:rPr>
        <w:t>传输性能</w:t>
      </w:r>
      <w:r>
        <w:tab/>
      </w:r>
      <w:r>
        <w:fldChar w:fldCharType="begin"/>
      </w:r>
      <w:r>
        <w:instrText xml:space="preserve"> PAGEREF _Toc5464 </w:instrText>
      </w:r>
      <w:r>
        <w:fldChar w:fldCharType="separate"/>
      </w:r>
      <w:r>
        <w:t>26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_Toc11206 </w:instrText>
      </w:r>
      <w:r>
        <w:rPr>
          <w:rFonts w:ascii="宋体_GB2312" w:hAnsi="宋体_GB2312" w:eastAsia="宋体_GB2312"/>
          <w:bCs w:val="0"/>
          <w:szCs w:val="21"/>
          <w:lang w:val="zh-CN"/>
        </w:rPr>
        <w:fldChar w:fldCharType="separate"/>
      </w:r>
      <w:r>
        <w:rPr>
          <w:rFonts w:ascii="宋体_GB2312" w:hAnsi="宋体_GB2312" w:eastAsia="宋体_GB2312"/>
        </w:rPr>
        <w:t>3.6.5</w:t>
      </w:r>
      <w:r>
        <w:rPr>
          <w:rFonts w:hint="eastAsia" w:ascii="宋体_GB2312" w:hAnsi="宋体_GB2312" w:eastAsia="宋体_GB2312"/>
          <w:lang w:eastAsia="zh-CN"/>
        </w:rPr>
        <w:t>机械</w:t>
      </w:r>
      <w:r>
        <w:rPr>
          <w:rFonts w:hint="eastAsia" w:ascii="宋体_GB2312" w:hAnsi="宋体_GB2312" w:eastAsia="宋体_GB2312"/>
        </w:rPr>
        <w:t>性能</w:t>
      </w:r>
      <w:r>
        <w:tab/>
      </w:r>
      <w:r>
        <w:fldChar w:fldCharType="begin"/>
      </w:r>
      <w:r>
        <w:instrText xml:space="preserve"> PAGEREF _Toc11206 </w:instrText>
      </w:r>
      <w:r>
        <w:fldChar w:fldCharType="separate"/>
      </w:r>
      <w:r>
        <w:t>28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_Toc11408 </w:instrText>
      </w:r>
      <w:r>
        <w:rPr>
          <w:rFonts w:ascii="宋体_GB2312" w:hAnsi="宋体_GB2312" w:eastAsia="宋体_GB2312"/>
          <w:bCs w:val="0"/>
          <w:szCs w:val="21"/>
          <w:lang w:val="zh-CN"/>
        </w:rPr>
        <w:fldChar w:fldCharType="separate"/>
      </w:r>
      <w:r>
        <w:rPr>
          <w:rFonts w:ascii="宋体_GB2312" w:hAnsi="宋体_GB2312" w:eastAsia="宋体_GB2312"/>
        </w:rPr>
        <w:t>3.6.6</w:t>
      </w:r>
      <w:r>
        <w:rPr>
          <w:rFonts w:hint="eastAsia" w:ascii="宋体_GB2312" w:hAnsi="宋体_GB2312" w:eastAsia="宋体_GB2312"/>
        </w:rPr>
        <w:t>环境性能</w:t>
      </w:r>
      <w:r>
        <w:tab/>
      </w:r>
      <w:r>
        <w:fldChar w:fldCharType="begin"/>
      </w:r>
      <w:r>
        <w:instrText xml:space="preserve"> PAGEREF _Toc11408 </w:instrText>
      </w:r>
      <w:r>
        <w:fldChar w:fldCharType="separate"/>
      </w:r>
      <w:r>
        <w:t>34</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_Toc30499 </w:instrText>
      </w:r>
      <w:r>
        <w:rPr>
          <w:rFonts w:ascii="宋体_GB2312" w:hAnsi="宋体_GB2312" w:eastAsia="宋体_GB2312"/>
          <w:bCs w:val="0"/>
          <w:szCs w:val="21"/>
          <w:lang w:val="zh-CN"/>
        </w:rPr>
        <w:fldChar w:fldCharType="separate"/>
      </w:r>
      <w:r>
        <w:rPr>
          <w:rFonts w:ascii="宋体_GB2312" w:hAnsi="宋体_GB2312" w:eastAsia="宋体_GB2312"/>
          <w:lang w:eastAsia="zh-CN"/>
        </w:rPr>
        <w:t>3.6.7</w:t>
      </w:r>
      <w:r>
        <w:rPr>
          <w:rFonts w:hint="eastAsia" w:ascii="宋体_GB2312" w:hAnsi="宋体_GB2312" w:eastAsia="宋体_GB2312"/>
        </w:rPr>
        <w:t>阻燃性能</w:t>
      </w:r>
      <w:r>
        <w:tab/>
      </w:r>
      <w:r>
        <w:fldChar w:fldCharType="begin"/>
      </w:r>
      <w:r>
        <w:instrText xml:space="preserve"> PAGEREF _Toc30499 </w:instrText>
      </w:r>
      <w:r>
        <w:fldChar w:fldCharType="separate"/>
      </w:r>
      <w:r>
        <w:t>37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_Toc9475 </w:instrText>
      </w:r>
      <w:r>
        <w:rPr>
          <w:rFonts w:ascii="宋体_GB2312" w:hAnsi="宋体_GB2312" w:eastAsia="宋体_GB2312"/>
          <w:bCs w:val="0"/>
          <w:szCs w:val="21"/>
          <w:lang w:val="zh-CN"/>
        </w:rPr>
        <w:fldChar w:fldCharType="separate"/>
      </w:r>
      <w:r>
        <w:rPr>
          <w:rFonts w:ascii="宋体_GB2312" w:hAnsi="宋体_GB2312" w:eastAsia="宋体_GB2312"/>
          <w:lang w:eastAsia="zh-CN"/>
        </w:rPr>
        <w:t>3.6.8</w:t>
      </w:r>
      <w:r>
        <w:rPr>
          <w:rFonts w:hint="eastAsia" w:ascii="宋体_GB2312" w:hAnsi="宋体_GB2312" w:eastAsia="宋体_GB2312"/>
        </w:rPr>
        <w:t>环保性能</w:t>
      </w:r>
      <w:r>
        <w:tab/>
      </w:r>
      <w:r>
        <w:fldChar w:fldCharType="begin"/>
      </w:r>
      <w:r>
        <w:instrText xml:space="preserve"> PAGEREF _Toc9475 </w:instrText>
      </w:r>
      <w:r>
        <w:fldChar w:fldCharType="separate"/>
      </w:r>
      <w:r>
        <w:t>37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_Toc21832 </w:instrText>
      </w:r>
      <w:r>
        <w:rPr>
          <w:rFonts w:ascii="宋体_GB2312" w:hAnsi="宋体_GB2312" w:eastAsia="宋体_GB2312"/>
          <w:bCs w:val="0"/>
          <w:szCs w:val="21"/>
          <w:lang w:val="zh-CN"/>
        </w:rPr>
        <w:fldChar w:fldCharType="separate"/>
      </w:r>
      <w:r>
        <w:rPr>
          <w:rFonts w:ascii="宋体_GB2312" w:hAnsi="宋体_GB2312" w:eastAsia="宋体_GB2312"/>
          <w:lang w:eastAsia="zh-CN"/>
        </w:rPr>
        <w:t>3.6.9</w:t>
      </w:r>
      <w:r>
        <w:rPr>
          <w:rFonts w:hint="eastAsia" w:ascii="宋体_GB2312" w:hAnsi="宋体_GB2312" w:eastAsia="宋体_GB2312"/>
        </w:rPr>
        <w:t>光缆计米误差</w:t>
      </w:r>
      <w:r>
        <w:tab/>
      </w:r>
      <w:r>
        <w:fldChar w:fldCharType="begin"/>
      </w:r>
      <w:r>
        <w:instrText xml:space="preserve"> PAGEREF _Toc21832 </w:instrText>
      </w:r>
      <w:r>
        <w:fldChar w:fldCharType="separate"/>
      </w:r>
      <w:r>
        <w:t>37</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_Toc11963 </w:instrText>
      </w:r>
      <w:r>
        <w:rPr>
          <w:rFonts w:ascii="宋体_GB2312" w:hAnsi="宋体_GB2312" w:eastAsia="宋体_GB2312"/>
          <w:bCs w:val="0"/>
          <w:szCs w:val="21"/>
          <w:lang w:val="zh-CN"/>
        </w:rPr>
        <w:fldChar w:fldCharType="separate"/>
      </w:r>
      <w:r>
        <w:rPr>
          <w:rFonts w:ascii="宋体_GB2312" w:hAnsi="宋体_GB2312" w:eastAsia="宋体_GB2312"/>
          <w:szCs w:val="24"/>
        </w:rPr>
        <w:t>3.7 其它</w:t>
      </w:r>
      <w:r>
        <w:rPr>
          <w:rFonts w:hint="eastAsia" w:ascii="宋体_GB2312" w:hAnsi="宋体_GB2312" w:eastAsia="宋体_GB2312"/>
          <w:szCs w:val="24"/>
        </w:rPr>
        <w:t>性能和要求</w:t>
      </w:r>
      <w:r>
        <w:tab/>
      </w:r>
      <w:r>
        <w:fldChar w:fldCharType="begin"/>
      </w:r>
      <w:r>
        <w:instrText xml:space="preserve"> PAGEREF _Toc11963 </w:instrText>
      </w:r>
      <w:r>
        <w:fldChar w:fldCharType="separate"/>
      </w:r>
      <w:r>
        <w:t>37</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_Toc23503 </w:instrText>
      </w:r>
      <w:r>
        <w:rPr>
          <w:rFonts w:ascii="宋体_GB2312" w:hAnsi="宋体_GB2312" w:eastAsia="宋体_GB2312"/>
          <w:bCs w:val="0"/>
          <w:szCs w:val="21"/>
          <w:lang w:val="zh-CN"/>
        </w:rPr>
        <w:fldChar w:fldCharType="separate"/>
      </w:r>
      <w:r>
        <w:rPr>
          <w:rFonts w:ascii="宋体_GB2312" w:hAnsi="宋体_GB2312" w:eastAsia="宋体_GB2312"/>
          <w:szCs w:val="24"/>
        </w:rPr>
        <w:t>3.8</w:t>
      </w:r>
      <w:r>
        <w:rPr>
          <w:rFonts w:hint="eastAsia" w:ascii="宋体_GB2312" w:hAnsi="宋体_GB2312" w:eastAsia="宋体_GB2312"/>
          <w:szCs w:val="24"/>
        </w:rPr>
        <w:t>标识、包装、运输和贮存</w:t>
      </w:r>
      <w:r>
        <w:tab/>
      </w:r>
      <w:r>
        <w:fldChar w:fldCharType="begin"/>
      </w:r>
      <w:r>
        <w:instrText xml:space="preserve"> PAGEREF _Toc23503 </w:instrText>
      </w:r>
      <w:r>
        <w:fldChar w:fldCharType="separate"/>
      </w:r>
      <w:r>
        <w:t>38</w:t>
      </w:r>
      <w:r>
        <w:fldChar w:fldCharType="end"/>
      </w:r>
      <w:r>
        <w:rPr>
          <w:rFonts w:ascii="宋体_GB2312" w:hAnsi="宋体_GB2312" w:eastAsia="宋体_GB2312"/>
          <w:bCs w:val="0"/>
          <w:szCs w:val="21"/>
          <w:lang w:val="zh-CN"/>
        </w:rPr>
        <w:fldChar w:fldCharType="end"/>
      </w:r>
    </w:p>
    <w:p>
      <w:pPr>
        <w:pStyle w:val="2"/>
        <w:spacing w:before="0" w:after="0" w:line="276" w:lineRule="auto"/>
        <w:rPr>
          <w:rFonts w:ascii="宋体_GB2312" w:hAnsi="宋体_GB2312" w:eastAsia="宋体_GB2312"/>
          <w:sz w:val="24"/>
          <w:szCs w:val="24"/>
        </w:rPr>
      </w:pPr>
      <w:r>
        <w:rPr>
          <w:rFonts w:ascii="宋体_GB2312" w:hAnsi="宋体_GB2312" w:eastAsia="宋体_GB2312"/>
          <w:bCs w:val="0"/>
          <w:szCs w:val="21"/>
          <w:lang w:val="zh-CN"/>
        </w:rPr>
        <w:fldChar w:fldCharType="end"/>
      </w:r>
      <w:bookmarkStart w:id="2" w:name="_Toc11209"/>
      <w:r>
        <w:rPr>
          <w:rFonts w:ascii="宋体_GB2312" w:hAnsi="宋体_GB2312" w:eastAsia="宋体_GB2312"/>
          <w:sz w:val="24"/>
          <w:szCs w:val="24"/>
        </w:rPr>
        <w:br w:type="page"/>
      </w:r>
      <w:bookmarkStart w:id="3" w:name="_Toc54084385"/>
      <w:bookmarkStart w:id="4" w:name="_Toc189707228"/>
      <w:r>
        <w:rPr>
          <w:rFonts w:ascii="宋体_GB2312" w:hAnsi="宋体_GB2312" w:eastAsia="宋体_GB2312"/>
          <w:sz w:val="24"/>
          <w:szCs w:val="24"/>
        </w:rPr>
        <w:t xml:space="preserve">1 </w:t>
      </w:r>
      <w:r>
        <w:rPr>
          <w:rFonts w:hint="eastAsia" w:ascii="宋体_GB2312" w:hAnsi="宋体_GB2312" w:eastAsia="宋体_GB2312"/>
          <w:sz w:val="24"/>
          <w:szCs w:val="24"/>
        </w:rPr>
        <w:t>概述</w:t>
      </w:r>
      <w:bookmarkEnd w:id="2"/>
      <w:bookmarkEnd w:id="3"/>
      <w:bookmarkEnd w:id="4"/>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1.1</w:t>
      </w:r>
      <w:r>
        <w:rPr>
          <w:rFonts w:hint="eastAsia" w:ascii="宋体_GB2312" w:hAnsi="宋体_GB2312" w:eastAsia="宋体_GB2312"/>
          <w:sz w:val="24"/>
          <w:szCs w:val="24"/>
        </w:rPr>
        <w:t>本文件为中国联通蝶形光缆、预成端蝶形光缆技术规范书（2020版），同时</w:t>
      </w:r>
      <w:r>
        <w:rPr>
          <w:rFonts w:ascii="宋体_GB2312" w:hAnsi="宋体_GB2312" w:eastAsia="宋体_GB2312"/>
          <w:sz w:val="24"/>
          <w:szCs w:val="24"/>
        </w:rPr>
        <w:t>作为</w:t>
      </w:r>
      <w:r>
        <w:rPr>
          <w:rFonts w:hint="eastAsia" w:ascii="宋体_GB2312" w:hAnsi="宋体_GB2312" w:eastAsia="宋体_GB2312"/>
          <w:sz w:val="24"/>
          <w:szCs w:val="24"/>
        </w:rPr>
        <w:t>中国联合网络通信有限公司及其所属企业（以下简称“中国联通”或“招标人”）进行网络业务功能及供货、安装、调测、验收的要求。本次招标的产品为室内型、室外架空型、室外管道型蝶形光缆和预成端蝶形光缆。</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1.2</w:t>
      </w:r>
      <w:r>
        <w:rPr>
          <w:rFonts w:hint="eastAsia" w:ascii="宋体_GB2312" w:hAnsi="宋体_GB2312" w:eastAsia="宋体_GB2312"/>
          <w:sz w:val="24"/>
          <w:szCs w:val="24"/>
        </w:rPr>
        <w:t>本技术规范书未规定的其它技术要求应不劣于ＩＴＵ—Ｔ、ＩＥＣ建议和中国国家标准、通信行业标准、</w:t>
      </w:r>
      <w:r>
        <w:rPr>
          <w:rFonts w:ascii="宋体_GB2312" w:hAnsi="宋体_GB2312" w:eastAsia="宋体_GB2312"/>
          <w:sz w:val="24"/>
          <w:szCs w:val="24"/>
        </w:rPr>
        <w:t>中国联通企业标准</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1.3</w:t>
      </w:r>
      <w:r>
        <w:rPr>
          <w:rFonts w:hint="eastAsia" w:ascii="宋体_GB2312" w:hAnsi="宋体_GB2312" w:eastAsia="宋体_GB2312"/>
          <w:sz w:val="24"/>
          <w:szCs w:val="24"/>
        </w:rPr>
        <w:t>本技术</w:t>
      </w:r>
      <w:r>
        <w:rPr>
          <w:rFonts w:hint="eastAsia" w:ascii="宋体_GB2312" w:hAnsi="宋体_GB2312" w:eastAsia="宋体_GB2312"/>
          <w:sz w:val="24"/>
          <w:lang w:val="en-GB"/>
        </w:rPr>
        <w:t>规范</w:t>
      </w:r>
      <w:r>
        <w:rPr>
          <w:rFonts w:hint="eastAsia" w:ascii="宋体_GB2312" w:hAnsi="宋体_GB2312" w:eastAsia="宋体_GB2312"/>
          <w:sz w:val="24"/>
          <w:szCs w:val="24"/>
        </w:rPr>
        <w:t>书未标明日期的ＩＴＵ—Ｔ、ＩＥＣ建议和中国国家标准、通信行业标准均使用最新版本（截至招标日）。</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1.4</w:t>
      </w:r>
      <w:r>
        <w:rPr>
          <w:rFonts w:hint="eastAsia" w:ascii="宋体_GB2312" w:hAnsi="宋体_GB2312" w:eastAsia="宋体_GB2312"/>
          <w:sz w:val="24"/>
          <w:szCs w:val="24"/>
        </w:rPr>
        <w:t>投标人的产品支持的功能应为产品已实现的功能，不包括有能力支持但尚未实现的、近期将要实现的、未来计划实现的功能。</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1.5</w:t>
      </w:r>
      <w:r>
        <w:rPr>
          <w:rFonts w:hint="eastAsia" w:ascii="宋体_GB2312" w:hAnsi="宋体_GB2312" w:eastAsia="宋体_GB2312"/>
          <w:sz w:val="24"/>
          <w:szCs w:val="24"/>
        </w:rPr>
        <w:t>光纤光缆使用寿命应≧</w:t>
      </w:r>
      <w:r>
        <w:rPr>
          <w:rFonts w:ascii="宋体_GB2312" w:hAnsi="宋体_GB2312" w:eastAsia="宋体_GB2312"/>
          <w:sz w:val="24"/>
          <w:szCs w:val="24"/>
        </w:rPr>
        <w:t>25年</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bookmarkStart w:id="5" w:name="_Toc149571695"/>
      <w:bookmarkStart w:id="6" w:name="_Toc220049502"/>
      <w:bookmarkStart w:id="7" w:name="_Toc234331303"/>
      <w:r>
        <w:rPr>
          <w:rFonts w:ascii="宋体_GB2312" w:hAnsi="宋体_GB2312" w:eastAsia="宋体_GB2312"/>
          <w:sz w:val="24"/>
          <w:szCs w:val="24"/>
        </w:rPr>
        <w:t>1.6</w:t>
      </w:r>
      <w:r>
        <w:rPr>
          <w:rFonts w:hint="eastAsia" w:ascii="宋体_GB2312" w:hAnsi="宋体_GB2312" w:eastAsia="宋体_GB2312"/>
          <w:sz w:val="24"/>
          <w:szCs w:val="24"/>
        </w:rPr>
        <w:t>投标人原材料保证</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投标人应保证本招标产品全部采用全新合格材料生产。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投标人</w:t>
      </w:r>
      <w:r>
        <w:rPr>
          <w:rFonts w:hint="eastAsia" w:ascii="宋体_GB2312" w:hAnsi="宋体_GB2312" w:eastAsia="宋体_GB2312"/>
          <w:sz w:val="24"/>
          <w:lang w:val="en-GB"/>
        </w:rPr>
        <w:t>应</w:t>
      </w:r>
      <w:r>
        <w:rPr>
          <w:rFonts w:hint="eastAsia" w:ascii="宋体_GB2312" w:hAnsi="宋体_GB2312" w:eastAsia="宋体_GB2312"/>
          <w:sz w:val="24"/>
          <w:szCs w:val="24"/>
        </w:rPr>
        <w:t>保证不采用任何再生料、利旧料、废弃料、回收料、次品料等非全新合格材料来进行本招标产品的生产。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投标人</w:t>
      </w:r>
      <w:r>
        <w:rPr>
          <w:rFonts w:hint="eastAsia" w:ascii="宋体_GB2312" w:hAnsi="宋体_GB2312" w:eastAsia="宋体_GB2312"/>
          <w:sz w:val="24"/>
          <w:lang w:val="en-GB"/>
        </w:rPr>
        <w:t>应</w:t>
      </w:r>
      <w:r>
        <w:rPr>
          <w:rFonts w:hint="eastAsia" w:ascii="宋体_GB2312" w:hAnsi="宋体_GB2312" w:eastAsia="宋体_GB2312"/>
          <w:sz w:val="24"/>
          <w:szCs w:val="24"/>
        </w:rPr>
        <w:t>保证不采用和本招标产品无关的半成品材料来生产本招标产品。</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1.7</w:t>
      </w:r>
      <w:r>
        <w:rPr>
          <w:rFonts w:hint="eastAsia" w:ascii="宋体_GB2312" w:hAnsi="宋体_GB2312" w:eastAsia="宋体_GB2312"/>
          <w:sz w:val="24"/>
          <w:szCs w:val="24"/>
        </w:rPr>
        <w:t>投标人应对</w:t>
      </w:r>
      <w:r>
        <w:rPr>
          <w:rFonts w:hint="eastAsia" w:ascii="宋体_GB2312" w:hAnsi="宋体_GB2312" w:eastAsia="宋体_GB2312"/>
          <w:sz w:val="24"/>
          <w:lang w:val="en-GB"/>
        </w:rPr>
        <w:t>光纤</w:t>
      </w:r>
      <w:r>
        <w:rPr>
          <w:rFonts w:hint="eastAsia" w:ascii="宋体_GB2312" w:hAnsi="宋体_GB2312" w:eastAsia="宋体_GB2312"/>
          <w:sz w:val="24"/>
          <w:szCs w:val="24"/>
        </w:rPr>
        <w:t>提供者送达投标人的所有到货光纤进行质量检测并确认其符合招标人的技术要求。如果光纤质量缺陷导致光缆不合格，光缆的投标人须承担质量责任。</w:t>
      </w:r>
    </w:p>
    <w:p>
      <w:pPr>
        <w:spacing w:before="120" w:beforeLines="50" w:line="300" w:lineRule="auto"/>
        <w:ind w:firstLine="480" w:firstLineChars="200"/>
        <w:rPr>
          <w:rFonts w:hint="eastAsia" w:ascii="宋体_GB2312" w:hAnsi="宋体_GB2312" w:eastAsia="宋体_GB2312"/>
          <w:color w:val="auto"/>
          <w:sz w:val="24"/>
          <w:szCs w:val="22"/>
          <w:highlight w:val="none"/>
        </w:rPr>
      </w:pPr>
      <w:r>
        <w:rPr>
          <w:rFonts w:ascii="宋体_GB2312" w:hAnsi="宋体_GB2312" w:eastAsia="宋体_GB2312"/>
          <w:color w:val="auto"/>
          <w:sz w:val="24"/>
          <w:szCs w:val="22"/>
          <w:highlight w:val="none"/>
        </w:rPr>
        <w:t>1.8</w:t>
      </w:r>
      <w:r>
        <w:rPr>
          <w:rFonts w:hint="eastAsia" w:ascii="宋体_GB2312" w:hAnsi="宋体_GB2312" w:eastAsia="宋体_GB2312"/>
          <w:color w:val="auto"/>
          <w:sz w:val="24"/>
          <w:szCs w:val="22"/>
          <w:highlight w:val="none"/>
        </w:rPr>
        <w:t>加注</w:t>
      </w:r>
      <w:r>
        <w:rPr>
          <w:rFonts w:hint="eastAsia" w:ascii="宋体_GB2312" w:hAnsi="宋体_GB2312" w:eastAsia="宋体_GB2312"/>
          <w:b/>
          <w:color w:val="FF0000"/>
          <w:sz w:val="24"/>
          <w:szCs w:val="22"/>
          <w:highlight w:val="none"/>
        </w:rPr>
        <w:t>★</w:t>
      </w:r>
      <w:r>
        <w:rPr>
          <w:rFonts w:hint="eastAsia" w:ascii="宋体_GB2312" w:hAnsi="宋体_GB2312" w:eastAsia="宋体_GB2312"/>
          <w:color w:val="auto"/>
          <w:sz w:val="24"/>
          <w:szCs w:val="22"/>
          <w:highlight w:val="none"/>
        </w:rPr>
        <w:t>的技术指标为</w:t>
      </w:r>
      <w:r>
        <w:rPr>
          <w:rFonts w:ascii="宋体_GB2312" w:hAnsi="宋体_GB2312" w:eastAsia="宋体_GB2312"/>
          <w:color w:val="auto"/>
          <w:sz w:val="24"/>
          <w:szCs w:val="22"/>
          <w:highlight w:val="none"/>
        </w:rPr>
        <w:t>A类</w:t>
      </w:r>
      <w:r>
        <w:rPr>
          <w:rFonts w:hint="eastAsia" w:ascii="宋体_GB2312" w:hAnsi="宋体_GB2312" w:eastAsia="宋体_GB2312"/>
          <w:color w:val="auto"/>
          <w:sz w:val="24"/>
          <w:szCs w:val="22"/>
          <w:highlight w:val="none"/>
        </w:rPr>
        <w:t>关键</w:t>
      </w:r>
      <w:r>
        <w:rPr>
          <w:rFonts w:ascii="宋体_GB2312" w:hAnsi="宋体_GB2312" w:eastAsia="宋体_GB2312"/>
          <w:color w:val="auto"/>
          <w:sz w:val="24"/>
          <w:szCs w:val="22"/>
          <w:highlight w:val="none"/>
        </w:rPr>
        <w:t>指标</w:t>
      </w:r>
      <w:r>
        <w:rPr>
          <w:rFonts w:hint="eastAsia" w:ascii="宋体_GB2312" w:hAnsi="宋体_GB2312" w:eastAsia="宋体_GB2312"/>
          <w:color w:val="auto"/>
          <w:sz w:val="24"/>
          <w:szCs w:val="22"/>
          <w:highlight w:val="none"/>
        </w:rPr>
        <w:t>，不可偏离；其它技术指标为</w:t>
      </w:r>
      <w:r>
        <w:rPr>
          <w:rFonts w:ascii="宋体_GB2312" w:hAnsi="宋体_GB2312" w:eastAsia="宋体_GB2312"/>
          <w:color w:val="auto"/>
          <w:sz w:val="24"/>
          <w:szCs w:val="22"/>
          <w:highlight w:val="none"/>
        </w:rPr>
        <w:t>B类指标。</w:t>
      </w:r>
      <w:r>
        <w:rPr>
          <w:rFonts w:hint="eastAsia" w:ascii="宋体_GB2312" w:hAnsi="宋体_GB2312" w:eastAsia="宋体_GB2312"/>
          <w:color w:val="auto"/>
          <w:sz w:val="24"/>
          <w:szCs w:val="22"/>
          <w:highlight w:val="none"/>
        </w:rPr>
        <w:t>任一项</w:t>
      </w:r>
      <w:r>
        <w:rPr>
          <w:rFonts w:ascii="宋体_GB2312" w:hAnsi="宋体_GB2312" w:eastAsia="宋体_GB2312"/>
          <w:color w:val="auto"/>
          <w:sz w:val="24"/>
          <w:szCs w:val="22"/>
          <w:highlight w:val="none"/>
        </w:rPr>
        <w:t>A类</w:t>
      </w:r>
      <w:r>
        <w:rPr>
          <w:rFonts w:hint="eastAsia" w:ascii="宋体_GB2312" w:hAnsi="宋体_GB2312" w:eastAsia="宋体_GB2312"/>
          <w:color w:val="auto"/>
          <w:sz w:val="24"/>
          <w:szCs w:val="22"/>
          <w:highlight w:val="none"/>
        </w:rPr>
        <w:t>关键指标不合格即判定该投标人本次招标测试不合格，不具备招标入围条件。对于</w:t>
      </w:r>
      <w:r>
        <w:rPr>
          <w:rFonts w:ascii="宋体_GB2312" w:hAnsi="宋体_GB2312" w:eastAsia="宋体_GB2312"/>
          <w:color w:val="auto"/>
          <w:sz w:val="24"/>
          <w:szCs w:val="22"/>
          <w:highlight w:val="none"/>
        </w:rPr>
        <w:t>B类指标，</w:t>
      </w:r>
      <w:r>
        <w:rPr>
          <w:rFonts w:hint="eastAsia" w:ascii="宋体_GB2312" w:hAnsi="宋体_GB2312" w:eastAsia="宋体_GB2312"/>
          <w:color w:val="auto"/>
          <w:sz w:val="24"/>
          <w:szCs w:val="22"/>
          <w:highlight w:val="none"/>
        </w:rPr>
        <w:t>每任意两项不合格，则视为一个</w:t>
      </w:r>
      <w:r>
        <w:rPr>
          <w:rFonts w:ascii="宋体_GB2312" w:hAnsi="宋体_GB2312" w:eastAsia="宋体_GB2312"/>
          <w:color w:val="auto"/>
          <w:sz w:val="24"/>
          <w:szCs w:val="22"/>
          <w:highlight w:val="none"/>
        </w:rPr>
        <w:t>A类关键指标不合格</w:t>
      </w:r>
      <w:r>
        <w:rPr>
          <w:rFonts w:hint="eastAsia" w:ascii="宋体_GB2312" w:hAnsi="宋体_GB2312" w:eastAsia="宋体_GB2312"/>
          <w:color w:val="auto"/>
          <w:sz w:val="24"/>
          <w:szCs w:val="22"/>
          <w:highlight w:val="none"/>
        </w:rPr>
        <w:t>，即判定该投标人本次招标测试不合格，不具备招标入围条件。对于</w:t>
      </w:r>
      <w:r>
        <w:rPr>
          <w:rFonts w:ascii="宋体_GB2312" w:hAnsi="宋体_GB2312" w:eastAsia="宋体_GB2312"/>
          <w:color w:val="auto"/>
          <w:sz w:val="24"/>
          <w:szCs w:val="22"/>
          <w:highlight w:val="none"/>
        </w:rPr>
        <w:t>B类</w:t>
      </w:r>
      <w:r>
        <w:rPr>
          <w:rFonts w:hint="eastAsia" w:ascii="宋体_GB2312" w:hAnsi="宋体_GB2312" w:eastAsia="宋体_GB2312"/>
          <w:color w:val="auto"/>
          <w:sz w:val="24"/>
          <w:szCs w:val="22"/>
          <w:highlight w:val="none"/>
        </w:rPr>
        <w:t>指标在招标测试时不合格，但可以上架的（</w:t>
      </w:r>
      <w:r>
        <w:rPr>
          <w:rFonts w:ascii="宋体_GB2312" w:hAnsi="宋体_GB2312" w:eastAsia="宋体_GB2312"/>
          <w:color w:val="auto"/>
          <w:sz w:val="24"/>
          <w:szCs w:val="22"/>
          <w:highlight w:val="none"/>
        </w:rPr>
        <w:t>B类不合格指标</w:t>
      </w:r>
      <w:r>
        <w:rPr>
          <w:rFonts w:hint="eastAsia" w:ascii="宋体_GB2312" w:hAnsi="宋体_GB2312" w:eastAsia="宋体_GB2312"/>
          <w:color w:val="auto"/>
          <w:sz w:val="24"/>
          <w:szCs w:val="22"/>
          <w:highlight w:val="none"/>
          <w:lang w:val="en-US" w:eastAsia="zh-CN"/>
        </w:rPr>
        <w:t>为一项</w:t>
      </w:r>
      <w:r>
        <w:rPr>
          <w:rFonts w:hint="eastAsia" w:ascii="宋体_GB2312" w:hAnsi="宋体_GB2312" w:eastAsia="宋体_GB2312"/>
          <w:color w:val="auto"/>
          <w:sz w:val="24"/>
          <w:szCs w:val="22"/>
          <w:highlight w:val="none"/>
        </w:rPr>
        <w:t>），投标人必须保证在产品上架和供货时，不合格指标应达到本技术规范书要求，全部为合格</w:t>
      </w:r>
      <w:r>
        <w:rPr>
          <w:rFonts w:hint="eastAsia" w:ascii="宋体_GB2312" w:hAnsi="宋体_GB2312" w:eastAsia="宋体_GB2312"/>
          <w:color w:val="auto"/>
          <w:sz w:val="24"/>
          <w:szCs w:val="22"/>
          <w:highlight w:val="none"/>
          <w:lang w:val="en-US" w:eastAsia="zh-CN"/>
        </w:rPr>
        <w:t>指标</w:t>
      </w:r>
      <w:r>
        <w:rPr>
          <w:rFonts w:hint="eastAsia" w:ascii="宋体_GB2312" w:hAnsi="宋体_GB2312" w:eastAsia="宋体_GB2312"/>
          <w:color w:val="auto"/>
          <w:sz w:val="24"/>
          <w:szCs w:val="22"/>
          <w:highlight w:val="none"/>
        </w:rPr>
        <w:t>。该规定也适用于后期抽检测试。</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1.9</w:t>
      </w:r>
      <w:r>
        <w:rPr>
          <w:rFonts w:hint="eastAsia" w:ascii="宋体_GB2312" w:hAnsi="宋体_GB2312" w:eastAsia="宋体_GB2312"/>
          <w:sz w:val="24"/>
          <w:szCs w:val="24"/>
        </w:rPr>
        <w:t>本文件的解释权属于招标人。</w:t>
      </w:r>
    </w:p>
    <w:bookmarkEnd w:id="5"/>
    <w:bookmarkEnd w:id="6"/>
    <w:p>
      <w:pPr>
        <w:pStyle w:val="2"/>
        <w:spacing w:before="0" w:after="0" w:line="276" w:lineRule="auto"/>
        <w:rPr>
          <w:rFonts w:ascii="宋体_GB2312" w:hAnsi="宋体_GB2312" w:eastAsia="宋体_GB2312"/>
          <w:sz w:val="24"/>
          <w:szCs w:val="24"/>
        </w:rPr>
      </w:pPr>
      <w:bookmarkStart w:id="8" w:name="_Toc24107"/>
      <w:bookmarkStart w:id="9" w:name="_Toc54084386"/>
      <w:r>
        <w:rPr>
          <w:rFonts w:ascii="宋体_GB2312" w:hAnsi="宋体_GB2312" w:eastAsia="宋体_GB2312"/>
          <w:sz w:val="24"/>
          <w:szCs w:val="24"/>
        </w:rPr>
        <w:t xml:space="preserve">2 </w:t>
      </w:r>
      <w:r>
        <w:rPr>
          <w:rFonts w:hint="eastAsia" w:ascii="宋体_GB2312" w:hAnsi="宋体_GB2312" w:eastAsia="宋体_GB2312"/>
          <w:sz w:val="24"/>
          <w:szCs w:val="24"/>
        </w:rPr>
        <w:t>普通蝶形光缆主要技术</w:t>
      </w:r>
      <w:bookmarkEnd w:id="7"/>
      <w:r>
        <w:rPr>
          <w:rFonts w:hint="eastAsia" w:ascii="宋体_GB2312" w:hAnsi="宋体_GB2312" w:eastAsia="宋体_GB2312"/>
          <w:sz w:val="24"/>
          <w:szCs w:val="24"/>
        </w:rPr>
        <w:t>要求和指标</w:t>
      </w:r>
      <w:bookmarkEnd w:id="8"/>
      <w:bookmarkEnd w:id="9"/>
    </w:p>
    <w:p>
      <w:pPr>
        <w:pStyle w:val="2"/>
        <w:spacing w:before="0" w:after="0" w:line="276" w:lineRule="auto"/>
        <w:rPr>
          <w:rFonts w:ascii="宋体_GB2312" w:hAnsi="宋体_GB2312" w:eastAsia="宋体_GB2312"/>
          <w:sz w:val="24"/>
          <w:szCs w:val="24"/>
        </w:rPr>
      </w:pPr>
      <w:bookmarkStart w:id="10" w:name="_Toc54084387"/>
      <w:bookmarkStart w:id="11" w:name="_Toc7890"/>
      <w:bookmarkStart w:id="12" w:name="_Toc67552038"/>
      <w:bookmarkStart w:id="13" w:name="_Toc67104680"/>
      <w:r>
        <w:rPr>
          <w:rFonts w:hint="eastAsia" w:ascii="宋体_GB2312" w:hAnsi="宋体_GB2312" w:eastAsia="宋体_GB2312"/>
          <w:color w:val="FF0000"/>
          <w:sz w:val="28"/>
          <w:szCs w:val="24"/>
        </w:rPr>
        <w:t>★</w:t>
      </w:r>
      <w:r>
        <w:rPr>
          <w:rFonts w:ascii="宋体_GB2312" w:hAnsi="宋体_GB2312" w:eastAsia="宋体_GB2312"/>
          <w:sz w:val="24"/>
          <w:szCs w:val="24"/>
        </w:rPr>
        <w:t>2.1光缆中的光纤</w:t>
      </w:r>
      <w:bookmarkEnd w:id="10"/>
      <w:bookmarkEnd w:id="11"/>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2.1.1</w:t>
      </w:r>
      <w:r>
        <w:rPr>
          <w:rFonts w:hint="eastAsia" w:ascii="宋体_GB2312" w:hAnsi="宋体_GB2312" w:eastAsia="宋体_GB2312"/>
          <w:sz w:val="24"/>
          <w:szCs w:val="24"/>
        </w:rPr>
        <w:t>本次招标的光缆中的光纤为符合</w:t>
      </w:r>
      <w:r>
        <w:rPr>
          <w:rFonts w:ascii="宋体_GB2312" w:hAnsi="宋体_GB2312" w:eastAsia="宋体_GB2312"/>
          <w:sz w:val="24"/>
          <w:szCs w:val="24"/>
        </w:rPr>
        <w:t>ITU-T G.657A2（B6.a2</w:t>
      </w:r>
      <w:r>
        <w:rPr>
          <w:rFonts w:hint="eastAsia" w:ascii="宋体_GB2312" w:hAnsi="宋体_GB2312" w:eastAsia="宋体_GB2312"/>
          <w:sz w:val="24"/>
          <w:szCs w:val="24"/>
        </w:rPr>
        <w:t>）标准的</w:t>
      </w:r>
      <w:r>
        <w:rPr>
          <w:rFonts w:ascii="宋体_GB2312" w:hAnsi="宋体_GB2312" w:eastAsia="宋体_GB2312"/>
          <w:sz w:val="24"/>
          <w:szCs w:val="24"/>
        </w:rPr>
        <w:t>光纤</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2.1.2</w:t>
      </w:r>
      <w:r>
        <w:rPr>
          <w:rFonts w:hint="eastAsia" w:ascii="宋体_GB2312" w:hAnsi="宋体_GB2312" w:eastAsia="宋体_GB2312"/>
          <w:sz w:val="24"/>
          <w:szCs w:val="24"/>
        </w:rPr>
        <w:t>除偏振</w:t>
      </w:r>
      <w:r>
        <w:rPr>
          <w:rFonts w:hint="eastAsia" w:ascii="宋体_GB2312" w:hAnsi="宋体_GB2312" w:eastAsia="宋体_GB2312"/>
          <w:sz w:val="24"/>
          <w:lang w:val="en-GB"/>
        </w:rPr>
        <w:t>模色散</w:t>
      </w:r>
      <w:r>
        <w:rPr>
          <w:rFonts w:hint="eastAsia" w:ascii="宋体_GB2312" w:hAnsi="宋体_GB2312" w:eastAsia="宋体_GB2312"/>
          <w:sz w:val="24"/>
          <w:szCs w:val="24"/>
        </w:rPr>
        <w:t>（</w:t>
      </w:r>
      <w:r>
        <w:rPr>
          <w:rFonts w:ascii="宋体_GB2312" w:hAnsi="宋体_GB2312" w:eastAsia="宋体_GB2312"/>
          <w:sz w:val="24"/>
          <w:szCs w:val="24"/>
        </w:rPr>
        <w:t>PMD）及传输衰减等两项指标外，光纤在成缆前后的其它技术参数指标，均不得有任何变化。</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2.1.3</w:t>
      </w:r>
      <w:r>
        <w:rPr>
          <w:rFonts w:hint="eastAsia" w:ascii="宋体_GB2312" w:hAnsi="宋体_GB2312" w:eastAsia="宋体_GB2312"/>
          <w:sz w:val="24"/>
          <w:szCs w:val="24"/>
        </w:rPr>
        <w:t>每一批次的所有光纤为同一型号和同一来源（同一工厂、同一材料、同一制造方法和同一折射率分布）。</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2.1.4</w:t>
      </w:r>
      <w:r>
        <w:rPr>
          <w:rFonts w:hint="eastAsia" w:ascii="宋体_GB2312" w:hAnsi="宋体_GB2312" w:eastAsia="宋体_GB2312"/>
          <w:sz w:val="24"/>
          <w:lang w:val="en-GB"/>
        </w:rPr>
        <w:t>模场直径</w:t>
      </w:r>
      <w:r>
        <w:rPr>
          <w:rFonts w:hint="eastAsia" w:ascii="宋体_GB2312" w:hAnsi="宋体_GB2312" w:eastAsia="宋体_GB2312"/>
          <w:sz w:val="24"/>
          <w:szCs w:val="24"/>
        </w:rPr>
        <w:t>（</w:t>
      </w:r>
      <w:r>
        <w:rPr>
          <w:rFonts w:ascii="宋体_GB2312" w:hAnsi="宋体_GB2312" w:eastAsia="宋体_GB2312"/>
          <w:sz w:val="24"/>
          <w:szCs w:val="24"/>
        </w:rPr>
        <w:t xml:space="preserve">1310nm波长，Peterman </w:t>
      </w:r>
      <w:r>
        <w:rPr>
          <w:rFonts w:hint="eastAsia" w:ascii="宋体_GB2312" w:hAnsi="宋体_GB2312" w:eastAsia="宋体_GB2312"/>
          <w:sz w:val="24"/>
          <w:szCs w:val="24"/>
        </w:rPr>
        <w:t>Ⅱ</w:t>
      </w:r>
      <w:r>
        <w:rPr>
          <w:rFonts w:ascii="宋体_GB2312" w:hAnsi="宋体_GB2312" w:eastAsia="宋体_GB2312"/>
          <w:sz w:val="24"/>
          <w:szCs w:val="24"/>
        </w:rPr>
        <w:t xml:space="preserve"> </w:t>
      </w:r>
      <w:r>
        <w:rPr>
          <w:rFonts w:hint="eastAsia" w:ascii="宋体_GB2312" w:hAnsi="宋体_GB2312" w:eastAsia="宋体_GB2312"/>
          <w:sz w:val="24"/>
          <w:szCs w:val="24"/>
        </w:rPr>
        <w:t>定义）</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标称值：</w:t>
      </w:r>
      <w:r>
        <w:rPr>
          <w:rFonts w:ascii="宋体_GB2312" w:hAnsi="宋体_GB2312" w:eastAsia="宋体_GB2312"/>
          <w:sz w:val="24"/>
          <w:szCs w:val="24"/>
        </w:rPr>
        <w:t>8.6~9.5μm之间取定一个值</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偏</w:t>
      </w:r>
      <w:r>
        <w:rPr>
          <w:rFonts w:ascii="宋体_GB2312" w:hAnsi="宋体_GB2312" w:eastAsia="宋体_GB2312"/>
          <w:sz w:val="24"/>
          <w:szCs w:val="24"/>
        </w:rPr>
        <w:t xml:space="preserve">  </w:t>
      </w:r>
      <w:r>
        <w:rPr>
          <w:rFonts w:hint="eastAsia" w:ascii="宋体_GB2312" w:hAnsi="宋体_GB2312" w:eastAsia="宋体_GB2312"/>
          <w:sz w:val="24"/>
          <w:szCs w:val="24"/>
        </w:rPr>
        <w:t>差：不超过±</w:t>
      </w:r>
      <w:r>
        <w:rPr>
          <w:rFonts w:ascii="宋体_GB2312" w:hAnsi="宋体_GB2312" w:eastAsia="宋体_GB2312"/>
          <w:sz w:val="24"/>
          <w:szCs w:val="24"/>
        </w:rPr>
        <w:t>0.4μm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2.1.5</w:t>
      </w:r>
      <w:r>
        <w:rPr>
          <w:rFonts w:hint="eastAsia" w:ascii="宋体_GB2312" w:hAnsi="宋体_GB2312" w:eastAsia="宋体_GB2312"/>
          <w:sz w:val="24"/>
          <w:lang w:val="en-GB"/>
        </w:rPr>
        <w:t>包层直径</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标称值：</w:t>
      </w:r>
      <w:r>
        <w:rPr>
          <w:rFonts w:ascii="宋体_GB2312" w:hAnsi="宋体_GB2312" w:eastAsia="宋体_GB2312"/>
          <w:sz w:val="24"/>
          <w:szCs w:val="24"/>
        </w:rPr>
        <w:t>125.0μm</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偏</w:t>
      </w:r>
      <w:r>
        <w:rPr>
          <w:rFonts w:ascii="宋体_GB2312" w:hAnsi="宋体_GB2312" w:eastAsia="宋体_GB2312"/>
          <w:sz w:val="24"/>
          <w:szCs w:val="24"/>
        </w:rPr>
        <w:t xml:space="preserve">  </w:t>
      </w:r>
      <w:r>
        <w:rPr>
          <w:rFonts w:hint="eastAsia" w:ascii="宋体_GB2312" w:hAnsi="宋体_GB2312" w:eastAsia="宋体_GB2312"/>
          <w:sz w:val="24"/>
          <w:szCs w:val="24"/>
        </w:rPr>
        <w:t>差：不超过±</w:t>
      </w:r>
      <w:r>
        <w:rPr>
          <w:rFonts w:ascii="宋体_GB2312" w:hAnsi="宋体_GB2312" w:eastAsia="宋体_GB2312"/>
          <w:sz w:val="24"/>
          <w:szCs w:val="24"/>
        </w:rPr>
        <w:t>0.7μm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2.1.6</w:t>
      </w:r>
      <w:r>
        <w:rPr>
          <w:rFonts w:hint="eastAsia" w:ascii="宋体_GB2312" w:hAnsi="宋体_GB2312" w:eastAsia="宋体_GB2312"/>
          <w:sz w:val="24"/>
          <w:szCs w:val="24"/>
        </w:rPr>
        <w:t>芯</w:t>
      </w:r>
      <w:r>
        <w:rPr>
          <w:rFonts w:ascii="宋体_GB2312" w:hAnsi="宋体_GB2312" w:eastAsia="宋体_GB2312"/>
          <w:sz w:val="24"/>
          <w:szCs w:val="24"/>
        </w:rPr>
        <w:t>/包</w:t>
      </w:r>
      <w:r>
        <w:rPr>
          <w:rFonts w:hint="eastAsia" w:ascii="宋体_GB2312" w:hAnsi="宋体_GB2312" w:eastAsia="宋体_GB2312"/>
          <w:sz w:val="24"/>
          <w:szCs w:val="24"/>
        </w:rPr>
        <w:t>层</w:t>
      </w:r>
      <w:r>
        <w:rPr>
          <w:rFonts w:hint="eastAsia" w:ascii="宋体_GB2312" w:hAnsi="宋体_GB2312" w:eastAsia="宋体_GB2312"/>
          <w:sz w:val="24"/>
          <w:lang w:val="en-GB"/>
        </w:rPr>
        <w:t>同心度误差</w:t>
      </w:r>
      <w:r>
        <w:rPr>
          <w:rFonts w:hint="eastAsia" w:ascii="宋体_GB2312" w:hAnsi="宋体_GB2312" w:eastAsia="宋体_GB2312"/>
          <w:sz w:val="24"/>
          <w:szCs w:val="24"/>
        </w:rPr>
        <w:t>：不大于</w:t>
      </w:r>
      <w:r>
        <w:rPr>
          <w:rFonts w:ascii="宋体_GB2312" w:hAnsi="宋体_GB2312" w:eastAsia="宋体_GB2312"/>
          <w:sz w:val="24"/>
          <w:szCs w:val="24"/>
        </w:rPr>
        <w:t>0.5μm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2.1.7</w:t>
      </w:r>
      <w:r>
        <w:rPr>
          <w:rFonts w:hint="eastAsia" w:ascii="宋体_GB2312" w:hAnsi="宋体_GB2312" w:eastAsia="宋体_GB2312"/>
          <w:sz w:val="24"/>
          <w:szCs w:val="24"/>
        </w:rPr>
        <w:t>包层不圆度：小于</w:t>
      </w:r>
      <w:r>
        <w:rPr>
          <w:rFonts w:ascii="宋体_GB2312" w:hAnsi="宋体_GB2312" w:eastAsia="宋体_GB2312"/>
          <w:sz w:val="24"/>
          <w:szCs w:val="24"/>
        </w:rPr>
        <w:t>1％</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2.1.8</w:t>
      </w:r>
      <w:r>
        <w:rPr>
          <w:rFonts w:hint="eastAsia" w:ascii="宋体_GB2312" w:hAnsi="宋体_GB2312" w:eastAsia="宋体_GB2312"/>
          <w:sz w:val="24"/>
          <w:szCs w:val="24"/>
        </w:rPr>
        <w:t>涂覆层</w:t>
      </w:r>
      <w:r>
        <w:rPr>
          <w:rFonts w:hint="eastAsia" w:ascii="宋体_GB2312" w:hAnsi="宋体_GB2312" w:eastAsia="宋体_GB2312"/>
          <w:sz w:val="24"/>
          <w:lang w:val="en-GB"/>
        </w:rPr>
        <w:t>直径</w:t>
      </w:r>
      <w:r>
        <w:rPr>
          <w:rFonts w:hint="eastAsia" w:ascii="宋体_GB2312" w:hAnsi="宋体_GB2312" w:eastAsia="宋体_GB2312"/>
          <w:sz w:val="24"/>
          <w:szCs w:val="24"/>
        </w:rPr>
        <w:t>（未着色）：</w:t>
      </w:r>
      <w:r>
        <w:rPr>
          <w:rFonts w:ascii="宋体_GB2312" w:hAnsi="宋体_GB2312" w:eastAsia="宋体_GB2312"/>
          <w:sz w:val="24"/>
          <w:szCs w:val="24"/>
        </w:rPr>
        <w:t xml:space="preserve"> 245±10μm</w:t>
      </w:r>
      <w:r>
        <w:rPr>
          <w:rFonts w:hint="eastAsia" w:ascii="宋体_GB2312" w:hAnsi="宋体_GB2312" w:eastAsia="宋体_GB2312"/>
          <w:sz w:val="24"/>
          <w:szCs w:val="24"/>
        </w:rPr>
        <w:t>；涂覆层直径（着色）：</w:t>
      </w:r>
      <w:r>
        <w:rPr>
          <w:rFonts w:ascii="宋体_GB2312" w:hAnsi="宋体_GB2312" w:eastAsia="宋体_GB2312"/>
          <w:sz w:val="24"/>
          <w:szCs w:val="24"/>
        </w:rPr>
        <w:t>2</w:t>
      </w:r>
      <w:r>
        <w:rPr>
          <w:rFonts w:hint="eastAsia" w:ascii="宋体_GB2312" w:hAnsi="宋体_GB2312" w:eastAsia="宋体_GB2312"/>
          <w:sz w:val="24"/>
          <w:szCs w:val="24"/>
        </w:rPr>
        <w:t>50</w:t>
      </w:r>
      <w:r>
        <w:rPr>
          <w:rFonts w:ascii="宋体_GB2312" w:hAnsi="宋体_GB2312" w:eastAsia="宋体_GB2312"/>
          <w:sz w:val="24"/>
          <w:szCs w:val="24"/>
        </w:rPr>
        <w:t>±1</w:t>
      </w:r>
      <w:r>
        <w:rPr>
          <w:rFonts w:hint="eastAsia" w:ascii="宋体_GB2312" w:hAnsi="宋体_GB2312" w:eastAsia="宋体_GB2312"/>
          <w:sz w:val="24"/>
          <w:szCs w:val="24"/>
        </w:rPr>
        <w:t>5</w:t>
      </w:r>
      <w:r>
        <w:rPr>
          <w:rFonts w:ascii="宋体_GB2312" w:hAnsi="宋体_GB2312" w:eastAsia="宋体_GB2312"/>
          <w:sz w:val="24"/>
          <w:szCs w:val="24"/>
        </w:rPr>
        <w:t>μm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2.1.9</w:t>
      </w:r>
      <w:r>
        <w:rPr>
          <w:rFonts w:hint="eastAsia" w:ascii="宋体_GB2312" w:hAnsi="宋体_GB2312" w:eastAsia="宋体_GB2312"/>
          <w:sz w:val="24"/>
          <w:szCs w:val="24"/>
        </w:rPr>
        <w:t>包层</w:t>
      </w:r>
      <w:r>
        <w:rPr>
          <w:rFonts w:ascii="宋体_GB2312" w:hAnsi="宋体_GB2312" w:eastAsia="宋体_GB2312"/>
          <w:sz w:val="24"/>
          <w:szCs w:val="24"/>
        </w:rPr>
        <w:t>/涂覆层同心度误差：≤12.5μm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2.1.10</w:t>
      </w:r>
      <w:r>
        <w:rPr>
          <w:rFonts w:hint="eastAsia" w:ascii="宋体_GB2312" w:hAnsi="宋体_GB2312" w:eastAsia="宋体_GB2312"/>
          <w:sz w:val="24"/>
          <w:szCs w:val="24"/>
        </w:rPr>
        <w:t>光纤翘曲半径：曲率半径≧</w:t>
      </w:r>
      <w:r>
        <w:rPr>
          <w:rFonts w:ascii="宋体_GB2312" w:hAnsi="宋体_GB2312" w:eastAsia="宋体_GB2312"/>
          <w:sz w:val="24"/>
          <w:szCs w:val="24"/>
        </w:rPr>
        <w:t>4.0m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2.1.11</w:t>
      </w:r>
      <w:r>
        <w:rPr>
          <w:rFonts w:hint="eastAsia" w:ascii="宋体_GB2312" w:hAnsi="宋体_GB2312" w:eastAsia="宋体_GB2312"/>
          <w:sz w:val="24"/>
          <w:szCs w:val="24"/>
        </w:rPr>
        <w:t>成缆后光纤的衰减系数</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w:t>
      </w:r>
      <w:r>
        <w:rPr>
          <w:rFonts w:ascii="宋体_GB2312" w:hAnsi="宋体_GB2312" w:eastAsia="宋体_GB2312"/>
          <w:color w:val="auto"/>
          <w:sz w:val="24"/>
          <w:szCs w:val="24"/>
        </w:rPr>
        <w:t>1）在1310nm波长上的最大衰减系数为：0.34dB/km</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1383nm±3nm波长上的最大衰减值小于1310nm波长上的最大衰减值。</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1550nm波长上的最大衰减值不大于0.20dB/km。</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 xml:space="preserve">1285 </w:t>
      </w:r>
      <w:r>
        <w:rPr>
          <w:rFonts w:hint="eastAsia" w:ascii="宋体_GB2312" w:hAnsi="宋体_GB2312" w:eastAsia="宋体_GB2312"/>
          <w:color w:val="auto"/>
          <w:sz w:val="24"/>
          <w:szCs w:val="24"/>
        </w:rPr>
        <w:t>～</w:t>
      </w:r>
      <w:r>
        <w:rPr>
          <w:rFonts w:ascii="宋体_GB2312" w:hAnsi="宋体_GB2312" w:eastAsia="宋体_GB2312"/>
          <w:color w:val="auto"/>
          <w:sz w:val="24"/>
          <w:szCs w:val="24"/>
        </w:rPr>
        <w:t xml:space="preserve"> 1330nm波长</w:t>
      </w:r>
      <w:r>
        <w:rPr>
          <w:rFonts w:hint="eastAsia" w:ascii="宋体_GB2312" w:hAnsi="宋体_GB2312" w:eastAsia="宋体_GB2312"/>
          <w:color w:val="auto"/>
          <w:sz w:val="24"/>
          <w:lang w:val="en-GB"/>
        </w:rPr>
        <w:t>范围</w:t>
      </w:r>
      <w:r>
        <w:rPr>
          <w:rFonts w:hint="eastAsia" w:ascii="宋体_GB2312" w:hAnsi="宋体_GB2312" w:eastAsia="宋体_GB2312"/>
          <w:color w:val="auto"/>
          <w:sz w:val="24"/>
          <w:szCs w:val="24"/>
        </w:rPr>
        <w:t>内，任一波长上光纤的衰减系数与</w:t>
      </w:r>
      <w:r>
        <w:rPr>
          <w:rFonts w:ascii="宋体_GB2312" w:hAnsi="宋体_GB2312" w:eastAsia="宋体_GB2312"/>
          <w:color w:val="auto"/>
          <w:sz w:val="24"/>
          <w:szCs w:val="24"/>
        </w:rPr>
        <w:t>1310nm波长上的衰减系数相比，其差值不超过0.07dB/km。</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 xml:space="preserve">1525 </w:t>
      </w:r>
      <w:r>
        <w:rPr>
          <w:rFonts w:hint="eastAsia" w:ascii="宋体_GB2312" w:hAnsi="宋体_GB2312" w:eastAsia="宋体_GB2312"/>
          <w:color w:val="auto"/>
          <w:sz w:val="24"/>
          <w:szCs w:val="24"/>
        </w:rPr>
        <w:t>～</w:t>
      </w:r>
      <w:r>
        <w:rPr>
          <w:rFonts w:ascii="宋体_GB2312" w:hAnsi="宋体_GB2312" w:eastAsia="宋体_GB2312"/>
          <w:color w:val="auto"/>
          <w:sz w:val="24"/>
          <w:szCs w:val="24"/>
        </w:rPr>
        <w:t xml:space="preserve"> 1575nm波长</w:t>
      </w:r>
      <w:r>
        <w:rPr>
          <w:rFonts w:hint="eastAsia" w:ascii="宋体_GB2312" w:hAnsi="宋体_GB2312" w:eastAsia="宋体_GB2312"/>
          <w:color w:val="auto"/>
          <w:sz w:val="24"/>
          <w:lang w:val="en-GB"/>
        </w:rPr>
        <w:t>范围</w:t>
      </w:r>
      <w:r>
        <w:rPr>
          <w:rFonts w:hint="eastAsia" w:ascii="宋体_GB2312" w:hAnsi="宋体_GB2312" w:eastAsia="宋体_GB2312"/>
          <w:color w:val="auto"/>
          <w:sz w:val="24"/>
          <w:szCs w:val="24"/>
        </w:rPr>
        <w:t>内，任一波长上光纤的衰减系数与</w:t>
      </w:r>
      <w:r>
        <w:rPr>
          <w:rFonts w:ascii="宋体_GB2312" w:hAnsi="宋体_GB2312" w:eastAsia="宋体_GB2312"/>
          <w:color w:val="auto"/>
          <w:sz w:val="24"/>
          <w:szCs w:val="24"/>
        </w:rPr>
        <w:t>1550nm波长上的衰减系数相比，其差值不超过0.05dB/km。</w:t>
      </w:r>
    </w:p>
    <w:p>
      <w:pPr>
        <w:spacing w:before="120" w:beforeLines="50" w:beforeAutospacing="0" w:after="12" w:afterAutospacing="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1575</w:t>
      </w:r>
      <w:r>
        <w:rPr>
          <w:rFonts w:hint="eastAsia" w:ascii="宋体_GB2312" w:hAnsi="宋体_GB2312" w:eastAsia="宋体_GB2312"/>
          <w:color w:val="auto"/>
          <w:sz w:val="24"/>
          <w:szCs w:val="24"/>
        </w:rPr>
        <w:t>～</w:t>
      </w:r>
      <w:r>
        <w:rPr>
          <w:rFonts w:ascii="宋体_GB2312" w:hAnsi="宋体_GB2312" w:eastAsia="宋体_GB2312"/>
          <w:color w:val="auto"/>
          <w:sz w:val="24"/>
          <w:szCs w:val="24"/>
        </w:rPr>
        <w:t>1625</w:t>
      </w:r>
      <w:r>
        <w:rPr>
          <w:rFonts w:hint="eastAsia" w:ascii="宋体_GB2312" w:hAnsi="宋体_GB2312" w:eastAsia="宋体_GB2312"/>
          <w:color w:val="auto"/>
          <w:sz w:val="24"/>
          <w:szCs w:val="24"/>
        </w:rPr>
        <w:t>nm波长范围内的最大衰减系数不大于</w:t>
      </w:r>
      <w:r>
        <w:rPr>
          <w:rFonts w:ascii="宋体_GB2312" w:hAnsi="宋体_GB2312" w:eastAsia="宋体_GB2312"/>
          <w:color w:val="auto"/>
          <w:sz w:val="24"/>
          <w:szCs w:val="24"/>
        </w:rPr>
        <w:t>0.25dB/km</w:t>
      </w:r>
      <w:r>
        <w:rPr>
          <w:rFonts w:hint="eastAsia" w:ascii="宋体_GB2312" w:hAnsi="宋体_GB2312" w:eastAsia="宋体_GB2312"/>
          <w:color w:val="auto"/>
          <w:sz w:val="24"/>
          <w:szCs w:val="24"/>
        </w:rPr>
        <w:t>。</w:t>
      </w:r>
    </w:p>
    <w:p>
      <w:pPr>
        <w:spacing w:before="120" w:beforeLines="50" w:line="300" w:lineRule="auto"/>
        <w:ind w:firstLine="480" w:firstLineChars="200"/>
        <w:rPr>
          <w:rFonts w:ascii="宋体_GB2312" w:hAnsi="宋体_GB2312" w:eastAsia="宋体_GB2312"/>
          <w:color w:val="auto"/>
          <w:sz w:val="24"/>
          <w:szCs w:val="24"/>
        </w:rPr>
      </w:pPr>
      <w:r>
        <w:rPr>
          <w:rFonts w:hint="eastAsia" w:ascii="宋体_GB2312" w:hAnsi="宋体_GB2312" w:eastAsia="宋体_GB2312"/>
          <w:color w:val="auto"/>
          <w:sz w:val="24"/>
          <w:szCs w:val="24"/>
        </w:rPr>
        <w:t>在</w:t>
      </w:r>
      <w:r>
        <w:rPr>
          <w:rFonts w:ascii="宋体_GB2312" w:hAnsi="宋体_GB2312" w:eastAsia="宋体_GB2312"/>
          <w:color w:val="auto"/>
          <w:sz w:val="24"/>
          <w:szCs w:val="24"/>
        </w:rPr>
        <w:t>1310</w:t>
      </w:r>
      <w:r>
        <w:rPr>
          <w:rFonts w:hint="eastAsia" w:ascii="宋体_GB2312" w:hAnsi="宋体_GB2312" w:eastAsia="宋体_GB2312"/>
          <w:color w:val="auto"/>
          <w:sz w:val="24"/>
          <w:szCs w:val="24"/>
        </w:rPr>
        <w:t>～</w:t>
      </w:r>
      <w:r>
        <w:rPr>
          <w:rFonts w:ascii="宋体_GB2312" w:hAnsi="宋体_GB2312" w:eastAsia="宋体_GB2312"/>
          <w:color w:val="auto"/>
          <w:sz w:val="24"/>
          <w:szCs w:val="24"/>
        </w:rPr>
        <w:t>1625nm波长范围内的最大衰减值为：0.35dB/km。</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2）光纤衰减曲线应有</w:t>
      </w:r>
      <w:r>
        <w:rPr>
          <w:rFonts w:hint="eastAsia" w:ascii="宋体_GB2312" w:hAnsi="宋体_GB2312" w:eastAsia="宋体_GB2312"/>
          <w:sz w:val="24"/>
          <w:lang w:val="en-GB"/>
        </w:rPr>
        <w:t>良好</w:t>
      </w:r>
      <w:r>
        <w:rPr>
          <w:rFonts w:hint="eastAsia" w:ascii="宋体_GB2312" w:hAnsi="宋体_GB2312" w:eastAsia="宋体_GB2312"/>
          <w:sz w:val="24"/>
          <w:szCs w:val="24"/>
        </w:rPr>
        <w:t>的线性并且无明显台阶。用</w:t>
      </w:r>
      <w:r>
        <w:rPr>
          <w:rFonts w:ascii="宋体_GB2312" w:hAnsi="宋体_GB2312" w:eastAsia="宋体_GB2312"/>
          <w:sz w:val="24"/>
          <w:szCs w:val="24"/>
        </w:rPr>
        <w:t>OTDR检测任意一根光纤时，在1310nm和1550nm处</w:t>
      </w:r>
      <w:r>
        <w:rPr>
          <w:rFonts w:ascii="宋体_GB2312" w:hAnsi="宋体_GB2312" w:eastAsia="宋体_GB2312"/>
          <w:sz w:val="24"/>
          <w:lang w:val="en-GB"/>
        </w:rPr>
        <w:t>500</w:t>
      </w:r>
      <w:r>
        <w:rPr>
          <w:rFonts w:hint="eastAsia" w:ascii="宋体_GB2312" w:hAnsi="宋体_GB2312" w:eastAsia="宋体_GB2312"/>
          <w:sz w:val="24"/>
          <w:szCs w:val="24"/>
        </w:rPr>
        <w:t>ｍ光纤的衰减值不大于</w:t>
      </w:r>
      <w:r>
        <w:rPr>
          <w:rFonts w:ascii="宋体_GB2312" w:hAnsi="宋体_GB2312" w:eastAsia="宋体_GB2312"/>
          <w:sz w:val="24"/>
          <w:szCs w:val="24"/>
        </w:rPr>
        <w:t>(</w:t>
      </w:r>
      <w:r>
        <w:rPr>
          <w:rFonts w:ascii="宋体_GB2312" w:hAnsi="宋体_GB2312" w:eastAsia="宋体_GB2312"/>
          <w:sz w:val="24"/>
          <w:szCs w:val="24"/>
        </w:rPr>
        <w:sym w:font="Symbol" w:char="F061"/>
      </w:r>
      <w:r>
        <w:rPr>
          <w:rFonts w:ascii="宋体_GB2312" w:hAnsi="宋体_GB2312" w:eastAsia="宋体_GB2312"/>
          <w:sz w:val="24"/>
          <w:szCs w:val="24"/>
        </w:rPr>
        <w:t xml:space="preserve"> mean +0.10dB)/2，</w:t>
      </w:r>
      <w:r>
        <w:rPr>
          <w:rFonts w:ascii="宋体_GB2312" w:hAnsi="宋体_GB2312" w:eastAsia="宋体_GB2312"/>
          <w:sz w:val="24"/>
          <w:szCs w:val="24"/>
        </w:rPr>
        <w:sym w:font="Symbol" w:char="F061"/>
      </w:r>
      <w:r>
        <w:rPr>
          <w:rFonts w:ascii="宋体_GB2312" w:hAnsi="宋体_GB2312" w:eastAsia="宋体_GB2312"/>
          <w:sz w:val="24"/>
          <w:szCs w:val="24"/>
        </w:rPr>
        <w:t xml:space="preserve"> mean 是光纤的平均衰减系数。</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2.1.12</w:t>
      </w:r>
      <w:r>
        <w:rPr>
          <w:rFonts w:hint="eastAsia" w:ascii="宋体_GB2312" w:hAnsi="宋体_GB2312" w:eastAsia="宋体_GB2312"/>
          <w:sz w:val="24"/>
          <w:szCs w:val="24"/>
        </w:rPr>
        <w:t>截止波长应满足下述λcc的要求：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λcc（在</w:t>
      </w:r>
      <w:r>
        <w:rPr>
          <w:rFonts w:ascii="宋体_GB2312" w:hAnsi="宋体_GB2312" w:eastAsia="宋体_GB2312"/>
          <w:sz w:val="24"/>
          <w:szCs w:val="24"/>
        </w:rPr>
        <w:t>20米光缆＋2米光纤上测试）：≤1260nm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2.1.13</w:t>
      </w:r>
      <w:r>
        <w:rPr>
          <w:rFonts w:hint="eastAsia" w:ascii="宋体_GB2312" w:hAnsi="宋体_GB2312" w:eastAsia="宋体_GB2312"/>
          <w:sz w:val="24"/>
        </w:rPr>
        <w:t>色散</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1）零色散波长</w:t>
      </w:r>
      <w:r>
        <w:rPr>
          <w:rFonts w:hint="eastAsia" w:ascii="宋体_GB2312" w:hAnsi="宋体_GB2312" w:eastAsia="宋体_GB2312"/>
          <w:sz w:val="24"/>
          <w:lang w:val="en-GB"/>
        </w:rPr>
        <w:t>范围</w:t>
      </w:r>
      <w:r>
        <w:rPr>
          <w:rFonts w:hint="eastAsia" w:ascii="宋体_GB2312" w:hAnsi="宋体_GB2312" w:eastAsia="宋体_GB2312"/>
          <w:sz w:val="24"/>
        </w:rPr>
        <w:t>为</w:t>
      </w:r>
      <w:r>
        <w:rPr>
          <w:rFonts w:ascii="宋体_GB2312" w:hAnsi="宋体_GB2312" w:eastAsia="宋体_GB2312"/>
          <w:sz w:val="24"/>
        </w:rPr>
        <w:t>1300~1324nm。</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2）最大零色散点斜率不大于0.092ps/（nm</w:t>
      </w:r>
      <w:r>
        <w:rPr>
          <w:rFonts w:ascii="宋体_GB2312" w:hAnsi="宋体_GB2312" w:eastAsia="宋体_GB2312"/>
          <w:sz w:val="24"/>
          <w:vertAlign w:val="superscript"/>
        </w:rPr>
        <w:t>2</w:t>
      </w:r>
      <w:r>
        <w:rPr>
          <w:rFonts w:ascii="宋体_GB2312" w:hAnsi="宋体_GB2312" w:eastAsia="宋体_GB2312"/>
          <w:sz w:val="24"/>
        </w:rPr>
        <w:t xml:space="preserve"> ·km）。</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3）1288~1339nm范围内色散系数不大于3.5ps/nm·km。</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4）1271~1360nm范围内色散系数不大于5.3ps/nm·km。</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5）1550nm波长的</w:t>
      </w:r>
      <w:r>
        <w:rPr>
          <w:rFonts w:hint="eastAsia" w:ascii="宋体_GB2312" w:hAnsi="宋体_GB2312" w:eastAsia="宋体_GB2312"/>
          <w:sz w:val="24"/>
          <w:lang w:val="en-GB"/>
        </w:rPr>
        <w:t>色散</w:t>
      </w:r>
      <w:r>
        <w:rPr>
          <w:rFonts w:hint="eastAsia" w:ascii="宋体_GB2312" w:hAnsi="宋体_GB2312" w:eastAsia="宋体_GB2312"/>
          <w:sz w:val="24"/>
        </w:rPr>
        <w:t>系数不大于</w:t>
      </w:r>
      <w:r>
        <w:rPr>
          <w:rFonts w:ascii="宋体_GB2312" w:hAnsi="宋体_GB2312" w:eastAsia="宋体_GB2312"/>
          <w:sz w:val="24"/>
        </w:rPr>
        <w:t>18ps/nm·km。</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w:t>
      </w:r>
      <w:r>
        <w:rPr>
          <w:rFonts w:ascii="宋体_GB2312" w:hAnsi="宋体_GB2312" w:eastAsia="宋体_GB2312"/>
          <w:sz w:val="24"/>
        </w:rPr>
        <w:t>6）1480~1580nm</w:t>
      </w:r>
      <w:r>
        <w:rPr>
          <w:rFonts w:hint="eastAsia" w:ascii="宋体_GB2312" w:hAnsi="宋体_GB2312" w:eastAsia="宋体_GB2312"/>
          <w:sz w:val="24"/>
          <w:lang w:val="en-GB"/>
        </w:rPr>
        <w:t>范围</w:t>
      </w:r>
      <w:r>
        <w:rPr>
          <w:rFonts w:hint="eastAsia" w:ascii="宋体_GB2312" w:hAnsi="宋体_GB2312" w:eastAsia="宋体_GB2312"/>
          <w:sz w:val="24"/>
        </w:rPr>
        <w:t>内色散系数不大于</w:t>
      </w:r>
      <w:r>
        <w:rPr>
          <w:rFonts w:ascii="宋体_GB2312" w:hAnsi="宋体_GB2312" w:eastAsia="宋体_GB2312"/>
          <w:sz w:val="24"/>
        </w:rPr>
        <w:t>20ps/nm·km。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2.1.14</w:t>
      </w:r>
      <w:r>
        <w:rPr>
          <w:rFonts w:hint="eastAsia" w:ascii="宋体_GB2312" w:hAnsi="宋体_GB2312" w:eastAsia="宋体_GB2312"/>
          <w:sz w:val="24"/>
        </w:rPr>
        <w:t>拉力筛选试验</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成缆前的一次涂覆光纤</w:t>
      </w:r>
      <w:r>
        <w:rPr>
          <w:rFonts w:hint="eastAsia" w:ascii="宋体_GB2312" w:hAnsi="宋体_GB2312" w:eastAsia="宋体_GB2312"/>
          <w:sz w:val="24"/>
          <w:lang w:val="en-GB"/>
        </w:rPr>
        <w:t>必须</w:t>
      </w:r>
      <w:r>
        <w:rPr>
          <w:rFonts w:hint="eastAsia" w:ascii="宋体_GB2312" w:hAnsi="宋体_GB2312" w:eastAsia="宋体_GB2312"/>
          <w:sz w:val="24"/>
        </w:rPr>
        <w:t>全部经过拉力筛选试验，试验拉力不小于</w:t>
      </w:r>
      <w:r>
        <w:rPr>
          <w:rFonts w:ascii="宋体_GB2312" w:hAnsi="宋体_GB2312" w:eastAsia="宋体_GB2312"/>
          <w:sz w:val="24"/>
        </w:rPr>
        <w:t>8.5Ｎ（约为0.69GPa、100kpsi，光纤应变约为1.0％），加力时间不小于1秒。</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2.1.15</w:t>
      </w:r>
      <w:r>
        <w:rPr>
          <w:rFonts w:hint="eastAsia" w:ascii="宋体_GB2312" w:hAnsi="宋体_GB2312" w:eastAsia="宋体_GB2312"/>
          <w:sz w:val="24"/>
        </w:rPr>
        <w:t>光纤着色应优先采用</w:t>
      </w:r>
      <w:r>
        <w:rPr>
          <w:rFonts w:ascii="宋体_GB2312" w:hAnsi="宋体_GB2312" w:eastAsia="宋体_GB2312"/>
          <w:sz w:val="24"/>
        </w:rPr>
        <w:t>UＶ处理法。其颜色应不迁染、不褪色（用丙酮或酒精擦拭也应如此）。在光纤光缆</w:t>
      </w:r>
      <w:r>
        <w:rPr>
          <w:rFonts w:hint="eastAsia" w:ascii="宋体_GB2312" w:hAnsi="宋体_GB2312" w:eastAsia="宋体_GB2312"/>
          <w:sz w:val="24"/>
          <w:lang w:val="en-GB"/>
        </w:rPr>
        <w:t>使用寿命</w:t>
      </w:r>
      <w:r>
        <w:rPr>
          <w:rFonts w:hint="eastAsia" w:ascii="宋体_GB2312" w:hAnsi="宋体_GB2312" w:eastAsia="宋体_GB2312"/>
          <w:sz w:val="24"/>
        </w:rPr>
        <w:t>内，光纤不褪色、涂覆层不粉化。</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2.1.16</w:t>
      </w:r>
      <w:r>
        <w:rPr>
          <w:rFonts w:hint="eastAsia" w:ascii="宋体_GB2312" w:hAnsi="宋体_GB2312" w:eastAsia="宋体_GB2312"/>
          <w:sz w:val="24"/>
        </w:rPr>
        <w:t>涂层剥离力：剥除涂覆层所需的剥离力其峰值在</w:t>
      </w:r>
      <w:r>
        <w:rPr>
          <w:rFonts w:ascii="宋体_GB2312" w:hAnsi="宋体_GB2312" w:eastAsia="宋体_GB2312"/>
          <w:sz w:val="24"/>
        </w:rPr>
        <w:t>1.0N</w:t>
      </w:r>
      <w:r>
        <w:rPr>
          <w:rFonts w:hint="eastAsia" w:ascii="宋体_GB2312" w:hAnsi="宋体_GB2312" w:eastAsia="宋体_GB2312"/>
          <w:sz w:val="24"/>
        </w:rPr>
        <w:t>～</w:t>
      </w:r>
      <w:r>
        <w:rPr>
          <w:rFonts w:ascii="宋体_GB2312" w:hAnsi="宋体_GB2312" w:eastAsia="宋体_GB2312"/>
          <w:sz w:val="24"/>
        </w:rPr>
        <w:t>8.9N范围之内</w:t>
      </w:r>
      <w:r>
        <w:rPr>
          <w:rFonts w:hint="eastAsia" w:ascii="宋体_GB2312" w:hAnsi="宋体_GB2312" w:eastAsia="宋体_GB2312"/>
          <w:sz w:val="24"/>
        </w:rPr>
        <w:t>，平均值在</w:t>
      </w:r>
      <w:r>
        <w:rPr>
          <w:rFonts w:ascii="宋体_GB2312" w:hAnsi="宋体_GB2312" w:eastAsia="宋体_GB2312"/>
          <w:sz w:val="24"/>
        </w:rPr>
        <w:t>1.0N</w:t>
      </w:r>
      <w:r>
        <w:rPr>
          <w:rFonts w:hint="eastAsia" w:ascii="宋体_GB2312" w:hAnsi="宋体_GB2312" w:eastAsia="宋体_GB2312"/>
          <w:sz w:val="24"/>
        </w:rPr>
        <w:t>～</w:t>
      </w:r>
      <w:r>
        <w:rPr>
          <w:rFonts w:ascii="宋体_GB2312" w:hAnsi="宋体_GB2312" w:eastAsia="宋体_GB2312"/>
          <w:sz w:val="24"/>
        </w:rPr>
        <w:t>5.0N</w:t>
      </w:r>
      <w:r>
        <w:rPr>
          <w:rFonts w:hint="eastAsia" w:ascii="宋体_GB2312" w:hAnsi="宋体_GB2312" w:eastAsia="宋体_GB2312"/>
          <w:sz w:val="24"/>
        </w:rPr>
        <w:t>之内</w:t>
      </w:r>
      <w:r>
        <w:rPr>
          <w:rFonts w:ascii="宋体_GB2312" w:hAnsi="宋体_GB2312" w:eastAsia="宋体_GB2312"/>
          <w:sz w:val="24"/>
        </w:rPr>
        <w:t>。</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2.1.17</w:t>
      </w:r>
      <w:r>
        <w:rPr>
          <w:rFonts w:hint="eastAsia" w:ascii="宋体_GB2312" w:hAnsi="宋体_GB2312" w:eastAsia="宋体_GB2312"/>
          <w:sz w:val="24"/>
        </w:rPr>
        <w:t>动态疲劳系数</w:t>
      </w:r>
      <w:r>
        <w:rPr>
          <w:rFonts w:ascii="宋体_GB2312" w:hAnsi="宋体_GB2312" w:eastAsia="宋体_GB2312"/>
          <w:sz w:val="24"/>
        </w:rPr>
        <w:t>nd：</w:t>
      </w:r>
      <w:r>
        <w:rPr>
          <w:rFonts w:hint="eastAsia" w:ascii="宋体_GB2312" w:hAnsi="宋体_GB2312" w:eastAsia="宋体_GB2312"/>
          <w:sz w:val="24"/>
        </w:rPr>
        <w:t>≥</w:t>
      </w:r>
      <w:r>
        <w:rPr>
          <w:rFonts w:ascii="宋体_GB2312" w:hAnsi="宋体_GB2312" w:eastAsia="宋体_GB2312"/>
          <w:sz w:val="24"/>
        </w:rPr>
        <w:t>20。</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2.1.18</w:t>
      </w:r>
      <w:r>
        <w:rPr>
          <w:rFonts w:hint="eastAsia" w:ascii="宋体_GB2312" w:hAnsi="宋体_GB2312" w:eastAsia="宋体_GB2312"/>
          <w:sz w:val="24"/>
        </w:rPr>
        <w:t>衰减</w:t>
      </w:r>
      <w:r>
        <w:rPr>
          <w:rFonts w:hint="eastAsia" w:ascii="宋体_GB2312" w:hAnsi="宋体_GB2312" w:eastAsia="宋体_GB2312"/>
          <w:sz w:val="24"/>
          <w:lang w:val="en-GB"/>
        </w:rPr>
        <w:t>温度</w:t>
      </w:r>
      <w:r>
        <w:rPr>
          <w:rFonts w:hint="eastAsia" w:ascii="宋体_GB2312" w:hAnsi="宋体_GB2312" w:eastAsia="宋体_GB2312"/>
          <w:sz w:val="24"/>
        </w:rPr>
        <w:t>特性</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光纤试样在</w:t>
      </w:r>
      <w:r>
        <w:rPr>
          <w:rFonts w:ascii="宋体_GB2312" w:hAnsi="宋体_GB2312" w:eastAsia="宋体_GB2312"/>
          <w:sz w:val="24"/>
        </w:rPr>
        <w:t>-60℃～+85℃范围内,在1310</w:t>
      </w:r>
      <w:r>
        <w:rPr>
          <w:rFonts w:hint="eastAsia" w:ascii="宋体_GB2312" w:hAnsi="宋体_GB2312" w:eastAsia="宋体_GB2312"/>
          <w:sz w:val="24"/>
        </w:rPr>
        <w:t>nm</w:t>
      </w:r>
      <w:r>
        <w:rPr>
          <w:rFonts w:ascii="宋体_GB2312" w:hAnsi="宋体_GB2312" w:eastAsia="宋体_GB2312"/>
          <w:sz w:val="24"/>
        </w:rPr>
        <w:t>、1550</w:t>
      </w:r>
      <w:r>
        <w:rPr>
          <w:rFonts w:hint="eastAsia" w:ascii="宋体_GB2312" w:hAnsi="宋体_GB2312" w:eastAsia="宋体_GB2312"/>
          <w:sz w:val="24"/>
        </w:rPr>
        <w:t>nm</w:t>
      </w:r>
      <w:r>
        <w:rPr>
          <w:rFonts w:ascii="宋体_GB2312" w:hAnsi="宋体_GB2312" w:eastAsia="宋体_GB2312"/>
          <w:sz w:val="24"/>
        </w:rPr>
        <w:t>波长允许的附加衰减系数不大于0.05dB/km。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2.1.19</w:t>
      </w:r>
      <w:r>
        <w:rPr>
          <w:rFonts w:hint="eastAsia" w:ascii="宋体_GB2312" w:hAnsi="宋体_GB2312" w:eastAsia="宋体_GB2312"/>
          <w:sz w:val="24"/>
        </w:rPr>
        <w:t>湿热</w:t>
      </w:r>
      <w:r>
        <w:rPr>
          <w:rFonts w:hint="eastAsia" w:ascii="宋体_GB2312" w:hAnsi="宋体_GB2312" w:eastAsia="宋体_GB2312"/>
          <w:sz w:val="24"/>
          <w:lang w:val="en-GB"/>
        </w:rPr>
        <w:t>性能</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光纤试样在</w:t>
      </w:r>
      <w:r>
        <w:rPr>
          <w:rFonts w:ascii="宋体_GB2312" w:hAnsi="宋体_GB2312" w:eastAsia="宋体_GB2312"/>
          <w:sz w:val="24"/>
        </w:rPr>
        <w:t>85ºC±2ºC温度和相对湿度不低于85%的条件下，放置30天后，在1310nm、1550nm波长与20ºC时相比允许的附加衰减系数≤0.05dB/km。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2.1.20</w:t>
      </w:r>
      <w:r>
        <w:rPr>
          <w:rFonts w:hint="eastAsia" w:ascii="宋体_GB2312" w:hAnsi="宋体_GB2312" w:eastAsia="宋体_GB2312"/>
          <w:sz w:val="24"/>
        </w:rPr>
        <w:t>浸水性能</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光纤试样在</w:t>
      </w:r>
      <w:r>
        <w:rPr>
          <w:rFonts w:ascii="宋体_GB2312" w:hAnsi="宋体_GB2312" w:eastAsia="宋体_GB2312"/>
          <w:sz w:val="24"/>
        </w:rPr>
        <w:t>23℃±2℃温度下，浸泡在水中30天后，在1310、1550波长与20ºC时相比允许的附加衰减系数不大于0.05dB/km。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2.1.21</w:t>
      </w:r>
      <w:r>
        <w:rPr>
          <w:rFonts w:hint="eastAsia" w:ascii="宋体_GB2312" w:hAnsi="宋体_GB2312" w:eastAsia="宋体_GB2312"/>
          <w:sz w:val="24"/>
        </w:rPr>
        <w:t>热</w:t>
      </w:r>
      <w:r>
        <w:rPr>
          <w:rFonts w:hint="eastAsia" w:ascii="宋体_GB2312" w:hAnsi="宋体_GB2312" w:eastAsia="宋体_GB2312"/>
          <w:sz w:val="24"/>
          <w:lang w:val="en-GB"/>
        </w:rPr>
        <w:t>老化</w:t>
      </w:r>
      <w:r>
        <w:rPr>
          <w:rFonts w:hint="eastAsia" w:ascii="宋体_GB2312" w:hAnsi="宋体_GB2312" w:eastAsia="宋体_GB2312"/>
          <w:sz w:val="24"/>
        </w:rPr>
        <w:t>性能</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光纤试样在</w:t>
      </w:r>
      <w:r>
        <w:rPr>
          <w:rFonts w:ascii="宋体_GB2312" w:hAnsi="宋体_GB2312" w:eastAsia="宋体_GB2312"/>
          <w:sz w:val="24"/>
        </w:rPr>
        <w:t>85ºC±2ºC温度条件下放置30天后，在1310nm、1550nm波长与20ºC时相比允许的附加衰减系数≤0.05dB/km。</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2.1.22</w:t>
      </w:r>
      <w:r>
        <w:rPr>
          <w:rFonts w:hint="eastAsia" w:ascii="宋体_GB2312" w:hAnsi="宋体_GB2312" w:eastAsia="宋体_GB2312"/>
          <w:sz w:val="24"/>
        </w:rPr>
        <w:t>氢</w:t>
      </w:r>
      <w:r>
        <w:rPr>
          <w:rFonts w:hint="eastAsia" w:ascii="宋体_GB2312" w:hAnsi="宋体_GB2312" w:eastAsia="宋体_GB2312"/>
          <w:sz w:val="24"/>
          <w:lang w:val="en-GB"/>
        </w:rPr>
        <w:t>老化试验</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按照</w:t>
      </w:r>
      <w:r>
        <w:rPr>
          <w:rFonts w:ascii="宋体_GB2312" w:hAnsi="宋体_GB2312" w:eastAsia="宋体_GB2312"/>
          <w:sz w:val="24"/>
        </w:rPr>
        <w:t>IEC 60793-2-</w:t>
      </w:r>
      <w:r>
        <w:rPr>
          <w:rFonts w:ascii="宋体_GB2312" w:hAnsi="宋体_GB2312" w:eastAsia="宋体_GB2312"/>
          <w:sz w:val="24"/>
          <w:lang w:val="en-GB"/>
        </w:rPr>
        <w:t>50</w:t>
      </w:r>
      <w:r>
        <w:rPr>
          <w:rFonts w:ascii="宋体_GB2312" w:hAnsi="宋体_GB2312" w:eastAsia="宋体_GB2312"/>
          <w:sz w:val="24"/>
        </w:rPr>
        <w:t xml:space="preserve"> Annex C.3.1的氢老化测试标准要求，在密闭容器中充入1%的氢/氮混合气体，放置6天后，测量在1383nm波长下的样品的衰减平均值须不大于经过氢老化后</w:t>
      </w:r>
      <w:r>
        <w:rPr>
          <w:rFonts w:hint="eastAsia" w:ascii="宋体_GB2312" w:hAnsi="宋体_GB2312" w:eastAsia="宋体_GB2312"/>
          <w:sz w:val="24"/>
        </w:rPr>
        <w:t>在</w:t>
      </w:r>
      <w:r>
        <w:rPr>
          <w:rFonts w:ascii="宋体_GB2312" w:hAnsi="宋体_GB2312" w:eastAsia="宋体_GB2312"/>
          <w:sz w:val="24"/>
        </w:rPr>
        <w:t>1310nm波长处的值。</w:t>
      </w:r>
    </w:p>
    <w:p>
      <w:pPr>
        <w:spacing w:before="120" w:beforeLines="50" w:line="300" w:lineRule="auto"/>
        <w:ind w:firstLine="480" w:firstLineChars="200"/>
        <w:rPr>
          <w:rFonts w:ascii="宋体_GB2312" w:hAnsi="宋体_GB2312" w:eastAsia="宋体_GB2312"/>
          <w:sz w:val="24"/>
        </w:rPr>
      </w:pPr>
      <w:r>
        <w:rPr>
          <w:rFonts w:ascii="宋体_GB2312" w:hAnsi="宋体_GB2312" w:eastAsia="宋体_GB2312"/>
          <w:sz w:val="24"/>
        </w:rPr>
        <w:t>2.1.23</w:t>
      </w:r>
      <w:r>
        <w:rPr>
          <w:rFonts w:hint="eastAsia" w:ascii="宋体_GB2312" w:hAnsi="宋体_GB2312" w:eastAsia="宋体_GB2312"/>
          <w:sz w:val="24"/>
        </w:rPr>
        <w:t>光纤接头</w:t>
      </w:r>
      <w:r>
        <w:rPr>
          <w:rFonts w:hint="eastAsia" w:ascii="宋体_GB2312" w:hAnsi="宋体_GB2312" w:eastAsia="宋体_GB2312"/>
          <w:sz w:val="24"/>
          <w:lang w:val="en-GB"/>
        </w:rPr>
        <w:t>损耗</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所供光缆中的任意两根光纤在工厂条件下</w:t>
      </w:r>
      <w:r>
        <w:rPr>
          <w:rFonts w:ascii="宋体_GB2312" w:hAnsi="宋体_GB2312" w:eastAsia="宋体_GB2312"/>
          <w:sz w:val="24"/>
        </w:rPr>
        <w:t>1310nm和1550nm波长的熔接损耗应满足：</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平均值≤</w:t>
      </w:r>
      <w:r>
        <w:rPr>
          <w:rFonts w:ascii="宋体_GB2312" w:hAnsi="宋体_GB2312" w:eastAsia="宋体_GB2312"/>
          <w:sz w:val="24"/>
        </w:rPr>
        <w:t>0.03dB</w:t>
      </w:r>
    </w:p>
    <w:p>
      <w:pPr>
        <w:spacing w:before="120" w:beforeLines="50" w:line="300" w:lineRule="auto"/>
        <w:ind w:firstLine="480" w:firstLineChars="200"/>
        <w:rPr>
          <w:rFonts w:ascii="宋体_GB2312" w:hAnsi="宋体_GB2312" w:eastAsia="宋体_GB2312"/>
          <w:sz w:val="24"/>
        </w:rPr>
      </w:pPr>
      <w:r>
        <w:rPr>
          <w:rFonts w:hint="eastAsia" w:ascii="宋体_GB2312" w:hAnsi="宋体_GB2312" w:eastAsia="宋体_GB2312"/>
          <w:sz w:val="24"/>
        </w:rPr>
        <w:t>最大值（</w:t>
      </w:r>
      <w:r>
        <w:rPr>
          <w:rFonts w:ascii="宋体_GB2312" w:hAnsi="宋体_GB2312" w:eastAsia="宋体_GB2312"/>
          <w:sz w:val="24"/>
        </w:rPr>
        <w:t>2σ）≤0.06dB。</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w:t>
      </w:r>
      <w:bookmarkStart w:id="14" w:name="OLE_LINK1"/>
      <w:r>
        <w:rPr>
          <w:rFonts w:ascii="宋体_GB2312" w:hAnsi="宋体_GB2312" w:eastAsia="宋体_GB2312"/>
          <w:sz w:val="24"/>
          <w:szCs w:val="24"/>
        </w:rPr>
        <w:t>24</w:t>
      </w:r>
      <w:bookmarkEnd w:id="14"/>
      <w:r>
        <w:rPr>
          <w:rFonts w:hint="eastAsia" w:ascii="宋体_GB2312" w:hAnsi="宋体_GB2312" w:eastAsia="宋体_GB2312"/>
          <w:sz w:val="24"/>
          <w:szCs w:val="24"/>
        </w:rPr>
        <w:t>偏振模色散</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在</w:t>
      </w:r>
      <w:r>
        <w:rPr>
          <w:rFonts w:ascii="宋体_GB2312" w:hAnsi="宋体_GB2312" w:eastAsia="宋体_GB2312"/>
          <w:sz w:val="24"/>
          <w:szCs w:val="24"/>
        </w:rPr>
        <w:t>1550nm波长光缆单盘偏振模色散系数：≤0.125ｐｓ/</w:t>
      </w:r>
      <w:r>
        <w:rPr>
          <w:rFonts w:hint="eastAsia" w:ascii="宋体_GB2312" w:hAnsi="宋体_GB2312" w:eastAsia="宋体_GB2312"/>
          <w:sz w:val="24"/>
          <w:szCs w:val="24"/>
        </w:rPr>
        <w:object>
          <v:shape id="_x0000_i1025" o:spt="75" type="#_x0000_t75" style="height:18pt;width:25.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光纤成缆后必须满足在</w:t>
      </w:r>
      <w:r>
        <w:rPr>
          <w:rFonts w:ascii="宋体_GB2312" w:hAnsi="宋体_GB2312" w:eastAsia="宋体_GB2312"/>
          <w:sz w:val="24"/>
          <w:szCs w:val="24"/>
        </w:rPr>
        <w:t>1550nm波长</w:t>
      </w:r>
      <w:r>
        <w:rPr>
          <w:rFonts w:hint="eastAsia" w:ascii="宋体_GB2312" w:hAnsi="宋体_GB2312" w:eastAsia="宋体_GB2312"/>
          <w:sz w:val="24"/>
          <w:lang w:val="en-GB"/>
        </w:rPr>
        <w:t>光缆</w:t>
      </w:r>
      <w:r>
        <w:rPr>
          <w:rFonts w:hint="eastAsia" w:ascii="宋体_GB2312" w:hAnsi="宋体_GB2312" w:eastAsia="宋体_GB2312"/>
          <w:sz w:val="24"/>
          <w:szCs w:val="24"/>
        </w:rPr>
        <w:t>链路（≥</w:t>
      </w:r>
      <w:r>
        <w:rPr>
          <w:rFonts w:ascii="宋体_GB2312" w:hAnsi="宋体_GB2312" w:eastAsia="宋体_GB2312"/>
          <w:sz w:val="24"/>
          <w:szCs w:val="24"/>
        </w:rPr>
        <w:t>20盘光缆）偏振模色散系数≤0.10ｐｓ/</w:t>
      </w:r>
      <w:r>
        <w:rPr>
          <w:rFonts w:hint="eastAsia" w:ascii="宋体_GB2312" w:hAnsi="宋体_GB2312" w:eastAsia="宋体_GB2312"/>
          <w:sz w:val="24"/>
          <w:szCs w:val="24"/>
        </w:rPr>
        <w:object>
          <v:shape id="_x0000_i1026" o:spt="75" type="#_x0000_t75" style="height:18pt;width:25.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hint="eastAsia" w:ascii="宋体_GB2312" w:hAnsi="宋体_GB2312" w:eastAsia="宋体_GB2312"/>
          <w:sz w:val="24"/>
          <w:szCs w:val="24"/>
        </w:rPr>
        <w:t>；</w:t>
      </w:r>
      <w:r>
        <w:rPr>
          <w:rFonts w:ascii="宋体_GB2312" w:hAnsi="宋体_GB2312" w:eastAsia="宋体_GB2312"/>
          <w:sz w:val="24"/>
          <w:szCs w:val="24"/>
        </w:rPr>
        <w:t>Q（概率）=0.01%。</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2.1.25</w:t>
      </w:r>
      <w:r>
        <w:rPr>
          <w:rFonts w:hint="eastAsia" w:ascii="宋体_GB2312" w:hAnsi="宋体_GB2312" w:eastAsia="宋体_GB2312"/>
          <w:sz w:val="24"/>
          <w:szCs w:val="24"/>
        </w:rPr>
        <w:t>光纤在</w:t>
      </w:r>
      <w:r>
        <w:rPr>
          <w:rFonts w:ascii="宋体_GB2312" w:hAnsi="宋体_GB2312" w:eastAsia="宋体_GB2312"/>
          <w:sz w:val="24"/>
          <w:szCs w:val="24"/>
        </w:rPr>
        <w:t>1550nm、1625</w:t>
      </w:r>
      <w:r>
        <w:rPr>
          <w:rFonts w:hint="eastAsia" w:ascii="宋体_GB2312" w:hAnsi="宋体_GB2312" w:eastAsia="宋体_GB2312"/>
          <w:sz w:val="24"/>
          <w:lang w:val="en-GB"/>
        </w:rPr>
        <w:t>nm</w:t>
      </w:r>
      <w:r>
        <w:rPr>
          <w:rFonts w:hint="eastAsia" w:ascii="宋体_GB2312" w:hAnsi="宋体_GB2312" w:eastAsia="宋体_GB2312"/>
          <w:sz w:val="24"/>
          <w:szCs w:val="24"/>
        </w:rPr>
        <w:t>波长上的弯曲衰减特性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以</w:t>
      </w:r>
      <w:r>
        <w:rPr>
          <w:rFonts w:ascii="宋体_GB2312" w:hAnsi="宋体_GB2312" w:eastAsia="宋体_GB2312"/>
          <w:sz w:val="24"/>
          <w:szCs w:val="24"/>
        </w:rPr>
        <w:t>15ｍｍ的弯曲半径松绕10圈后，1550nm</w:t>
      </w:r>
      <w:r>
        <w:rPr>
          <w:rFonts w:hint="eastAsia" w:ascii="宋体_GB2312" w:hAnsi="宋体_GB2312" w:eastAsia="宋体_GB2312"/>
          <w:sz w:val="24"/>
          <w:szCs w:val="24"/>
        </w:rPr>
        <w:t>衰减增加值应≤</w:t>
      </w:r>
      <w:r>
        <w:rPr>
          <w:rFonts w:ascii="宋体_GB2312" w:hAnsi="宋体_GB2312" w:eastAsia="宋体_GB2312"/>
          <w:sz w:val="24"/>
          <w:szCs w:val="24"/>
        </w:rPr>
        <w:t>0.03dB，1625nm衰减增加值应</w:t>
      </w:r>
      <w:r>
        <w:rPr>
          <w:rFonts w:hint="eastAsia" w:ascii="宋体_GB2312" w:hAnsi="宋体_GB2312" w:eastAsia="宋体_GB2312"/>
          <w:sz w:val="24"/>
          <w:szCs w:val="24"/>
        </w:rPr>
        <w:t>≤</w:t>
      </w:r>
      <w:r>
        <w:rPr>
          <w:rFonts w:ascii="宋体_GB2312" w:hAnsi="宋体_GB2312" w:eastAsia="宋体_GB2312"/>
          <w:sz w:val="24"/>
          <w:szCs w:val="24"/>
        </w:rPr>
        <w:t>0.1dB；</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以</w:t>
      </w:r>
      <w:r>
        <w:rPr>
          <w:rFonts w:ascii="宋体_GB2312" w:hAnsi="宋体_GB2312" w:eastAsia="宋体_GB2312"/>
          <w:sz w:val="24"/>
          <w:szCs w:val="24"/>
        </w:rPr>
        <w:t>10ｍｍ的弯曲半径松绕1圈后，1550nm衰减增加值应</w:t>
      </w:r>
      <w:r>
        <w:rPr>
          <w:rFonts w:hint="eastAsia" w:ascii="宋体_GB2312" w:hAnsi="宋体_GB2312" w:eastAsia="宋体_GB2312"/>
          <w:sz w:val="24"/>
          <w:szCs w:val="24"/>
        </w:rPr>
        <w:t>≤</w:t>
      </w:r>
      <w:r>
        <w:rPr>
          <w:rFonts w:ascii="宋体_GB2312" w:hAnsi="宋体_GB2312" w:eastAsia="宋体_GB2312"/>
          <w:sz w:val="24"/>
          <w:szCs w:val="24"/>
        </w:rPr>
        <w:t>0.1dB，1625nm衰减增加值应</w:t>
      </w:r>
      <w:r>
        <w:rPr>
          <w:rFonts w:hint="eastAsia" w:ascii="宋体_GB2312" w:hAnsi="宋体_GB2312" w:eastAsia="宋体_GB2312"/>
          <w:sz w:val="24"/>
          <w:szCs w:val="24"/>
        </w:rPr>
        <w:t>≤</w:t>
      </w:r>
      <w:r>
        <w:rPr>
          <w:rFonts w:ascii="宋体_GB2312" w:hAnsi="宋体_GB2312" w:eastAsia="宋体_GB2312"/>
          <w:sz w:val="24"/>
          <w:szCs w:val="24"/>
        </w:rPr>
        <w:t>0.2dB</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以</w:t>
      </w:r>
      <w:r>
        <w:rPr>
          <w:rFonts w:ascii="宋体_GB2312" w:hAnsi="宋体_GB2312" w:eastAsia="宋体_GB2312"/>
          <w:sz w:val="24"/>
          <w:szCs w:val="24"/>
        </w:rPr>
        <w:t>7.5ｍｍ的弯曲</w:t>
      </w:r>
      <w:r>
        <w:rPr>
          <w:rFonts w:hint="eastAsia" w:ascii="宋体_GB2312" w:hAnsi="宋体_GB2312" w:eastAsia="宋体_GB2312"/>
          <w:sz w:val="24"/>
          <w:szCs w:val="24"/>
        </w:rPr>
        <w:t>半径松绕</w:t>
      </w:r>
      <w:r>
        <w:rPr>
          <w:rFonts w:ascii="宋体_GB2312" w:hAnsi="宋体_GB2312" w:eastAsia="宋体_GB2312"/>
          <w:sz w:val="24"/>
          <w:szCs w:val="24"/>
        </w:rPr>
        <w:t>1圈后，1550nm衰减增加值应</w:t>
      </w:r>
      <w:r>
        <w:rPr>
          <w:rFonts w:hint="eastAsia" w:ascii="宋体_GB2312" w:hAnsi="宋体_GB2312" w:eastAsia="宋体_GB2312"/>
          <w:sz w:val="24"/>
          <w:szCs w:val="24"/>
        </w:rPr>
        <w:t>≤</w:t>
      </w:r>
      <w:r>
        <w:rPr>
          <w:rFonts w:ascii="宋体_GB2312" w:hAnsi="宋体_GB2312" w:eastAsia="宋体_GB2312"/>
          <w:sz w:val="24"/>
          <w:szCs w:val="24"/>
        </w:rPr>
        <w:t>0.2</w:t>
      </w:r>
      <w:r>
        <w:rPr>
          <w:rFonts w:hint="eastAsia" w:ascii="宋体_GB2312" w:hAnsi="宋体_GB2312" w:eastAsia="宋体_GB2312"/>
          <w:sz w:val="24"/>
          <w:szCs w:val="24"/>
        </w:rPr>
        <w:t>dB，</w:t>
      </w:r>
      <w:r>
        <w:rPr>
          <w:rFonts w:ascii="宋体_GB2312" w:hAnsi="宋体_GB2312" w:eastAsia="宋体_GB2312"/>
          <w:sz w:val="24"/>
          <w:szCs w:val="24"/>
        </w:rPr>
        <w:t>1625nm衰减增加值应</w:t>
      </w:r>
      <w:r>
        <w:rPr>
          <w:rFonts w:hint="eastAsia" w:ascii="宋体_GB2312" w:hAnsi="宋体_GB2312" w:eastAsia="宋体_GB2312"/>
          <w:sz w:val="24"/>
          <w:szCs w:val="24"/>
        </w:rPr>
        <w:t>≤</w:t>
      </w:r>
      <w:r>
        <w:rPr>
          <w:rFonts w:ascii="宋体_GB2312" w:hAnsi="宋体_GB2312" w:eastAsia="宋体_GB2312"/>
          <w:sz w:val="24"/>
          <w:szCs w:val="24"/>
        </w:rPr>
        <w:t>0.5</w:t>
      </w:r>
      <w:r>
        <w:rPr>
          <w:rFonts w:hint="eastAsia" w:ascii="宋体_GB2312" w:hAnsi="宋体_GB2312" w:eastAsia="宋体_GB2312"/>
          <w:sz w:val="24"/>
          <w:szCs w:val="24"/>
        </w:rPr>
        <w:t>dB。</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2.1.26</w:t>
      </w:r>
      <w:r>
        <w:rPr>
          <w:rFonts w:hint="eastAsia" w:ascii="宋体_GB2312" w:hAnsi="宋体_GB2312" w:eastAsia="宋体_GB2312"/>
          <w:sz w:val="24"/>
          <w:szCs w:val="24"/>
        </w:rPr>
        <w:t>测试方法：</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2.1.1 ～ 2.1.25</w:t>
      </w:r>
      <w:r>
        <w:rPr>
          <w:rFonts w:hint="eastAsia" w:ascii="宋体_GB2312" w:hAnsi="宋体_GB2312" w:eastAsia="宋体_GB2312"/>
          <w:sz w:val="24"/>
          <w:szCs w:val="24"/>
        </w:rPr>
        <w:t>项，按照国家标准和</w:t>
      </w:r>
      <w:r>
        <w:rPr>
          <w:rFonts w:ascii="宋体_GB2312" w:hAnsi="宋体_GB2312" w:eastAsia="宋体_GB2312"/>
          <w:sz w:val="24"/>
          <w:szCs w:val="24"/>
        </w:rPr>
        <w:t>ITU-T G.650</w:t>
      </w:r>
      <w:r>
        <w:rPr>
          <w:rFonts w:hint="default" w:ascii="宋体_GB2312" w:hAnsi="宋体_GB2312" w:eastAsia="宋体_GB2312"/>
          <w:sz w:val="24"/>
          <w:szCs w:val="24"/>
          <w:lang w:val="en-US" w:eastAsia="zh-CN"/>
        </w:rPr>
        <w:t>和</w:t>
      </w:r>
      <w:r>
        <w:rPr>
          <w:rFonts w:hint="default" w:ascii="宋体_GB2312" w:hAnsi="宋体_GB2312" w:eastAsia="宋体_GB2312"/>
          <w:sz w:val="24"/>
          <w:szCs w:val="24"/>
        </w:rPr>
        <w:t>IEC</w:t>
      </w:r>
      <w:r>
        <w:rPr>
          <w:rFonts w:ascii="宋体_GB2312" w:hAnsi="宋体_GB2312" w:eastAsia="宋体_GB2312"/>
          <w:sz w:val="24"/>
          <w:szCs w:val="24"/>
        </w:rPr>
        <w:t xml:space="preserve"> 60793</w:t>
      </w:r>
      <w:r>
        <w:rPr>
          <w:rFonts w:hint="default" w:ascii="宋体_GB2312" w:hAnsi="宋体_GB2312" w:eastAsia="宋体_GB2312"/>
          <w:sz w:val="24"/>
          <w:szCs w:val="24"/>
        </w:rPr>
        <w:t>-</w:t>
      </w:r>
      <w:r>
        <w:rPr>
          <w:rFonts w:ascii="宋体_GB2312" w:hAnsi="宋体_GB2312" w:eastAsia="宋体_GB2312"/>
          <w:sz w:val="24"/>
          <w:szCs w:val="24"/>
        </w:rPr>
        <w:t>1建议规定的方法测试。</w:t>
      </w:r>
    </w:p>
    <w:p>
      <w:pPr>
        <w:pStyle w:val="2"/>
        <w:spacing w:before="0" w:after="0" w:line="276" w:lineRule="auto"/>
        <w:rPr>
          <w:rFonts w:ascii="宋体_GB2312" w:hAnsi="宋体_GB2312" w:eastAsia="宋体_GB2312"/>
          <w:sz w:val="24"/>
          <w:szCs w:val="24"/>
        </w:rPr>
      </w:pPr>
      <w:bookmarkStart w:id="15" w:name="_Toc17450"/>
      <w:bookmarkStart w:id="16" w:name="_Toc54084388"/>
      <w:r>
        <w:rPr>
          <w:rFonts w:ascii="宋体_GB2312" w:hAnsi="宋体_GB2312" w:eastAsia="宋体_GB2312"/>
          <w:sz w:val="24"/>
          <w:szCs w:val="24"/>
        </w:rPr>
        <w:t>2.2</w:t>
      </w:r>
      <w:r>
        <w:rPr>
          <w:rFonts w:hint="eastAsia" w:ascii="宋体_GB2312" w:hAnsi="宋体_GB2312" w:eastAsia="宋体_GB2312"/>
          <w:sz w:val="24"/>
          <w:szCs w:val="24"/>
        </w:rPr>
        <w:t>光缆结构</w:t>
      </w:r>
      <w:bookmarkEnd w:id="15"/>
      <w:bookmarkEnd w:id="16"/>
    </w:p>
    <w:p>
      <w:pPr>
        <w:pStyle w:val="4"/>
        <w:spacing w:after="12"/>
        <w:rPr>
          <w:rFonts w:ascii="宋体_GB2312" w:hAnsi="宋体_GB2312" w:eastAsia="宋体_GB2312"/>
        </w:rPr>
      </w:pPr>
      <w:bookmarkStart w:id="17" w:name="_Toc4652"/>
      <w:bookmarkStart w:id="18" w:name="_Toc54084389"/>
      <w:r>
        <w:rPr>
          <w:rFonts w:ascii="宋体_GB2312" w:hAnsi="宋体_GB2312" w:eastAsia="宋体_GB2312"/>
        </w:rPr>
        <w:t>2.2.1</w:t>
      </w:r>
      <w:r>
        <w:rPr>
          <w:rFonts w:hint="eastAsia" w:ascii="宋体_GB2312" w:hAnsi="宋体_GB2312" w:eastAsia="宋体_GB2312"/>
        </w:rPr>
        <w:t>光纤识别</w:t>
      </w:r>
      <w:bookmarkEnd w:id="17"/>
      <w:bookmarkEnd w:id="18"/>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光纤涂覆层可着色，着色层颜色应是符合</w:t>
      </w:r>
      <w:r>
        <w:rPr>
          <w:rFonts w:ascii="宋体_GB2312" w:hAnsi="宋体_GB2312" w:eastAsia="宋体_GB2312"/>
          <w:sz w:val="24"/>
          <w:szCs w:val="24"/>
        </w:rPr>
        <w:t>GB 6995.2规定的蓝、橙、绿、棕、灰、白、红、黑、黄、紫、粉红或青绿色，单纤应为蓝色，也可选用本色。2纤的为蓝、橙两色。4纤的为蓝、橙、绿、棕四色。</w:t>
      </w:r>
    </w:p>
    <w:p>
      <w:pPr>
        <w:pStyle w:val="4"/>
        <w:spacing w:after="12"/>
        <w:rPr>
          <w:rFonts w:ascii="宋体_GB2312" w:hAnsi="宋体_GB2312" w:eastAsia="宋体_GB2312"/>
        </w:rPr>
      </w:pPr>
      <w:bookmarkStart w:id="19" w:name="_Toc21045"/>
      <w:bookmarkStart w:id="20" w:name="_Toc54084390"/>
      <w:r>
        <w:rPr>
          <w:rFonts w:ascii="宋体_GB2312" w:hAnsi="宋体_GB2312" w:eastAsia="宋体_GB2312"/>
        </w:rPr>
        <w:t>2.2.2</w:t>
      </w:r>
      <w:r>
        <w:rPr>
          <w:rFonts w:hint="eastAsia" w:ascii="宋体_GB2312" w:hAnsi="宋体_GB2312" w:eastAsia="宋体_GB2312"/>
        </w:rPr>
        <w:t>加强构件</w:t>
      </w:r>
      <w:bookmarkEnd w:id="19"/>
      <w:bookmarkEnd w:id="20"/>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光缆中应平行、对称放置两根相同的加强构件。加强构件可以为金属材料也可以为非金属材料。</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金属加强构件：可采用高强度不锈钢钢丝、磷化钢丝、钢绞线。</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非金属加强构件：可选用</w:t>
      </w:r>
      <w:r>
        <w:rPr>
          <w:rFonts w:ascii="宋体_GB2312" w:hAnsi="宋体_GB2312" w:eastAsia="宋体_GB2312"/>
          <w:sz w:val="24"/>
          <w:szCs w:val="24"/>
        </w:rPr>
        <w:t>K-FRP、G-FRP等，并具有足够的杨氏模量和弹性应变范围。</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4）</w:t>
      </w:r>
      <w:r>
        <w:rPr>
          <w:rFonts w:hint="eastAsia" w:ascii="宋体_GB2312" w:hAnsi="宋体_GB2312" w:eastAsia="宋体_GB2312"/>
          <w:sz w:val="24"/>
          <w:szCs w:val="24"/>
        </w:rPr>
        <w:t>加强构件应嵌入在护套内，不得外露。在光缆制造长度内，加强构件不允许有接头。使用</w:t>
      </w:r>
      <w:r>
        <w:rPr>
          <w:rFonts w:ascii="宋体_GB2312" w:hAnsi="宋体_GB2312" w:eastAsia="宋体_GB2312"/>
          <w:sz w:val="24"/>
          <w:szCs w:val="24"/>
        </w:rPr>
        <w:t>K-FRP（芳纶纤维增强塑料杆），其定义和技术要求应参照并满足YD/T 1181.3-2011</w:t>
      </w:r>
      <w:r>
        <w:rPr>
          <w:rFonts w:hint="eastAsia" w:ascii="宋体_GB2312" w:hAnsi="宋体_GB2312" w:eastAsia="宋体_GB2312"/>
          <w:sz w:val="24"/>
          <w:szCs w:val="24"/>
        </w:rPr>
        <w:t>《光缆用非金属加强件的特性</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3</w:t>
      </w:r>
      <w:r>
        <w:rPr>
          <w:rFonts w:hint="eastAsia" w:ascii="宋体_GB2312" w:hAnsi="宋体_GB2312" w:eastAsia="宋体_GB2312"/>
          <w:sz w:val="24"/>
          <w:szCs w:val="24"/>
        </w:rPr>
        <w:t>部分：芳纶增强塑料杆》的要求; 使用G</w:t>
      </w:r>
      <w:r>
        <w:rPr>
          <w:rFonts w:ascii="宋体_GB2312" w:hAnsi="宋体_GB2312" w:eastAsia="宋体_GB2312"/>
          <w:sz w:val="24"/>
          <w:szCs w:val="24"/>
        </w:rPr>
        <w:t>-FRP（</w:t>
      </w:r>
      <w:r>
        <w:rPr>
          <w:rFonts w:hint="eastAsia" w:ascii="宋体_GB2312" w:hAnsi="宋体_GB2312" w:eastAsia="宋体_GB2312"/>
          <w:sz w:val="24"/>
          <w:szCs w:val="24"/>
        </w:rPr>
        <w:t>玻璃</w:t>
      </w:r>
      <w:r>
        <w:rPr>
          <w:rFonts w:ascii="宋体_GB2312" w:hAnsi="宋体_GB2312" w:eastAsia="宋体_GB2312"/>
          <w:sz w:val="24"/>
          <w:szCs w:val="24"/>
        </w:rPr>
        <w:t>纤维增强塑料杆），其定义和技术要求应参照并满足YD/T 1181.1-2015</w:t>
      </w:r>
      <w:r>
        <w:rPr>
          <w:rFonts w:hint="eastAsia" w:ascii="宋体_GB2312" w:hAnsi="宋体_GB2312" w:eastAsia="宋体_GB2312"/>
          <w:sz w:val="24"/>
          <w:szCs w:val="24"/>
        </w:rPr>
        <w:t>《光缆用非金属加强件的特性</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部分：玻璃纤维增强塑料杆》的要求。</w:t>
      </w:r>
    </w:p>
    <w:p>
      <w:pPr>
        <w:pStyle w:val="4"/>
        <w:spacing w:after="12"/>
        <w:rPr>
          <w:rFonts w:ascii="宋体_GB2312" w:hAnsi="宋体_GB2312" w:eastAsia="宋体_GB2312"/>
        </w:rPr>
      </w:pPr>
      <w:bookmarkStart w:id="21" w:name="_Toc10079"/>
      <w:bookmarkStart w:id="22" w:name="_Toc54084391"/>
      <w:r>
        <w:rPr>
          <w:rFonts w:ascii="宋体_GB2312" w:hAnsi="宋体_GB2312" w:eastAsia="宋体_GB2312"/>
        </w:rPr>
        <w:t>2.2.3</w:t>
      </w:r>
      <w:r>
        <w:rPr>
          <w:rFonts w:hint="eastAsia" w:ascii="宋体_GB2312" w:hAnsi="宋体_GB2312" w:eastAsia="宋体_GB2312"/>
        </w:rPr>
        <w:t>增强构件</w:t>
      </w:r>
      <w:bookmarkEnd w:id="21"/>
      <w:bookmarkEnd w:id="22"/>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对于自承式蝶形光缆，光缆中除了应放置加强构件外，还应放置增强构件。光缆的增强构件宜为吊线，用以架空敷设时承载大部分的张力。吊线一般为单根钢丝或由多根金属线绞合而成，高强度钢丝宜由不易腐蚀的或镀有保护层的钢材制成，在光缆制造长度内，增强构件不允许有接头。采用镀锌钢丝时，表面的锌层含量应不小于20g/m</w:t>
      </w:r>
      <w:r>
        <w:rPr>
          <w:rFonts w:ascii="宋体_GB2312" w:hAnsi="宋体_GB2312" w:eastAsia="宋体_GB2312"/>
          <w:sz w:val="24"/>
          <w:szCs w:val="24"/>
          <w:vertAlign w:val="superscript"/>
        </w:rPr>
        <w:t>2</w:t>
      </w:r>
      <w:r>
        <w:rPr>
          <w:rFonts w:hint="eastAsia" w:ascii="宋体_GB2312" w:hAnsi="宋体_GB2312" w:eastAsia="宋体_GB2312"/>
          <w:sz w:val="24"/>
          <w:szCs w:val="24"/>
        </w:rPr>
        <w:t>。吊线为金属构件时，金属吊线应能通过GB/T 2423.17－2008 《</w:t>
      </w:r>
      <w:r>
        <w:rPr>
          <w:rFonts w:ascii="宋体_GB2312" w:hAnsi="宋体_GB2312" w:eastAsia="宋体_GB2312"/>
          <w:color w:val="606266"/>
          <w:sz w:val="24"/>
          <w:szCs w:val="24"/>
          <w:shd w:val="clear" w:color="auto" w:fill="auto"/>
        </w:rPr>
        <w:t>电工电子产品环境试验 第2部分: 试验方法 试验Ka：盐雾</w:t>
      </w:r>
      <w:r>
        <w:rPr>
          <w:rFonts w:hint="eastAsia" w:ascii="宋体_GB2312" w:hAnsi="宋体_GB2312" w:eastAsia="宋体_GB2312"/>
          <w:sz w:val="24"/>
          <w:szCs w:val="24"/>
        </w:rPr>
        <w:t>》规定的盐雾试验。</w:t>
      </w:r>
    </w:p>
    <w:p>
      <w:pPr>
        <w:spacing w:before="120" w:beforeLines="50" w:line="300" w:lineRule="auto"/>
        <w:ind w:firstLine="480" w:firstLineChars="200"/>
        <w:rPr>
          <w:rFonts w:hint="default" w:ascii="宋体_GB2312" w:hAnsi="宋体_GB2312" w:eastAsia="宋体_GB2312"/>
          <w:sz w:val="24"/>
          <w:szCs w:val="24"/>
          <w:lang w:val="en-US" w:eastAsia="zh-CN"/>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管道用蝶形光缆的增强构件主要是放置在室内蝶形光缆两边分离口处的金属钢丝或非金属材料圆杆，用以管道敷设时承载张力和保证光缆结构圆整。在光缆制造长度内，增强构件不允许有接头。</w:t>
      </w:r>
      <w:r>
        <w:rPr>
          <w:rFonts w:hint="eastAsia" w:ascii="宋体_GB2312" w:hAnsi="宋体_GB2312" w:eastAsia="宋体_GB2312"/>
          <w:sz w:val="24"/>
          <w:szCs w:val="24"/>
          <w:lang w:val="en-US" w:eastAsia="zh-CN"/>
        </w:rPr>
        <w:t>对于短期拉力1500N的管道用蝶形光缆，可增加铠装层。</w:t>
      </w:r>
    </w:p>
    <w:p>
      <w:pPr>
        <w:spacing w:before="120" w:beforeLines="50" w:line="300" w:lineRule="auto"/>
        <w:ind w:firstLine="480" w:firstLineChars="200"/>
        <w:rPr>
          <w:rFonts w:hint="eastAsia" w:ascii="宋体_GB2312" w:hAnsi="宋体_GB2312" w:eastAsia="宋体_GB2312"/>
          <w:sz w:val="24"/>
          <w:szCs w:val="24"/>
        </w:rPr>
      </w:pPr>
      <w:r>
        <w:rPr>
          <w:rFonts w:hint="eastAsia" w:ascii="宋体_GB2312" w:hAnsi="宋体_GB2312" w:eastAsia="宋体_GB2312"/>
          <w:sz w:val="24"/>
          <w:szCs w:val="24"/>
          <w:lang w:eastAsia="zh-CN"/>
        </w:rPr>
        <w:t>（</w:t>
      </w:r>
      <w:r>
        <w:rPr>
          <w:rFonts w:hint="eastAsia" w:ascii="宋体_GB2312" w:hAnsi="宋体_GB2312" w:eastAsia="宋体_GB2312"/>
          <w:sz w:val="24"/>
          <w:szCs w:val="24"/>
          <w:lang w:val="en-US" w:eastAsia="zh-CN"/>
        </w:rPr>
        <w:t>3</w:t>
      </w:r>
      <w:r>
        <w:rPr>
          <w:rFonts w:hint="eastAsia" w:ascii="宋体_GB2312" w:hAnsi="宋体_GB2312" w:eastAsia="宋体_GB2312"/>
          <w:sz w:val="24"/>
          <w:szCs w:val="24"/>
          <w:lang w:eastAsia="zh-CN"/>
        </w:rPr>
        <w:t>）</w:t>
      </w:r>
      <w:r>
        <w:rPr>
          <w:rFonts w:hint="eastAsia" w:ascii="宋体_GB2312" w:hAnsi="宋体_GB2312" w:eastAsia="宋体_GB2312"/>
          <w:sz w:val="24"/>
          <w:szCs w:val="24"/>
        </w:rPr>
        <w:t>管道用蝶形光缆</w:t>
      </w:r>
      <w:r>
        <w:rPr>
          <w:rFonts w:hint="eastAsia" w:ascii="宋体_GB2312" w:hAnsi="宋体_GB2312" w:eastAsia="宋体_GB2312"/>
          <w:sz w:val="24"/>
          <w:szCs w:val="24"/>
          <w:lang w:val="en-US" w:eastAsia="zh-CN"/>
        </w:rPr>
        <w:t>应阻水。</w:t>
      </w:r>
      <w:r>
        <w:rPr>
          <w:rFonts w:ascii="宋体" w:hAnsi="宋体" w:eastAsia="宋体" w:cs="宋体"/>
          <w:sz w:val="24"/>
          <w:szCs w:val="24"/>
        </w:rPr>
        <w:t>为保证管道</w:t>
      </w:r>
      <w:r>
        <w:rPr>
          <w:rFonts w:hint="eastAsia" w:ascii="宋体" w:hAnsi="宋体" w:eastAsia="宋体" w:cs="宋体"/>
          <w:sz w:val="24"/>
          <w:szCs w:val="24"/>
          <w:lang w:val="en-US" w:eastAsia="zh-CN"/>
        </w:rPr>
        <w:t>用蝶形</w:t>
      </w:r>
      <w:r>
        <w:rPr>
          <w:rFonts w:ascii="宋体" w:hAnsi="宋体" w:eastAsia="宋体" w:cs="宋体"/>
          <w:sz w:val="24"/>
          <w:szCs w:val="24"/>
        </w:rPr>
        <w:t>光缆有良好的抗渗水能力，光缆护套以内的所有间隙应有有效的阻水措施，在钢/铝带（或外护套）和普通蝶形光缆之间设有阻水层。阻水层材料可以是吸水膨胀带或阻水纱，</w:t>
      </w:r>
      <w:r>
        <w:rPr>
          <w:rFonts w:hint="eastAsia" w:ascii="宋体" w:hAnsi="宋体" w:eastAsia="宋体" w:cs="宋体"/>
          <w:sz w:val="24"/>
          <w:szCs w:val="24"/>
          <w:lang w:val="en-US" w:eastAsia="zh-CN"/>
        </w:rPr>
        <w:t>也可以是</w:t>
      </w:r>
      <w:r>
        <w:rPr>
          <w:rFonts w:hint="eastAsia" w:ascii="宋体_GB2312" w:hAnsi="宋体_GB2312" w:eastAsia="宋体_GB2312"/>
          <w:sz w:val="24"/>
          <w:szCs w:val="24"/>
          <w:lang w:val="en-US" w:eastAsia="zh-CN"/>
        </w:rPr>
        <w:t>其它阻水材料</w:t>
      </w:r>
      <w:r>
        <w:rPr>
          <w:rFonts w:ascii="宋体" w:hAnsi="宋体" w:eastAsia="宋体" w:cs="宋体"/>
          <w:sz w:val="24"/>
          <w:szCs w:val="24"/>
        </w:rPr>
        <w:t>，或间隔设置阻水环。吸水膨胀带和阻水纱性能应分别符合 YD/T 1115.1 和 YD/T 1115.2 规定。 普通蝶形引入光缆和自承式蝶形引入光缆无此要求。</w:t>
      </w:r>
      <w:r>
        <w:rPr>
          <w:rFonts w:hint="eastAsia" w:ascii="宋体_GB2312" w:hAnsi="宋体_GB2312" w:eastAsia="宋体_GB2312"/>
          <w:sz w:val="24"/>
          <w:szCs w:val="24"/>
          <w:lang w:val="en-US" w:eastAsia="zh-CN"/>
        </w:rPr>
        <w:t>填充物和其它阻水材料应与光缆的其它材料相容。</w:t>
      </w:r>
    </w:p>
    <w:p>
      <w:pPr>
        <w:pStyle w:val="4"/>
        <w:spacing w:after="12"/>
        <w:rPr>
          <w:rFonts w:ascii="宋体_GB2312" w:hAnsi="宋体_GB2312" w:eastAsia="宋体_GB2312"/>
        </w:rPr>
      </w:pPr>
      <w:bookmarkStart w:id="23" w:name="_Toc28097"/>
      <w:bookmarkStart w:id="24" w:name="_Toc54084392"/>
      <w:r>
        <w:rPr>
          <w:rFonts w:ascii="宋体_GB2312" w:hAnsi="宋体_GB2312" w:eastAsia="宋体_GB2312"/>
        </w:rPr>
        <w:t>2.2.4</w:t>
      </w:r>
      <w:r>
        <w:rPr>
          <w:rFonts w:hint="eastAsia" w:ascii="宋体_GB2312" w:hAnsi="宋体_GB2312" w:eastAsia="宋体_GB2312"/>
        </w:rPr>
        <w:t>护套</w:t>
      </w:r>
      <w:bookmarkEnd w:id="23"/>
      <w:bookmarkEnd w:id="24"/>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缆芯和吊线外应挤包一层具有保护功能的护套，护套材料可采用低烟无卤阻燃聚烯烃材料或聚氯乙烯材料。对于低烟无卤阻燃聚烯烃护套，护套材料宜符合</w:t>
      </w:r>
      <w:r>
        <w:rPr>
          <w:rFonts w:ascii="宋体_GB2312" w:hAnsi="宋体_GB2312" w:eastAsia="宋体_GB2312"/>
          <w:sz w:val="24"/>
          <w:szCs w:val="24"/>
        </w:rPr>
        <w:t>YD/T 1113-2015</w:t>
      </w:r>
      <w:r>
        <w:rPr>
          <w:rFonts w:hint="eastAsia" w:ascii="宋体_GB2312" w:hAnsi="宋体_GB2312" w:eastAsia="宋体_GB2312"/>
          <w:sz w:val="24"/>
          <w:szCs w:val="24"/>
        </w:rPr>
        <w:t>《通信电缆光缆用无卤低烟阻燃材料》的规定。对于聚氯乙烯护套光缆，护套材料宜符合</w:t>
      </w:r>
      <w:r>
        <w:rPr>
          <w:rFonts w:ascii="宋体_GB2312" w:hAnsi="宋体_GB2312" w:eastAsia="宋体_GB2312"/>
          <w:sz w:val="24"/>
          <w:szCs w:val="24"/>
        </w:rPr>
        <w:t>GB/T 8815-2008</w:t>
      </w:r>
      <w:r>
        <w:rPr>
          <w:rFonts w:hint="eastAsia" w:ascii="宋体_GB2312" w:hAnsi="宋体_GB2312" w:eastAsia="宋体_GB2312"/>
          <w:sz w:val="24"/>
          <w:szCs w:val="24"/>
        </w:rPr>
        <w:t>《电线电缆用软聚氯乙烯塑料》中</w:t>
      </w:r>
      <w:r>
        <w:rPr>
          <w:rFonts w:ascii="宋体_GB2312" w:hAnsi="宋体_GB2312" w:eastAsia="宋体_GB2312"/>
          <w:sz w:val="24"/>
          <w:szCs w:val="24"/>
        </w:rPr>
        <w:t xml:space="preserve"> </w:t>
      </w:r>
      <w:r>
        <w:rPr>
          <w:rFonts w:hint="eastAsia" w:ascii="宋体_GB2312" w:hAnsi="宋体_GB2312" w:eastAsia="宋体_GB2312"/>
          <w:sz w:val="24"/>
          <w:szCs w:val="24"/>
        </w:rPr>
        <w:t>“</w:t>
      </w:r>
      <w:r>
        <w:rPr>
          <w:rFonts w:ascii="宋体_GB2312" w:hAnsi="宋体_GB2312" w:eastAsia="宋体_GB2312"/>
          <w:sz w:val="24"/>
          <w:szCs w:val="24"/>
        </w:rPr>
        <w:t>90</w:t>
      </w:r>
      <w:r>
        <w:rPr>
          <w:rFonts w:hint="eastAsia" w:ascii="宋体_GB2312" w:hAnsi="宋体_GB2312" w:eastAsia="宋体_GB2312"/>
          <w:sz w:val="24"/>
          <w:szCs w:val="24"/>
        </w:rPr>
        <w:t>℃护套级软聚氯乙烯塑料”的规定；也可根据用户需要采用其它材料，但其性能应能满足本标准的要求。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护套的表面应平整光滑、颜色均匀，其断面上应无目力可见的裂纹、气泡和砂眼等缺陷。</w:t>
      </w:r>
    </w:p>
    <w:p>
      <w:pPr>
        <w:spacing w:before="120" w:beforeLines="50" w:line="300" w:lineRule="auto"/>
        <w:ind w:firstLine="480" w:firstLineChars="200"/>
        <w:rPr>
          <w:rFonts w:hint="eastAsia"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护套应连续地挤包在光纤、加强构件上。</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4</w:t>
      </w:r>
      <w:r>
        <w:rPr>
          <w:rFonts w:hint="eastAsia" w:ascii="宋体_GB2312" w:hAnsi="宋体_GB2312" w:eastAsia="宋体_GB2312"/>
          <w:sz w:val="24"/>
          <w:szCs w:val="24"/>
        </w:rPr>
        <w:t>）加强构件外和增强构件外的护套最小厚度均应不小于</w:t>
      </w:r>
      <w:r>
        <w:rPr>
          <w:rFonts w:ascii="宋体_GB2312" w:hAnsi="宋体_GB2312" w:eastAsia="宋体_GB2312"/>
          <w:sz w:val="24"/>
          <w:szCs w:val="24"/>
        </w:rPr>
        <w:t>0.4mm。</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5）</w:t>
      </w:r>
      <w:r>
        <w:rPr>
          <w:rFonts w:hint="eastAsia" w:ascii="宋体_GB2312" w:hAnsi="宋体_GB2312" w:eastAsia="宋体_GB2312"/>
          <w:sz w:val="24"/>
          <w:szCs w:val="24"/>
        </w:rPr>
        <w:t>护套颜色一般为黑色，也可按用户要求的其它颜色进行生产</w:t>
      </w:r>
      <w:r>
        <w:rPr>
          <w:rFonts w:ascii="宋体_GB2312" w:hAnsi="宋体_GB2312" w:eastAsia="宋体_GB2312"/>
          <w:sz w:val="24"/>
          <w:szCs w:val="24"/>
        </w:rPr>
        <w:t>(用于室内的蝶形光缆，护套颜色宜采用白色或用户要求的颜色；用于室外的光缆，其护套颜色应为黑色，以抗紫外线)。</w:t>
      </w:r>
      <w:r>
        <w:rPr>
          <w:rFonts w:hint="eastAsia" w:ascii="宋体_GB2312" w:hAnsi="宋体_GB2312" w:eastAsia="宋体_GB2312"/>
          <w:sz w:val="24"/>
          <w:szCs w:val="24"/>
        </w:rPr>
        <w:t>护套表面应光滑、颜色均匀，没有裂痕、气泡和污渍。</w:t>
      </w:r>
    </w:p>
    <w:p>
      <w:pPr>
        <w:pStyle w:val="4"/>
        <w:spacing w:after="12"/>
        <w:rPr>
          <w:rFonts w:ascii="宋体_GB2312" w:hAnsi="宋体_GB2312" w:eastAsia="宋体_GB2312"/>
        </w:rPr>
      </w:pPr>
      <w:bookmarkStart w:id="25" w:name="_Toc30701"/>
      <w:bookmarkStart w:id="26" w:name="_Toc54084393"/>
      <w:r>
        <w:rPr>
          <w:rFonts w:ascii="宋体_GB2312" w:hAnsi="宋体_GB2312" w:eastAsia="宋体_GB2312"/>
        </w:rPr>
        <w:t>2.2.5</w:t>
      </w:r>
      <w:r>
        <w:rPr>
          <w:rFonts w:hint="eastAsia" w:ascii="宋体_GB2312" w:hAnsi="宋体_GB2312" w:eastAsia="宋体_GB2312"/>
        </w:rPr>
        <w:t>外护套</w:t>
      </w:r>
      <w:bookmarkEnd w:id="25"/>
      <w:bookmarkEnd w:id="26"/>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当光缆需要从室外管道引入时，光缆外还应挤包一层具有保护功能的外护套，外护套的材料应采用线性低密度、中密度或高密度聚乙烯护套料。它们应分别符合</w:t>
      </w:r>
      <w:r>
        <w:rPr>
          <w:rFonts w:ascii="宋体_GB2312" w:hAnsi="宋体_GB2312" w:eastAsia="宋体_GB2312"/>
          <w:sz w:val="24"/>
          <w:szCs w:val="24"/>
        </w:rPr>
        <w:t>GB/T 15065-2009</w:t>
      </w:r>
      <w:r>
        <w:rPr>
          <w:rFonts w:hint="eastAsia" w:ascii="宋体_GB2312" w:hAnsi="宋体_GB2312" w:eastAsia="宋体_GB2312"/>
          <w:sz w:val="24"/>
          <w:szCs w:val="24"/>
        </w:rPr>
        <w:t>《电线电缆用黑色聚乙烯塑料》或</w:t>
      </w:r>
      <w:r>
        <w:rPr>
          <w:rFonts w:ascii="宋体_GB2312" w:hAnsi="宋体_GB2312" w:eastAsia="宋体_GB2312"/>
          <w:sz w:val="24"/>
          <w:szCs w:val="24"/>
        </w:rPr>
        <w:t>YD/T 1485-2006</w:t>
      </w:r>
      <w:r>
        <w:rPr>
          <w:rFonts w:hint="eastAsia" w:ascii="宋体_GB2312" w:hAnsi="宋体_GB2312" w:eastAsia="宋体_GB2312"/>
          <w:sz w:val="24"/>
          <w:szCs w:val="24"/>
        </w:rPr>
        <w:t>《光缆用中密度聚乙烯护套料》规定。</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聚乙烯外护套的机械物理性能应满足</w:t>
      </w:r>
      <w:r>
        <w:rPr>
          <w:rFonts w:ascii="宋体_GB2312" w:hAnsi="宋体_GB2312" w:eastAsia="宋体_GB2312"/>
          <w:sz w:val="24"/>
          <w:szCs w:val="24"/>
        </w:rPr>
        <w:t>YD/T 901-2018</w:t>
      </w:r>
      <w:r>
        <w:rPr>
          <w:rFonts w:hint="eastAsia" w:ascii="宋体_GB2312" w:hAnsi="宋体_GB2312" w:eastAsia="宋体_GB2312"/>
          <w:sz w:val="24"/>
          <w:szCs w:val="24"/>
        </w:rPr>
        <w:t>《通信用层绞填充式室外光缆》中的规定，其常用结构形式可参照</w:t>
      </w:r>
      <w:r>
        <w:rPr>
          <w:rFonts w:ascii="宋体_GB2312" w:hAnsi="宋体_GB2312" w:eastAsia="宋体_GB2312"/>
          <w:sz w:val="24"/>
          <w:szCs w:val="24"/>
        </w:rPr>
        <w:t>YD/T 901-2018</w:t>
      </w:r>
      <w:r>
        <w:rPr>
          <w:rFonts w:hint="eastAsia" w:ascii="宋体_GB2312" w:hAnsi="宋体_GB2312" w:eastAsia="宋体_GB2312"/>
          <w:sz w:val="24"/>
          <w:szCs w:val="24"/>
        </w:rPr>
        <w:t>中的相关规定。</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聚乙烯外护套厚度的标称值为</w:t>
      </w:r>
      <w:r>
        <w:rPr>
          <w:rFonts w:ascii="宋体_GB2312" w:hAnsi="宋体_GB2312" w:eastAsia="宋体_GB2312"/>
          <w:sz w:val="24"/>
          <w:szCs w:val="24"/>
        </w:rPr>
        <w:t>1.0mm</w:t>
      </w:r>
      <w:r>
        <w:rPr>
          <w:rFonts w:hint="eastAsia" w:ascii="宋体_GB2312" w:hAnsi="宋体_GB2312" w:eastAsia="宋体_GB2312"/>
          <w:sz w:val="24"/>
          <w:szCs w:val="24"/>
        </w:rPr>
        <w:t>，最小值应不小于</w:t>
      </w:r>
      <w:r>
        <w:rPr>
          <w:rFonts w:ascii="宋体_GB2312" w:hAnsi="宋体_GB2312" w:eastAsia="宋体_GB2312"/>
          <w:sz w:val="24"/>
          <w:szCs w:val="24"/>
        </w:rPr>
        <w:t>0.8mm</w:t>
      </w:r>
      <w:r>
        <w:rPr>
          <w:rFonts w:hint="eastAsia" w:ascii="宋体_GB2312" w:hAnsi="宋体_GB2312" w:eastAsia="宋体_GB2312"/>
          <w:sz w:val="24"/>
          <w:szCs w:val="24"/>
        </w:rPr>
        <w:t>，任何截面上的平均值应不小于</w:t>
      </w:r>
      <w:r>
        <w:rPr>
          <w:rFonts w:ascii="宋体_GB2312" w:hAnsi="宋体_GB2312" w:eastAsia="宋体_GB2312"/>
          <w:sz w:val="24"/>
          <w:szCs w:val="24"/>
        </w:rPr>
        <w:t>0.9mm</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27" w:name="_Toc29855"/>
      <w:bookmarkStart w:id="28" w:name="_Toc54084394"/>
      <w:r>
        <w:rPr>
          <w:rFonts w:ascii="宋体_GB2312" w:hAnsi="宋体_GB2312" w:eastAsia="宋体_GB2312"/>
        </w:rPr>
        <w:t>2.2.6</w:t>
      </w:r>
      <w:r>
        <w:rPr>
          <w:rFonts w:hint="eastAsia" w:ascii="宋体_GB2312" w:hAnsi="宋体_GB2312" w:eastAsia="宋体_GB2312"/>
        </w:rPr>
        <w:t>典型结构尺寸</w:t>
      </w:r>
      <w:bookmarkEnd w:id="27"/>
      <w:bookmarkEnd w:id="28"/>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光缆的典型</w:t>
      </w:r>
      <w:r>
        <w:rPr>
          <w:rFonts w:hint="eastAsia" w:ascii="宋体_GB2312" w:hAnsi="宋体_GB2312" w:eastAsia="宋体_GB2312"/>
          <w:sz w:val="24"/>
          <w:lang w:val="en-GB"/>
        </w:rPr>
        <w:t>结构</w:t>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 xml:space="preserve">1 </w:t>
      </w:r>
      <w:r>
        <w:rPr>
          <w:rFonts w:hint="eastAsia" w:ascii="宋体_GB2312" w:hAnsi="宋体_GB2312" w:eastAsia="宋体_GB2312"/>
          <w:sz w:val="24"/>
          <w:szCs w:val="24"/>
        </w:rPr>
        <w:t>室内蝶形光缆的典型结构</w:t>
      </w:r>
      <w:r>
        <w:rPr>
          <w:rFonts w:hint="eastAsia" w:ascii="宋体_GB2312" w:hAnsi="宋体_GB2312" w:eastAsia="宋体_GB2312"/>
          <w:sz w:val="24"/>
          <w:lang w:val="en-GB"/>
        </w:rPr>
        <w:t>尺寸</w:t>
      </w:r>
      <w:r>
        <w:rPr>
          <w:rFonts w:ascii="宋体_GB2312" w:hAnsi="宋体_GB2312" w:eastAsia="宋体_GB2312"/>
          <w:sz w:val="24"/>
          <w:szCs w:val="24"/>
        </w:rPr>
        <w:t xml:space="preserve">   </w:t>
      </w:r>
      <w:r>
        <w:rPr>
          <w:rFonts w:hint="eastAsia" w:ascii="宋体_GB2312" w:hAnsi="宋体_GB2312" w:eastAsia="宋体_GB2312"/>
          <w:sz w:val="24"/>
          <w:szCs w:val="24"/>
        </w:rPr>
        <w:t>（单位</w:t>
      </w:r>
      <w:r>
        <w:rPr>
          <w:rFonts w:ascii="宋体_GB2312" w:hAnsi="宋体_GB2312" w:eastAsia="宋体_GB2312"/>
          <w:sz w:val="24"/>
          <w:szCs w:val="24"/>
        </w:rPr>
        <w:t>mm）</w:t>
      </w:r>
    </w:p>
    <w:tbl>
      <w:tblPr>
        <w:tblStyle w:val="50"/>
        <w:tblW w:w="8200" w:type="dxa"/>
        <w:tblInd w:w="108" w:type="dxa"/>
        <w:tblLayout w:type="fixed"/>
        <w:tblCellMar>
          <w:top w:w="0" w:type="dxa"/>
          <w:left w:w="108" w:type="dxa"/>
          <w:bottom w:w="0" w:type="dxa"/>
          <w:right w:w="108" w:type="dxa"/>
        </w:tblCellMar>
      </w:tblPr>
      <w:tblGrid>
        <w:gridCol w:w="4700"/>
        <w:gridCol w:w="3500"/>
      </w:tblGrid>
      <w:tr>
        <w:tblPrEx>
          <w:tblCellMar>
            <w:top w:w="0" w:type="dxa"/>
            <w:left w:w="108" w:type="dxa"/>
            <w:bottom w:w="0" w:type="dxa"/>
            <w:right w:w="108" w:type="dxa"/>
          </w:tblCellMar>
        </w:tblPrEx>
        <w:trPr>
          <w:trHeight w:val="696" w:hRule="atLeast"/>
        </w:trPr>
        <w:tc>
          <w:tcPr>
            <w:tcW w:w="47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line="300" w:lineRule="auto"/>
              <w:jc w:val="center"/>
              <w:rPr>
                <w:rFonts w:ascii="宋体_GB2312" w:hAnsi="宋体_GB2312" w:eastAsia="宋体_GB2312" w:cs="宋体"/>
                <w:szCs w:val="24"/>
              </w:rPr>
            </w:pPr>
            <w:r>
              <w:rPr>
                <w:rFonts w:hint="eastAsia" w:ascii="宋体_GB2312" w:hAnsi="宋体_GB2312" w:eastAsia="宋体_GB2312" w:cs="宋体"/>
                <w:szCs w:val="24"/>
              </w:rPr>
              <w:t>分立光纤外形尺寸标称值</w:t>
            </w:r>
            <w:r>
              <w:rPr>
                <w:rFonts w:ascii="宋体_GB2312" w:hAnsi="宋体_GB2312" w:eastAsia="宋体_GB2312" w:cs="宋体"/>
                <w:szCs w:val="24"/>
              </w:rPr>
              <w:t>(短轴H×长轴L)</w:t>
            </w:r>
          </w:p>
        </w:tc>
        <w:tc>
          <w:tcPr>
            <w:tcW w:w="3500" w:type="dxa"/>
            <w:tcBorders>
              <w:top w:val="single" w:color="auto" w:sz="4" w:space="0"/>
              <w:left w:val="nil"/>
              <w:bottom w:val="single" w:color="auto" w:sz="4" w:space="0"/>
              <w:right w:val="single" w:color="auto" w:sz="4" w:space="0"/>
            </w:tcBorders>
            <w:shd w:val="clear" w:color="auto" w:fill="auto"/>
            <w:vAlign w:val="center"/>
          </w:tcPr>
          <w:p>
            <w:pPr>
              <w:spacing w:before="120" w:beforeLines="50" w:line="300" w:lineRule="auto"/>
              <w:ind w:firstLine="420" w:firstLineChars="200"/>
              <w:jc w:val="center"/>
              <w:rPr>
                <w:rFonts w:ascii="宋体_GB2312" w:hAnsi="宋体_GB2312" w:eastAsia="宋体_GB2312" w:cs="宋体"/>
                <w:szCs w:val="24"/>
              </w:rPr>
            </w:pPr>
            <w:r>
              <w:rPr>
                <w:rFonts w:hint="eastAsia" w:ascii="宋体_GB2312" w:hAnsi="宋体_GB2312" w:eastAsia="宋体_GB2312"/>
                <w:lang w:val="en-GB"/>
              </w:rPr>
              <w:t>容差</w:t>
            </w:r>
          </w:p>
        </w:tc>
      </w:tr>
      <w:tr>
        <w:tblPrEx>
          <w:tblCellMar>
            <w:top w:w="0" w:type="dxa"/>
            <w:left w:w="108" w:type="dxa"/>
            <w:bottom w:w="0" w:type="dxa"/>
            <w:right w:w="108" w:type="dxa"/>
          </w:tblCellMar>
        </w:tblPrEx>
        <w:trPr>
          <w:trHeight w:val="348" w:hRule="atLeast"/>
        </w:trPr>
        <w:tc>
          <w:tcPr>
            <w:tcW w:w="4700"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ind w:firstLine="420" w:firstLineChars="200"/>
              <w:rPr>
                <w:rFonts w:ascii="宋体_GB2312" w:hAnsi="宋体_GB2312" w:eastAsia="宋体_GB2312" w:cs="宋体"/>
                <w:szCs w:val="24"/>
              </w:rPr>
            </w:pPr>
            <w:r>
              <w:rPr>
                <w:rFonts w:ascii="宋体_GB2312" w:hAnsi="宋体_GB2312" w:eastAsia="宋体_GB2312" w:cs="宋体"/>
                <w:szCs w:val="24"/>
              </w:rPr>
              <w:t>1芯、2芯和4芯</w:t>
            </w:r>
          </w:p>
        </w:tc>
        <w:tc>
          <w:tcPr>
            <w:tcW w:w="3500" w:type="dxa"/>
            <w:tcBorders>
              <w:top w:val="nil"/>
              <w:left w:val="nil"/>
              <w:bottom w:val="single" w:color="auto" w:sz="4" w:space="0"/>
              <w:right w:val="single" w:color="auto" w:sz="4" w:space="0"/>
            </w:tcBorders>
            <w:shd w:val="clear" w:color="auto" w:fill="auto"/>
            <w:vAlign w:val="center"/>
          </w:tcPr>
          <w:p>
            <w:pPr>
              <w:spacing w:before="120" w:beforeLines="50" w:line="300" w:lineRule="auto"/>
              <w:ind w:firstLine="420" w:firstLineChars="200"/>
              <w:rPr>
                <w:rFonts w:ascii="宋体_GB2312" w:hAnsi="宋体_GB2312" w:eastAsia="宋体_GB2312" w:cs="宋体"/>
                <w:szCs w:val="24"/>
              </w:rPr>
            </w:pPr>
            <w:r>
              <w:rPr>
                <w:rFonts w:ascii="宋体_GB2312" w:hAnsi="宋体_GB2312" w:eastAsia="宋体_GB2312" w:cs="宋体"/>
                <w:szCs w:val="24"/>
              </w:rPr>
              <w:t>1芯、2芯和4芯</w:t>
            </w:r>
          </w:p>
        </w:tc>
      </w:tr>
      <w:tr>
        <w:tblPrEx>
          <w:tblCellMar>
            <w:top w:w="0" w:type="dxa"/>
            <w:left w:w="108" w:type="dxa"/>
            <w:bottom w:w="0" w:type="dxa"/>
            <w:right w:w="108" w:type="dxa"/>
          </w:tblCellMar>
        </w:tblPrEx>
        <w:trPr>
          <w:trHeight w:val="348" w:hRule="atLeast"/>
        </w:trPr>
        <w:tc>
          <w:tcPr>
            <w:tcW w:w="4700"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ind w:firstLine="420" w:firstLineChars="200"/>
              <w:rPr>
                <w:rFonts w:ascii="宋体_GB2312" w:hAnsi="宋体_GB2312" w:eastAsia="宋体_GB2312" w:cs="宋体"/>
                <w:szCs w:val="24"/>
              </w:rPr>
            </w:pPr>
            <w:r>
              <w:rPr>
                <w:rFonts w:ascii="宋体_GB2312" w:hAnsi="宋体_GB2312" w:eastAsia="宋体_GB2312" w:cs="宋体"/>
                <w:szCs w:val="24"/>
              </w:rPr>
              <w:t>2.0×3.0</w:t>
            </w:r>
          </w:p>
        </w:tc>
        <w:tc>
          <w:tcPr>
            <w:tcW w:w="3500" w:type="dxa"/>
            <w:tcBorders>
              <w:top w:val="nil"/>
              <w:left w:val="nil"/>
              <w:bottom w:val="single" w:color="auto" w:sz="4" w:space="0"/>
              <w:right w:val="single" w:color="auto" w:sz="4" w:space="0"/>
            </w:tcBorders>
            <w:shd w:val="clear" w:color="auto" w:fill="auto"/>
            <w:vAlign w:val="center"/>
          </w:tcPr>
          <w:p>
            <w:pPr>
              <w:spacing w:before="120" w:beforeLines="50" w:line="300" w:lineRule="auto"/>
              <w:ind w:firstLine="420" w:firstLineChars="200"/>
              <w:rPr>
                <w:rFonts w:ascii="宋体_GB2312" w:hAnsi="宋体_GB2312" w:eastAsia="宋体_GB2312" w:cs="宋体"/>
                <w:szCs w:val="24"/>
              </w:rPr>
            </w:pPr>
            <w:r>
              <w:rPr>
                <w:rFonts w:ascii="宋体_GB2312" w:hAnsi="宋体_GB2312" w:eastAsia="宋体_GB2312" w:cs="宋体"/>
                <w:szCs w:val="24"/>
              </w:rPr>
              <w:t>+0.1（不允许负偏差）</w:t>
            </w:r>
          </w:p>
        </w:tc>
      </w:tr>
    </w:tbl>
    <w:p>
      <w:pPr>
        <w:spacing w:line="276" w:lineRule="auto"/>
        <w:ind w:firstLine="555"/>
        <w:rPr>
          <w:rFonts w:ascii="宋体_GB2312" w:hAnsi="宋体_GB2312" w:eastAsia="宋体_GB2312"/>
          <w:sz w:val="24"/>
          <w:szCs w:val="24"/>
        </w:rPr>
      </w:pP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每条光缆中的光纤应为同批次的光纤，且应平行位于光缆的正中心。</w:t>
      </w:r>
    </w:p>
    <w:p>
      <w:pPr>
        <w:pStyle w:val="4"/>
        <w:spacing w:after="12"/>
        <w:rPr>
          <w:rFonts w:ascii="宋体_GB2312" w:hAnsi="宋体_GB2312" w:eastAsia="宋体_GB2312"/>
        </w:rPr>
      </w:pPr>
      <w:bookmarkStart w:id="29" w:name="_Toc54084395"/>
      <w:bookmarkStart w:id="30" w:name="_Toc21333"/>
      <w:r>
        <w:rPr>
          <w:rFonts w:ascii="宋体_GB2312" w:hAnsi="宋体_GB2312" w:eastAsia="宋体_GB2312"/>
        </w:rPr>
        <w:t>2.2.7</w:t>
      </w:r>
      <w:r>
        <w:rPr>
          <w:rFonts w:hint="eastAsia" w:ascii="宋体_GB2312" w:hAnsi="宋体_GB2312" w:eastAsia="宋体_GB2312"/>
        </w:rPr>
        <w:t>制造长度</w:t>
      </w:r>
      <w:bookmarkEnd w:id="29"/>
      <w:bookmarkEnd w:id="30"/>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光缆成盘（轴）交货长度为</w:t>
      </w:r>
      <w:r>
        <w:rPr>
          <w:rFonts w:ascii="宋体_GB2312" w:hAnsi="宋体_GB2312" w:eastAsia="宋体_GB2312"/>
          <w:sz w:val="24"/>
          <w:szCs w:val="24"/>
        </w:rPr>
        <w:t>500m、1000m或2000m(负偏差为0)，也可根据供需双方的商定来制定交货长度。光缆交货长度宜为标准制造长度，光缆在交货长度上不应有光纤接头</w:t>
      </w:r>
      <w:r>
        <w:rPr>
          <w:rFonts w:hint="eastAsia" w:ascii="宋体_GB2312" w:hAnsi="宋体_GB2312" w:eastAsia="宋体_GB2312"/>
          <w:sz w:val="24"/>
          <w:szCs w:val="24"/>
        </w:rPr>
        <w:t>。</w:t>
      </w:r>
    </w:p>
    <w:p>
      <w:pPr>
        <w:spacing w:line="276" w:lineRule="auto"/>
        <w:ind w:firstLine="2520" w:firstLineChars="1050"/>
        <w:jc w:val="center"/>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 xml:space="preserve">2 </w:t>
      </w:r>
      <w:r>
        <w:rPr>
          <w:rFonts w:hint="eastAsia" w:ascii="宋体_GB2312" w:hAnsi="宋体_GB2312" w:eastAsia="宋体_GB2312"/>
          <w:sz w:val="24"/>
          <w:szCs w:val="24"/>
        </w:rPr>
        <w:t>光缆标准制造长度表</w:t>
      </w:r>
    </w:p>
    <w:tbl>
      <w:tblPr>
        <w:tblStyle w:val="50"/>
        <w:tblW w:w="9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6"/>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6" w:type="dxa"/>
            <w:vAlign w:val="center"/>
          </w:tcPr>
          <w:p>
            <w:pPr>
              <w:adjustRightInd/>
              <w:spacing w:line="276" w:lineRule="auto"/>
              <w:jc w:val="center"/>
              <w:textAlignment w:val="auto"/>
              <w:rPr>
                <w:rFonts w:ascii="宋体_GB2312" w:hAnsi="宋体_GB2312" w:eastAsia="宋体_GB2312"/>
                <w:kern w:val="2"/>
                <w:sz w:val="24"/>
                <w:szCs w:val="24"/>
              </w:rPr>
            </w:pPr>
            <w:r>
              <w:rPr>
                <w:rFonts w:hint="eastAsia" w:ascii="宋体_GB2312" w:hAnsi="宋体_GB2312" w:eastAsia="宋体_GB2312"/>
                <w:kern w:val="2"/>
                <w:sz w:val="24"/>
                <w:szCs w:val="24"/>
              </w:rPr>
              <w:t>标称值（</w:t>
            </w:r>
            <w:r>
              <w:rPr>
                <w:rFonts w:ascii="宋体_GB2312" w:hAnsi="宋体_GB2312" w:eastAsia="宋体_GB2312"/>
                <w:kern w:val="2"/>
                <w:sz w:val="24"/>
                <w:szCs w:val="24"/>
              </w:rPr>
              <w:t>m）</w:t>
            </w:r>
          </w:p>
        </w:tc>
        <w:tc>
          <w:tcPr>
            <w:tcW w:w="4331" w:type="dxa"/>
            <w:vAlign w:val="center"/>
          </w:tcPr>
          <w:p>
            <w:pPr>
              <w:adjustRightInd/>
              <w:spacing w:line="276" w:lineRule="auto"/>
              <w:jc w:val="center"/>
              <w:textAlignment w:val="auto"/>
              <w:rPr>
                <w:rFonts w:ascii="宋体_GB2312" w:hAnsi="宋体_GB2312" w:eastAsia="宋体_GB2312"/>
                <w:kern w:val="2"/>
                <w:sz w:val="24"/>
                <w:szCs w:val="24"/>
              </w:rPr>
            </w:pPr>
            <w:r>
              <w:rPr>
                <w:rFonts w:hint="eastAsia" w:ascii="宋体_GB2312" w:hAnsi="宋体_GB2312" w:eastAsia="宋体_GB2312"/>
                <w:kern w:val="2"/>
                <w:sz w:val="24"/>
                <w:szCs w:val="24"/>
              </w:rPr>
              <w:t>容差（</w:t>
            </w:r>
            <w:r>
              <w:rPr>
                <w:rFonts w:ascii="宋体_GB2312" w:hAnsi="宋体_GB2312" w:eastAsia="宋体_GB2312"/>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6" w:type="dxa"/>
            <w:vAlign w:val="center"/>
          </w:tcPr>
          <w:p>
            <w:pPr>
              <w:adjustRightInd/>
              <w:spacing w:line="276" w:lineRule="auto"/>
              <w:textAlignment w:val="auto"/>
              <w:rPr>
                <w:rFonts w:ascii="宋体_GB2312" w:hAnsi="宋体_GB2312" w:eastAsia="宋体_GB2312"/>
                <w:kern w:val="2"/>
                <w:sz w:val="24"/>
                <w:szCs w:val="24"/>
              </w:rPr>
            </w:pPr>
            <w:r>
              <w:rPr>
                <w:rFonts w:ascii="宋体_GB2312" w:hAnsi="宋体_GB2312" w:eastAsia="宋体_GB2312"/>
                <w:kern w:val="2"/>
                <w:sz w:val="24"/>
                <w:szCs w:val="24"/>
              </w:rPr>
              <w:t>500（室内布线）</w:t>
            </w:r>
          </w:p>
        </w:tc>
        <w:tc>
          <w:tcPr>
            <w:tcW w:w="4331" w:type="dxa"/>
            <w:vMerge w:val="restart"/>
            <w:vAlign w:val="center"/>
          </w:tcPr>
          <w:p>
            <w:pPr>
              <w:adjustRightInd/>
              <w:spacing w:line="276" w:lineRule="auto"/>
              <w:textAlignment w:val="auto"/>
              <w:rPr>
                <w:rFonts w:ascii="宋体_GB2312" w:hAnsi="宋体_GB2312" w:eastAsia="宋体_GB2312"/>
                <w:kern w:val="2"/>
                <w:sz w:val="24"/>
                <w:szCs w:val="24"/>
              </w:rPr>
            </w:pPr>
            <w:r>
              <w:rPr>
                <w:rFonts w:ascii="宋体_GB2312" w:hAnsi="宋体_GB2312" w:eastAsia="宋体_GB2312"/>
                <w:kern w:val="2"/>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6" w:type="dxa"/>
            <w:vAlign w:val="center"/>
          </w:tcPr>
          <w:p>
            <w:pPr>
              <w:adjustRightInd/>
              <w:spacing w:line="276" w:lineRule="auto"/>
              <w:textAlignment w:val="auto"/>
              <w:rPr>
                <w:rFonts w:ascii="宋体_GB2312" w:hAnsi="宋体_GB2312" w:eastAsia="宋体_GB2312"/>
                <w:kern w:val="2"/>
                <w:sz w:val="24"/>
                <w:szCs w:val="24"/>
              </w:rPr>
            </w:pPr>
            <w:r>
              <w:rPr>
                <w:rFonts w:ascii="宋体_GB2312" w:hAnsi="宋体_GB2312" w:eastAsia="宋体_GB2312"/>
                <w:kern w:val="2"/>
                <w:sz w:val="24"/>
                <w:szCs w:val="24"/>
              </w:rPr>
              <w:t>1000（室内布线）</w:t>
            </w:r>
          </w:p>
        </w:tc>
        <w:tc>
          <w:tcPr>
            <w:tcW w:w="4331" w:type="dxa"/>
            <w:vMerge w:val="continue"/>
            <w:vAlign w:val="center"/>
          </w:tcPr>
          <w:p>
            <w:pPr>
              <w:spacing w:line="276" w:lineRule="auto"/>
              <w:rPr>
                <w:rFonts w:ascii="宋体_GB2312" w:hAnsi="宋体_GB2312" w:eastAsia="宋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6" w:type="dxa"/>
          </w:tcPr>
          <w:p>
            <w:pPr>
              <w:adjustRightInd/>
              <w:spacing w:line="276" w:lineRule="auto"/>
              <w:textAlignment w:val="auto"/>
              <w:rPr>
                <w:rFonts w:ascii="宋体_GB2312" w:hAnsi="宋体_GB2312" w:eastAsia="宋体_GB2312"/>
                <w:kern w:val="2"/>
                <w:sz w:val="24"/>
                <w:szCs w:val="24"/>
              </w:rPr>
            </w:pPr>
            <w:r>
              <w:rPr>
                <w:rFonts w:ascii="宋体_GB2312" w:hAnsi="宋体_GB2312" w:eastAsia="宋体_GB2312"/>
                <w:kern w:val="2"/>
                <w:sz w:val="24"/>
                <w:szCs w:val="24"/>
              </w:rPr>
              <w:t>2000（室外架空、管道引入）</w:t>
            </w:r>
          </w:p>
        </w:tc>
        <w:tc>
          <w:tcPr>
            <w:tcW w:w="4331" w:type="dxa"/>
            <w:vMerge w:val="continue"/>
          </w:tcPr>
          <w:p>
            <w:pPr>
              <w:spacing w:line="276" w:lineRule="auto"/>
              <w:jc w:val="center"/>
              <w:rPr>
                <w:rFonts w:ascii="宋体_GB2312" w:hAnsi="宋体_GB2312" w:eastAsia="宋体_GB2312"/>
                <w:sz w:val="24"/>
                <w:szCs w:val="24"/>
              </w:rPr>
            </w:pPr>
          </w:p>
        </w:tc>
      </w:tr>
    </w:tbl>
    <w:p>
      <w:pPr>
        <w:pStyle w:val="70"/>
        <w:widowControl/>
        <w:autoSpaceDE w:val="0"/>
        <w:autoSpaceDN w:val="0"/>
        <w:spacing w:line="276" w:lineRule="auto"/>
        <w:ind w:firstLine="480" w:firstLineChars="200"/>
        <w:textAlignment w:val="bottom"/>
        <w:rPr>
          <w:rFonts w:ascii="宋体_GB2312" w:hAnsi="宋体_GB2312" w:eastAsia="宋体_GB2312"/>
          <w:sz w:val="24"/>
          <w:szCs w:val="24"/>
        </w:rPr>
      </w:pPr>
    </w:p>
    <w:p>
      <w:pPr>
        <w:pStyle w:val="2"/>
        <w:spacing w:before="0" w:after="0" w:line="276" w:lineRule="auto"/>
        <w:rPr>
          <w:rFonts w:ascii="宋体_GB2312" w:hAnsi="宋体_GB2312" w:eastAsia="宋体_GB2312"/>
          <w:sz w:val="24"/>
          <w:szCs w:val="24"/>
        </w:rPr>
      </w:pPr>
      <w:bookmarkStart w:id="31" w:name="_Toc1410"/>
      <w:bookmarkStart w:id="32" w:name="_Toc54084396"/>
      <w:r>
        <w:rPr>
          <w:rFonts w:ascii="宋体_GB2312" w:hAnsi="宋体_GB2312" w:eastAsia="宋体_GB2312"/>
          <w:sz w:val="24"/>
          <w:szCs w:val="24"/>
        </w:rPr>
        <w:t>2.3</w:t>
      </w:r>
      <w:r>
        <w:rPr>
          <w:rFonts w:hint="eastAsia" w:ascii="宋体_GB2312" w:hAnsi="宋体_GB2312" w:eastAsia="宋体_GB2312"/>
          <w:sz w:val="24"/>
          <w:szCs w:val="24"/>
        </w:rPr>
        <w:t>性能要求</w:t>
      </w:r>
      <w:bookmarkEnd w:id="31"/>
      <w:bookmarkEnd w:id="32"/>
    </w:p>
    <w:p>
      <w:pPr>
        <w:pStyle w:val="4"/>
        <w:spacing w:after="12"/>
        <w:rPr>
          <w:rFonts w:ascii="宋体_GB2312" w:hAnsi="宋体_GB2312" w:eastAsia="宋体_GB2312"/>
        </w:rPr>
      </w:pPr>
      <w:bookmarkStart w:id="33" w:name="_Toc24064"/>
      <w:bookmarkStart w:id="34" w:name="_Toc54084397"/>
      <w:r>
        <w:rPr>
          <w:rFonts w:ascii="宋体_GB2312" w:hAnsi="宋体_GB2312" w:eastAsia="宋体_GB2312"/>
        </w:rPr>
        <w:t>2.3.1</w:t>
      </w:r>
      <w:r>
        <w:rPr>
          <w:rFonts w:hint="eastAsia" w:ascii="宋体_GB2312" w:hAnsi="宋体_GB2312" w:eastAsia="宋体_GB2312"/>
        </w:rPr>
        <w:t>护套性能</w:t>
      </w:r>
      <w:bookmarkEnd w:id="33"/>
      <w:bookmarkEnd w:id="34"/>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光缆护套的机械物理性能应符合表</w:t>
      </w:r>
      <w:r>
        <w:rPr>
          <w:rFonts w:ascii="宋体_GB2312" w:hAnsi="宋体_GB2312" w:eastAsia="宋体_GB2312"/>
          <w:sz w:val="24"/>
          <w:szCs w:val="24"/>
        </w:rPr>
        <w:t>3</w:t>
      </w:r>
      <w:r>
        <w:rPr>
          <w:rFonts w:hint="eastAsia" w:ascii="宋体_GB2312" w:hAnsi="宋体_GB2312" w:eastAsia="宋体_GB2312"/>
          <w:sz w:val="24"/>
          <w:szCs w:val="24"/>
        </w:rPr>
        <w:t>规定，除此之外，满足用户要求的其它材料也可采用。</w:t>
      </w:r>
    </w:p>
    <w:p>
      <w:pPr>
        <w:spacing w:line="276" w:lineRule="auto"/>
        <w:ind w:firstLine="2520" w:firstLineChars="1050"/>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3</w:t>
      </w:r>
      <w:r>
        <w:rPr>
          <w:rFonts w:hint="eastAsia" w:ascii="宋体_GB2312" w:hAnsi="宋体_GB2312" w:eastAsia="宋体_GB2312"/>
          <w:sz w:val="24"/>
          <w:szCs w:val="24"/>
        </w:rPr>
        <w:t>-</w:t>
      </w:r>
      <w:r>
        <w:rPr>
          <w:rFonts w:ascii="宋体_GB2312" w:hAnsi="宋体_GB2312" w:eastAsia="宋体_GB2312"/>
          <w:sz w:val="24"/>
          <w:szCs w:val="24"/>
        </w:rPr>
        <w:t xml:space="preserve">1  </w:t>
      </w:r>
      <w:r>
        <w:rPr>
          <w:rFonts w:hint="eastAsia" w:ascii="宋体_GB2312" w:hAnsi="宋体_GB2312" w:eastAsia="宋体_GB2312"/>
          <w:sz w:val="24"/>
          <w:szCs w:val="24"/>
        </w:rPr>
        <w:t>蝶形光缆护套的机械物理性能</w:t>
      </w:r>
    </w:p>
    <w:tbl>
      <w:tblPr>
        <w:tblStyle w:val="50"/>
        <w:tblW w:w="9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4978"/>
        <w:gridCol w:w="78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restart"/>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序号</w:t>
            </w:r>
          </w:p>
        </w:tc>
        <w:tc>
          <w:tcPr>
            <w:tcW w:w="4978" w:type="dxa"/>
            <w:vMerge w:val="restart"/>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项</w:t>
            </w:r>
            <w:r>
              <w:rPr>
                <w:rFonts w:ascii="宋体_GB2312" w:hAnsi="宋体_GB2312" w:eastAsia="宋体_GB2312"/>
                <w:kern w:val="2"/>
                <w:szCs w:val="24"/>
              </w:rPr>
              <w:t xml:space="preserve">  </w:t>
            </w:r>
            <w:r>
              <w:rPr>
                <w:rFonts w:hint="eastAsia" w:ascii="宋体_GB2312" w:hAnsi="宋体_GB2312" w:eastAsia="宋体_GB2312"/>
                <w:kern w:val="2"/>
                <w:szCs w:val="24"/>
              </w:rPr>
              <w:t>目</w:t>
            </w:r>
          </w:p>
        </w:tc>
        <w:tc>
          <w:tcPr>
            <w:tcW w:w="785" w:type="dxa"/>
            <w:vMerge w:val="restart"/>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单位</w:t>
            </w:r>
          </w:p>
        </w:tc>
        <w:tc>
          <w:tcPr>
            <w:tcW w:w="3190" w:type="dxa"/>
            <w:gridSpan w:val="2"/>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指</w:t>
            </w:r>
            <w:r>
              <w:rPr>
                <w:rFonts w:ascii="宋体_GB2312" w:hAnsi="宋体_GB2312" w:eastAsia="宋体_GB2312"/>
                <w:kern w:val="2"/>
                <w:szCs w:val="24"/>
              </w:rPr>
              <w:t xml:space="preserve">   </w:t>
            </w:r>
            <w:r>
              <w:rPr>
                <w:rFonts w:hint="eastAsia" w:ascii="宋体_GB2312" w:hAnsi="宋体_GB2312" w:eastAsia="宋体_GB2312"/>
                <w:kern w:val="2"/>
                <w:szCs w:val="24"/>
              </w:rPr>
              <w:t>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rPr>
            </w:pPr>
          </w:p>
        </w:tc>
        <w:tc>
          <w:tcPr>
            <w:tcW w:w="4978" w:type="dxa"/>
            <w:vMerge w:val="continue"/>
            <w:vAlign w:val="center"/>
          </w:tcPr>
          <w:p>
            <w:pPr>
              <w:spacing w:line="276" w:lineRule="auto"/>
              <w:jc w:val="center"/>
              <w:rPr>
                <w:rFonts w:ascii="宋体_GB2312" w:hAnsi="宋体_GB2312" w:eastAsia="宋体_GB2312"/>
                <w:kern w:val="2"/>
                <w:szCs w:val="24"/>
              </w:rPr>
            </w:pPr>
          </w:p>
        </w:tc>
        <w:tc>
          <w:tcPr>
            <w:tcW w:w="785" w:type="dxa"/>
            <w:vMerge w:val="continue"/>
            <w:vAlign w:val="center"/>
          </w:tcPr>
          <w:p>
            <w:pPr>
              <w:spacing w:line="276" w:lineRule="auto"/>
              <w:jc w:val="center"/>
              <w:rPr>
                <w:rFonts w:ascii="宋体_GB2312" w:hAnsi="宋体_GB2312" w:eastAsia="宋体_GB2312"/>
                <w:kern w:val="2"/>
                <w:szCs w:val="24"/>
              </w:rPr>
            </w:pPr>
          </w:p>
        </w:tc>
        <w:tc>
          <w:tcPr>
            <w:tcW w:w="1595"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聚氯乙烯</w:t>
            </w:r>
          </w:p>
        </w:tc>
        <w:tc>
          <w:tcPr>
            <w:tcW w:w="1595"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阻燃聚烯烃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restart"/>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w:t>
            </w: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抗拉强度</w:t>
            </w:r>
            <w:r>
              <w:rPr>
                <w:rFonts w:ascii="宋体_GB2312" w:hAnsi="宋体_GB2312" w:eastAsia="宋体_GB2312"/>
                <w:kern w:val="2"/>
                <w:szCs w:val="24"/>
              </w:rPr>
              <w:t xml:space="preserve"> </w:t>
            </w:r>
            <w:r>
              <w:rPr>
                <w:rFonts w:hint="eastAsia" w:ascii="宋体_GB2312" w:hAnsi="宋体_GB2312" w:eastAsia="宋体_GB2312"/>
                <w:kern w:val="2"/>
                <w:szCs w:val="24"/>
              </w:rPr>
              <w:t>热老化处理前</w:t>
            </w:r>
            <w:r>
              <w:rPr>
                <w:rFonts w:ascii="宋体_GB2312" w:hAnsi="宋体_GB2312" w:eastAsia="宋体_GB2312"/>
                <w:kern w:val="2"/>
                <w:szCs w:val="24"/>
              </w:rPr>
              <w:t xml:space="preserve"> </w:t>
            </w:r>
            <w:r>
              <w:rPr>
                <w:rFonts w:hint="eastAsia" w:ascii="宋体_GB2312" w:hAnsi="宋体_GB2312" w:eastAsia="宋体_GB2312"/>
                <w:kern w:val="2"/>
                <w:szCs w:val="24"/>
              </w:rPr>
              <w:t>（最小值）</w:t>
            </w:r>
          </w:p>
        </w:tc>
        <w:tc>
          <w:tcPr>
            <w:tcW w:w="78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MPa</w:t>
            </w:r>
          </w:p>
        </w:tc>
        <w:tc>
          <w:tcPr>
            <w:tcW w:w="159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12.5</w:t>
            </w:r>
          </w:p>
        </w:tc>
        <w:tc>
          <w:tcPr>
            <w:tcW w:w="159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rPr>
            </w:pP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热老化前后变化率∣</w:t>
            </w:r>
            <w:r>
              <w:rPr>
                <w:rFonts w:ascii="宋体_GB2312" w:hAnsi="宋体_GB2312" w:eastAsia="宋体_GB2312"/>
                <w:kern w:val="2"/>
                <w:szCs w:val="24"/>
              </w:rPr>
              <w:t xml:space="preserve">TS∣ </w:t>
            </w:r>
            <w:r>
              <w:rPr>
                <w:rFonts w:hint="eastAsia" w:ascii="宋体_GB2312" w:hAnsi="宋体_GB2312" w:eastAsia="宋体_GB2312"/>
                <w:kern w:val="2"/>
                <w:szCs w:val="24"/>
              </w:rPr>
              <w:t>（最大值）</w:t>
            </w:r>
          </w:p>
        </w:tc>
        <w:tc>
          <w:tcPr>
            <w:tcW w:w="78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w:t>
            </w:r>
          </w:p>
        </w:tc>
        <w:tc>
          <w:tcPr>
            <w:tcW w:w="3190" w:type="dxa"/>
            <w:gridSpan w:val="2"/>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rPr>
            </w:pP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热老化处理温度</w:t>
            </w:r>
          </w:p>
        </w:tc>
        <w:tc>
          <w:tcPr>
            <w:tcW w:w="785"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º</w:t>
            </w:r>
            <w:r>
              <w:rPr>
                <w:rFonts w:ascii="宋体_GB2312" w:hAnsi="宋体_GB2312" w:eastAsia="宋体_GB2312"/>
                <w:kern w:val="2"/>
                <w:szCs w:val="24"/>
              </w:rPr>
              <w:t>C</w:t>
            </w:r>
          </w:p>
        </w:tc>
        <w:tc>
          <w:tcPr>
            <w:tcW w:w="3190" w:type="dxa"/>
            <w:gridSpan w:val="2"/>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rPr>
            </w:pP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热老化处理时间</w:t>
            </w:r>
          </w:p>
        </w:tc>
        <w:tc>
          <w:tcPr>
            <w:tcW w:w="78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h</w:t>
            </w:r>
          </w:p>
        </w:tc>
        <w:tc>
          <w:tcPr>
            <w:tcW w:w="3190" w:type="dxa"/>
            <w:gridSpan w:val="2"/>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24×10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restart"/>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2</w:t>
            </w: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断裂伸长率</w:t>
            </w:r>
            <w:r>
              <w:rPr>
                <w:rFonts w:ascii="宋体_GB2312" w:hAnsi="宋体_GB2312" w:eastAsia="宋体_GB2312"/>
                <w:kern w:val="2"/>
                <w:szCs w:val="24"/>
              </w:rPr>
              <w:t xml:space="preserve"> </w:t>
            </w:r>
            <w:r>
              <w:rPr>
                <w:rFonts w:hint="eastAsia" w:ascii="宋体_GB2312" w:hAnsi="宋体_GB2312" w:eastAsia="宋体_GB2312"/>
                <w:kern w:val="2"/>
                <w:szCs w:val="24"/>
              </w:rPr>
              <w:t>热老化处理前</w:t>
            </w:r>
            <w:r>
              <w:rPr>
                <w:rFonts w:ascii="宋体_GB2312" w:hAnsi="宋体_GB2312" w:eastAsia="宋体_GB2312"/>
                <w:kern w:val="2"/>
                <w:szCs w:val="24"/>
              </w:rPr>
              <w:t xml:space="preserve">  </w:t>
            </w:r>
            <w:r>
              <w:rPr>
                <w:rFonts w:hint="eastAsia" w:ascii="宋体_GB2312" w:hAnsi="宋体_GB2312" w:eastAsia="宋体_GB2312"/>
                <w:kern w:val="2"/>
                <w:szCs w:val="24"/>
              </w:rPr>
              <w:t>（最小值）</w:t>
            </w:r>
          </w:p>
        </w:tc>
        <w:tc>
          <w:tcPr>
            <w:tcW w:w="78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w:t>
            </w:r>
          </w:p>
        </w:tc>
        <w:tc>
          <w:tcPr>
            <w:tcW w:w="1595" w:type="dxa"/>
            <w:tcBorders>
              <w:top w:val="nil"/>
            </w:tcBorders>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150</w:t>
            </w:r>
          </w:p>
        </w:tc>
        <w:tc>
          <w:tcPr>
            <w:tcW w:w="1595" w:type="dxa"/>
            <w:tcBorders>
              <w:top w:val="nil"/>
            </w:tcBorders>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rPr>
            </w:pPr>
          </w:p>
        </w:tc>
        <w:tc>
          <w:tcPr>
            <w:tcW w:w="4978" w:type="dxa"/>
            <w:vAlign w:val="center"/>
          </w:tcPr>
          <w:p>
            <w:pPr>
              <w:spacing w:line="276" w:lineRule="auto"/>
              <w:jc w:val="center"/>
              <w:rPr>
                <w:rFonts w:ascii="宋体_GB2312" w:hAnsi="宋体_GB2312" w:eastAsia="宋体_GB2312"/>
                <w:kern w:val="2"/>
                <w:szCs w:val="24"/>
              </w:rPr>
            </w:pPr>
            <w:r>
              <w:rPr>
                <w:rFonts w:hint="eastAsia" w:ascii="宋体_GB2312" w:hAnsi="宋体_GB2312" w:eastAsia="宋体_GB2312"/>
                <w:kern w:val="2"/>
                <w:szCs w:val="24"/>
              </w:rPr>
              <w:t>热老化处理后</w:t>
            </w:r>
            <w:r>
              <w:rPr>
                <w:rFonts w:ascii="宋体_GB2312" w:hAnsi="宋体_GB2312" w:eastAsia="宋体_GB2312"/>
                <w:kern w:val="2"/>
                <w:szCs w:val="24"/>
              </w:rPr>
              <w:t xml:space="preserve">  </w:t>
            </w:r>
            <w:r>
              <w:rPr>
                <w:rFonts w:hint="eastAsia" w:ascii="宋体_GB2312" w:hAnsi="宋体_GB2312" w:eastAsia="宋体_GB2312"/>
                <w:kern w:val="2"/>
                <w:szCs w:val="24"/>
              </w:rPr>
              <w:t>（最小值）</w:t>
            </w:r>
          </w:p>
        </w:tc>
        <w:tc>
          <w:tcPr>
            <w:tcW w:w="78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w:t>
            </w:r>
          </w:p>
        </w:tc>
        <w:tc>
          <w:tcPr>
            <w:tcW w:w="159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125</w:t>
            </w:r>
          </w:p>
        </w:tc>
        <w:tc>
          <w:tcPr>
            <w:tcW w:w="1595" w:type="dxa"/>
            <w:vAlign w:val="center"/>
          </w:tcPr>
          <w:p>
            <w:pPr>
              <w:spacing w:line="276" w:lineRule="auto"/>
              <w:jc w:val="center"/>
              <w:rPr>
                <w:rFonts w:ascii="宋体_GB2312" w:hAnsi="宋体_GB2312" w:eastAsia="宋体_GB2312"/>
                <w:kern w:val="2"/>
                <w:szCs w:val="24"/>
              </w:rPr>
            </w:pPr>
            <w:r>
              <w:rPr>
                <w:rFonts w:ascii="宋体_GB2312" w:hAnsi="宋体_GB2312" w:eastAsia="宋体_GB2312"/>
                <w:kern w:val="2"/>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highlight w:val="none"/>
              </w:rPr>
            </w:pP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热老化前后变化率∣</w:t>
            </w:r>
            <w:r>
              <w:rPr>
                <w:rFonts w:ascii="宋体_GB2312" w:hAnsi="宋体_GB2312" w:eastAsia="宋体_GB2312"/>
                <w:kern w:val="2"/>
                <w:szCs w:val="24"/>
                <w:highlight w:val="none"/>
              </w:rPr>
              <w:t xml:space="preserve">EB∣ </w:t>
            </w:r>
            <w:r>
              <w:rPr>
                <w:rFonts w:hint="eastAsia" w:ascii="宋体_GB2312" w:hAnsi="宋体_GB2312" w:eastAsia="宋体_GB2312"/>
                <w:kern w:val="2"/>
                <w:szCs w:val="24"/>
                <w:highlight w:val="none"/>
              </w:rPr>
              <w:t>（最大值）</w:t>
            </w:r>
          </w:p>
        </w:tc>
        <w:tc>
          <w:tcPr>
            <w:tcW w:w="78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w:t>
            </w:r>
          </w:p>
        </w:tc>
        <w:tc>
          <w:tcPr>
            <w:tcW w:w="3190" w:type="dxa"/>
            <w:gridSpan w:val="2"/>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highlight w:val="none"/>
              </w:rPr>
            </w:pP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热老化处理温度</w:t>
            </w:r>
          </w:p>
        </w:tc>
        <w:tc>
          <w:tcPr>
            <w:tcW w:w="78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º</w:t>
            </w:r>
            <w:r>
              <w:rPr>
                <w:rFonts w:ascii="宋体_GB2312" w:hAnsi="宋体_GB2312" w:eastAsia="宋体_GB2312"/>
                <w:kern w:val="2"/>
                <w:szCs w:val="24"/>
                <w:highlight w:val="none"/>
              </w:rPr>
              <w:t>C</w:t>
            </w:r>
          </w:p>
        </w:tc>
        <w:tc>
          <w:tcPr>
            <w:tcW w:w="3190" w:type="dxa"/>
            <w:gridSpan w:val="2"/>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highlight w:val="none"/>
              </w:rPr>
            </w:pP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热老化处理时间</w:t>
            </w:r>
          </w:p>
        </w:tc>
        <w:tc>
          <w:tcPr>
            <w:tcW w:w="78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h</w:t>
            </w:r>
          </w:p>
        </w:tc>
        <w:tc>
          <w:tcPr>
            <w:tcW w:w="3190" w:type="dxa"/>
            <w:gridSpan w:val="2"/>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24×10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restart"/>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3</w:t>
            </w: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热冲击</w:t>
            </w:r>
          </w:p>
        </w:tc>
        <w:tc>
          <w:tcPr>
            <w:tcW w:w="785" w:type="dxa"/>
            <w:vAlign w:val="center"/>
          </w:tcPr>
          <w:p>
            <w:pPr>
              <w:spacing w:line="276" w:lineRule="auto"/>
              <w:jc w:val="center"/>
              <w:rPr>
                <w:rFonts w:ascii="宋体_GB2312" w:hAnsi="宋体_GB2312" w:eastAsia="宋体_GB2312"/>
                <w:kern w:val="2"/>
                <w:szCs w:val="24"/>
                <w:highlight w:val="none"/>
              </w:rPr>
            </w:pPr>
          </w:p>
        </w:tc>
        <w:tc>
          <w:tcPr>
            <w:tcW w:w="159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表面无裂纹</w:t>
            </w:r>
          </w:p>
        </w:tc>
        <w:tc>
          <w:tcPr>
            <w:tcW w:w="159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highlight w:val="none"/>
              </w:rPr>
            </w:pP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热处理温度</w:t>
            </w:r>
          </w:p>
        </w:tc>
        <w:tc>
          <w:tcPr>
            <w:tcW w:w="78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º</w:t>
            </w:r>
            <w:r>
              <w:rPr>
                <w:rFonts w:ascii="宋体_GB2312" w:hAnsi="宋体_GB2312" w:eastAsia="宋体_GB2312"/>
                <w:kern w:val="2"/>
                <w:szCs w:val="24"/>
                <w:highlight w:val="none"/>
              </w:rPr>
              <w:t>C</w:t>
            </w:r>
          </w:p>
        </w:tc>
        <w:tc>
          <w:tcPr>
            <w:tcW w:w="159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150±2</w:t>
            </w:r>
          </w:p>
        </w:tc>
        <w:tc>
          <w:tcPr>
            <w:tcW w:w="159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Merge w:val="continue"/>
            <w:vAlign w:val="center"/>
          </w:tcPr>
          <w:p>
            <w:pPr>
              <w:spacing w:line="276" w:lineRule="auto"/>
              <w:jc w:val="center"/>
              <w:rPr>
                <w:rFonts w:ascii="宋体_GB2312" w:hAnsi="宋体_GB2312" w:eastAsia="宋体_GB2312"/>
                <w:kern w:val="2"/>
                <w:szCs w:val="24"/>
                <w:highlight w:val="none"/>
              </w:rPr>
            </w:pP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热处理时间</w:t>
            </w:r>
          </w:p>
        </w:tc>
        <w:tc>
          <w:tcPr>
            <w:tcW w:w="78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h</w:t>
            </w:r>
          </w:p>
        </w:tc>
        <w:tc>
          <w:tcPr>
            <w:tcW w:w="159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1</w:t>
            </w:r>
          </w:p>
        </w:tc>
        <w:tc>
          <w:tcPr>
            <w:tcW w:w="159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4"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4</w:t>
            </w:r>
          </w:p>
        </w:tc>
        <w:tc>
          <w:tcPr>
            <w:tcW w:w="4978"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耐环境应力开裂（</w:t>
            </w:r>
            <w:r>
              <w:rPr>
                <w:rFonts w:ascii="宋体_GB2312" w:hAnsi="宋体_GB2312" w:eastAsia="宋体_GB2312"/>
                <w:kern w:val="2"/>
                <w:szCs w:val="24"/>
                <w:highlight w:val="none"/>
              </w:rPr>
              <w:t>50ºC，96h）</w:t>
            </w:r>
            <w:r>
              <w:rPr>
                <w:rFonts w:hint="eastAsia" w:ascii="宋体_GB2312" w:hAnsi="宋体_GB2312" w:eastAsia="宋体_GB2312"/>
                <w:kern w:val="2"/>
                <w:szCs w:val="24"/>
                <w:highlight w:val="none"/>
              </w:rPr>
              <w:t>（失效数</w:t>
            </w:r>
            <w:r>
              <w:rPr>
                <w:rFonts w:ascii="宋体_GB2312" w:hAnsi="宋体_GB2312" w:eastAsia="宋体_GB2312"/>
                <w:kern w:val="2"/>
                <w:szCs w:val="24"/>
                <w:highlight w:val="none"/>
              </w:rPr>
              <w:t>/试样数）</w:t>
            </w:r>
          </w:p>
        </w:tc>
        <w:tc>
          <w:tcPr>
            <w:tcW w:w="78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个</w:t>
            </w:r>
          </w:p>
        </w:tc>
        <w:tc>
          <w:tcPr>
            <w:tcW w:w="1595" w:type="dxa"/>
            <w:vAlign w:val="center"/>
          </w:tcPr>
          <w:p>
            <w:pPr>
              <w:spacing w:line="276" w:lineRule="auto"/>
              <w:jc w:val="center"/>
              <w:rPr>
                <w:rFonts w:ascii="宋体_GB2312" w:hAnsi="宋体_GB2312" w:eastAsia="宋体_GB2312"/>
                <w:kern w:val="2"/>
                <w:szCs w:val="24"/>
                <w:highlight w:val="none"/>
              </w:rPr>
            </w:pPr>
            <w:r>
              <w:rPr>
                <w:rFonts w:hint="eastAsia" w:ascii="宋体_GB2312" w:hAnsi="宋体_GB2312" w:eastAsia="宋体_GB2312"/>
                <w:kern w:val="2"/>
                <w:szCs w:val="24"/>
                <w:highlight w:val="none"/>
              </w:rPr>
              <w:t>－</w:t>
            </w:r>
          </w:p>
        </w:tc>
        <w:tc>
          <w:tcPr>
            <w:tcW w:w="1595" w:type="dxa"/>
            <w:vAlign w:val="center"/>
          </w:tcPr>
          <w:p>
            <w:pPr>
              <w:spacing w:line="276" w:lineRule="auto"/>
              <w:jc w:val="center"/>
              <w:rPr>
                <w:rFonts w:ascii="宋体_GB2312" w:hAnsi="宋体_GB2312" w:eastAsia="宋体_GB2312"/>
                <w:kern w:val="2"/>
                <w:szCs w:val="24"/>
                <w:highlight w:val="none"/>
              </w:rPr>
            </w:pPr>
            <w:r>
              <w:rPr>
                <w:rFonts w:ascii="宋体_GB2312" w:hAnsi="宋体_GB2312" w:eastAsia="宋体_GB2312"/>
                <w:kern w:val="2"/>
                <w:szCs w:val="24"/>
                <w:highlight w:val="none"/>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737" w:type="dxa"/>
            <w:gridSpan w:val="5"/>
            <w:vAlign w:val="center"/>
          </w:tcPr>
          <w:p>
            <w:pPr>
              <w:spacing w:line="276" w:lineRule="auto"/>
              <w:jc w:val="left"/>
              <w:rPr>
                <w:rFonts w:ascii="宋体_GB2312" w:hAnsi="宋体_GB2312" w:eastAsia="宋体_GB2312"/>
                <w:kern w:val="2"/>
                <w:szCs w:val="24"/>
                <w:highlight w:val="none"/>
              </w:rPr>
            </w:pPr>
            <w:r>
              <w:rPr>
                <w:rFonts w:hint="eastAsia" w:ascii="宋体_GB2312" w:hAnsi="宋体_GB2312" w:eastAsia="宋体_GB2312"/>
                <w:kern w:val="2"/>
                <w:szCs w:val="24"/>
                <w:highlight w:val="none"/>
              </w:rPr>
              <w:t>注：护套性能试验在取样困难时，可采取厂家提供空管或粒料进行试验，也可进行材料验证试验。</w:t>
            </w:r>
          </w:p>
        </w:tc>
      </w:tr>
    </w:tbl>
    <w:p>
      <w:pPr>
        <w:adjustRightInd/>
        <w:spacing w:line="276" w:lineRule="auto"/>
        <w:jc w:val="left"/>
        <w:textAlignment w:val="auto"/>
        <w:rPr>
          <w:rFonts w:ascii="宋体_GB2312" w:hAnsi="宋体_GB2312" w:eastAsia="宋体_GB2312"/>
          <w:kern w:val="2"/>
          <w:sz w:val="24"/>
          <w:szCs w:val="24"/>
          <w:highlight w:val="none"/>
        </w:rPr>
      </w:pPr>
    </w:p>
    <w:p>
      <w:pPr>
        <w:spacing w:line="276" w:lineRule="auto"/>
        <w:ind w:firstLine="2520" w:firstLineChars="1050"/>
        <w:rPr>
          <w:rFonts w:ascii="宋体_GB2312" w:hAnsi="宋体_GB2312" w:eastAsia="宋体_GB2312"/>
          <w:kern w:val="2"/>
          <w:sz w:val="24"/>
          <w:szCs w:val="24"/>
          <w:highlight w:val="none"/>
        </w:rPr>
      </w:pPr>
      <w:r>
        <w:rPr>
          <w:rFonts w:hint="eastAsia" w:ascii="宋体_GB2312" w:hAnsi="宋体_GB2312" w:eastAsia="宋体_GB2312"/>
          <w:sz w:val="24"/>
          <w:szCs w:val="24"/>
          <w:highlight w:val="none"/>
        </w:rPr>
        <w:t>表</w:t>
      </w:r>
      <w:r>
        <w:rPr>
          <w:rFonts w:ascii="宋体_GB2312" w:hAnsi="宋体_GB2312" w:eastAsia="宋体_GB2312"/>
          <w:sz w:val="24"/>
          <w:szCs w:val="24"/>
          <w:highlight w:val="none"/>
        </w:rPr>
        <w:t>3</w:t>
      </w: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 xml:space="preserve">2  </w:t>
      </w:r>
      <w:r>
        <w:rPr>
          <w:rFonts w:hint="eastAsia" w:ascii="宋体_GB2312" w:hAnsi="宋体_GB2312" w:eastAsia="宋体_GB2312"/>
          <w:sz w:val="24"/>
          <w:szCs w:val="24"/>
          <w:highlight w:val="none"/>
        </w:rPr>
        <w:t>管道型蝶形光缆外护套的机械物理性能</w:t>
      </w:r>
    </w:p>
    <w:tbl>
      <w:tblPr>
        <w:tblStyle w:val="50"/>
        <w:tblW w:w="9710" w:type="dxa"/>
        <w:tblInd w:w="0" w:type="dxa"/>
        <w:tblLayout w:type="autofit"/>
        <w:tblCellMar>
          <w:top w:w="0" w:type="dxa"/>
          <w:left w:w="108" w:type="dxa"/>
          <w:bottom w:w="0" w:type="dxa"/>
          <w:right w:w="108" w:type="dxa"/>
        </w:tblCellMar>
      </w:tblPr>
      <w:tblGrid>
        <w:gridCol w:w="704"/>
        <w:gridCol w:w="5245"/>
        <w:gridCol w:w="725"/>
        <w:gridCol w:w="1096"/>
        <w:gridCol w:w="868"/>
        <w:gridCol w:w="1072"/>
      </w:tblGrid>
      <w:tr>
        <w:tblPrEx>
          <w:tblCellMar>
            <w:top w:w="0" w:type="dxa"/>
            <w:left w:w="108" w:type="dxa"/>
            <w:bottom w:w="0" w:type="dxa"/>
            <w:right w:w="108" w:type="dxa"/>
          </w:tblCellMar>
        </w:tblPrEx>
        <w:trPr>
          <w:trHeight w:val="277" w:hRule="atLeas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序号</w:t>
            </w:r>
          </w:p>
        </w:tc>
        <w:tc>
          <w:tcPr>
            <w:tcW w:w="52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项  目</w:t>
            </w:r>
          </w:p>
        </w:tc>
        <w:tc>
          <w:tcPr>
            <w:tcW w:w="7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单位</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指   标</w:t>
            </w:r>
          </w:p>
        </w:tc>
      </w:tr>
      <w:tr>
        <w:tblPrEx>
          <w:tblCellMar>
            <w:top w:w="0" w:type="dxa"/>
            <w:left w:w="108" w:type="dxa"/>
            <w:bottom w:w="0" w:type="dxa"/>
            <w:right w:w="108" w:type="dxa"/>
          </w:tblCellMar>
        </w:tblPrEx>
        <w:trPr>
          <w:trHeight w:val="2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10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LLDPE</w:t>
            </w:r>
          </w:p>
        </w:tc>
        <w:tc>
          <w:tcPr>
            <w:tcW w:w="86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MDPE</w:t>
            </w:r>
          </w:p>
        </w:tc>
        <w:tc>
          <w:tcPr>
            <w:tcW w:w="107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HDPE</w:t>
            </w:r>
          </w:p>
        </w:tc>
      </w:tr>
      <w:tr>
        <w:tblPrEx>
          <w:tblCellMar>
            <w:top w:w="0" w:type="dxa"/>
            <w:left w:w="108" w:type="dxa"/>
            <w:bottom w:w="0" w:type="dxa"/>
            <w:right w:w="108" w:type="dxa"/>
          </w:tblCellMar>
        </w:tblPrEx>
        <w:trPr>
          <w:trHeight w:val="277" w:hRule="atLeas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w:t>
            </w: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抗拉强度 热老化处理前 （最小值）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MPa</w:t>
            </w:r>
          </w:p>
        </w:tc>
        <w:tc>
          <w:tcPr>
            <w:tcW w:w="10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10.0</w:t>
            </w:r>
          </w:p>
        </w:tc>
        <w:tc>
          <w:tcPr>
            <w:tcW w:w="86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12.0</w:t>
            </w:r>
          </w:p>
        </w:tc>
        <w:tc>
          <w:tcPr>
            <w:tcW w:w="107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16.0</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热老化前后变化率∣TS∣ （最大值）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w:t>
            </w:r>
          </w:p>
        </w:tc>
        <w:tc>
          <w:tcPr>
            <w:tcW w:w="1964"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20</w:t>
            </w:r>
          </w:p>
        </w:tc>
        <w:tc>
          <w:tcPr>
            <w:tcW w:w="107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25</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热老化处理温度</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ascii="宋体_GB2312" w:hAnsi="宋体_GB2312" w:eastAsia="宋体_GB2312" w:cs="Calibri"/>
                <w:color w:val="000000"/>
                <w:sz w:val="22"/>
                <w:szCs w:val="22"/>
                <w:highlight w:val="none"/>
              </w:rPr>
              <w:t>º</w:t>
            </w:r>
            <w:r>
              <w:rPr>
                <w:rFonts w:hint="eastAsia" w:ascii="宋体_GB2312" w:hAnsi="宋体_GB2312" w:eastAsia="宋体_GB2312" w:cs="宋体"/>
                <w:color w:val="000000"/>
                <w:sz w:val="22"/>
                <w:szCs w:val="22"/>
                <w:highlight w:val="none"/>
              </w:rPr>
              <w:t>C</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100±2</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热老化处理时间</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h</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24×10</w:t>
            </w:r>
          </w:p>
        </w:tc>
      </w:tr>
      <w:tr>
        <w:tblPrEx>
          <w:tblCellMar>
            <w:top w:w="0" w:type="dxa"/>
            <w:left w:w="108" w:type="dxa"/>
            <w:bottom w:w="0" w:type="dxa"/>
            <w:right w:w="108" w:type="dxa"/>
          </w:tblCellMar>
        </w:tblPrEx>
        <w:trPr>
          <w:trHeight w:val="526" w:hRule="atLeas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w:t>
            </w: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断裂伸长率 热老化处理前  （最小值）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350</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热老化处理后  （最小值）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300</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热老化前后变化率∣EB∣ （最大值）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20</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热老化处理温度</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ascii="宋体_GB2312" w:hAnsi="宋体_GB2312" w:eastAsia="宋体_GB2312" w:cs="Calibri"/>
                <w:color w:val="000000"/>
                <w:sz w:val="22"/>
                <w:szCs w:val="22"/>
                <w:highlight w:val="none"/>
              </w:rPr>
              <w:t>º</w:t>
            </w:r>
            <w:r>
              <w:rPr>
                <w:rFonts w:hint="eastAsia" w:ascii="宋体_GB2312" w:hAnsi="宋体_GB2312" w:eastAsia="宋体_GB2312" w:cs="宋体"/>
                <w:color w:val="000000"/>
                <w:sz w:val="22"/>
                <w:szCs w:val="22"/>
                <w:highlight w:val="none"/>
              </w:rPr>
              <w:t>C</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100±2</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热老化处理时间</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h</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24×10</w:t>
            </w:r>
          </w:p>
        </w:tc>
      </w:tr>
      <w:tr>
        <w:tblPrEx>
          <w:tblCellMar>
            <w:top w:w="0" w:type="dxa"/>
            <w:left w:w="108" w:type="dxa"/>
            <w:bottom w:w="0" w:type="dxa"/>
            <w:right w:w="108" w:type="dxa"/>
          </w:tblCellMar>
        </w:tblPrEx>
        <w:trPr>
          <w:trHeight w:val="277" w:hRule="atLeas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3</w:t>
            </w: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热收缩率（最大值）</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5</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热处理温度</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ascii="宋体_GB2312" w:hAnsi="宋体_GB2312" w:eastAsia="宋体_GB2312" w:cs="Calibri"/>
                <w:color w:val="000000"/>
                <w:sz w:val="22"/>
                <w:szCs w:val="22"/>
                <w:highlight w:val="none"/>
              </w:rPr>
              <w:t>º</w:t>
            </w:r>
            <w:r>
              <w:rPr>
                <w:rFonts w:hint="eastAsia" w:ascii="宋体_GB2312" w:hAnsi="宋体_GB2312" w:eastAsia="宋体_GB2312" w:cs="宋体"/>
                <w:color w:val="000000"/>
                <w:sz w:val="22"/>
                <w:szCs w:val="22"/>
                <w:highlight w:val="none"/>
              </w:rPr>
              <w:t>C</w:t>
            </w:r>
          </w:p>
        </w:tc>
        <w:tc>
          <w:tcPr>
            <w:tcW w:w="10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100±2</w:t>
            </w:r>
          </w:p>
        </w:tc>
        <w:tc>
          <w:tcPr>
            <w:tcW w:w="1940"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115±2</w:t>
            </w:r>
          </w:p>
        </w:tc>
      </w:tr>
      <w:tr>
        <w:tblPrEx>
          <w:tblCellMar>
            <w:top w:w="0" w:type="dxa"/>
            <w:left w:w="108" w:type="dxa"/>
            <w:bottom w:w="0" w:type="dxa"/>
            <w:right w:w="108" w:type="dxa"/>
          </w:tblCellMar>
        </w:tblPrEx>
        <w:trPr>
          <w:trHeight w:val="277" w:hRule="atLeast"/>
        </w:trPr>
        <w:tc>
          <w:tcPr>
            <w:tcW w:w="70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rFonts w:ascii="宋体_GB2312" w:hAnsi="宋体_GB2312" w:eastAsia="宋体_GB2312" w:cs="宋体"/>
                <w:color w:val="000000"/>
                <w:sz w:val="22"/>
                <w:szCs w:val="22"/>
                <w:highlight w:val="none"/>
              </w:rPr>
            </w:pP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热处理时间</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h</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4</w:t>
            </w:r>
          </w:p>
        </w:tc>
      </w:tr>
      <w:tr>
        <w:tblPrEx>
          <w:tblCellMar>
            <w:top w:w="0" w:type="dxa"/>
            <w:left w:w="108" w:type="dxa"/>
            <w:bottom w:w="0" w:type="dxa"/>
            <w:right w:w="108" w:type="dxa"/>
          </w:tblCellMar>
        </w:tblPrEx>
        <w:trPr>
          <w:trHeight w:val="526"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4</w:t>
            </w:r>
          </w:p>
        </w:tc>
        <w:tc>
          <w:tcPr>
            <w:tcW w:w="524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耐环境应力开裂（50</w:t>
            </w:r>
            <w:r>
              <w:rPr>
                <w:rFonts w:ascii="宋体_GB2312" w:hAnsi="宋体_GB2312" w:eastAsia="宋体_GB2312" w:cs="Calibri"/>
                <w:color w:val="000000"/>
                <w:sz w:val="22"/>
                <w:szCs w:val="22"/>
                <w:highlight w:val="none"/>
              </w:rPr>
              <w:t>º</w:t>
            </w:r>
            <w:r>
              <w:rPr>
                <w:rFonts w:hint="eastAsia" w:ascii="宋体_GB2312" w:hAnsi="宋体_GB2312" w:eastAsia="宋体_GB2312" w:cs="宋体"/>
                <w:color w:val="000000"/>
                <w:sz w:val="22"/>
                <w:szCs w:val="22"/>
                <w:highlight w:val="none"/>
              </w:rPr>
              <w:t>C，96h）（失效数/试样数）</w:t>
            </w:r>
          </w:p>
        </w:tc>
        <w:tc>
          <w:tcPr>
            <w:tcW w:w="72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个</w:t>
            </w:r>
          </w:p>
        </w:tc>
        <w:tc>
          <w:tcPr>
            <w:tcW w:w="3036"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0/10</w:t>
            </w:r>
          </w:p>
        </w:tc>
      </w:tr>
      <w:tr>
        <w:tblPrEx>
          <w:tblCellMar>
            <w:top w:w="0" w:type="dxa"/>
            <w:left w:w="108" w:type="dxa"/>
            <w:bottom w:w="0" w:type="dxa"/>
            <w:right w:w="108" w:type="dxa"/>
          </w:tblCellMar>
        </w:tblPrEx>
        <w:trPr>
          <w:trHeight w:val="335" w:hRule="atLeast"/>
        </w:trPr>
        <w:tc>
          <w:tcPr>
            <w:tcW w:w="97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color w:val="000000"/>
                <w:sz w:val="22"/>
                <w:szCs w:val="22"/>
                <w:highlight w:val="none"/>
              </w:rPr>
            </w:pPr>
            <w:r>
              <w:rPr>
                <w:rFonts w:hint="eastAsia" w:ascii="宋体_GB2312" w:hAnsi="宋体_GB2312" w:eastAsia="宋体_GB2312" w:cs="宋体"/>
                <w:color w:val="000000"/>
                <w:sz w:val="22"/>
                <w:szCs w:val="22"/>
                <w:highlight w:val="none"/>
              </w:rPr>
              <w:t>注：护套性能试验在取样困难时，可采取厂家提供空管或粒料进行试验，也可进行材料验证试验。</w:t>
            </w:r>
          </w:p>
        </w:tc>
      </w:tr>
    </w:tbl>
    <w:p>
      <w:pPr>
        <w:adjustRightInd/>
        <w:spacing w:line="276" w:lineRule="auto"/>
        <w:jc w:val="left"/>
        <w:textAlignment w:val="auto"/>
        <w:rPr>
          <w:rFonts w:ascii="宋体_GB2312" w:hAnsi="宋体_GB2312" w:eastAsia="宋体_GB2312"/>
          <w:kern w:val="2"/>
          <w:sz w:val="24"/>
          <w:szCs w:val="24"/>
          <w:highlight w:val="none"/>
        </w:rPr>
      </w:pPr>
    </w:p>
    <w:p>
      <w:pPr>
        <w:pStyle w:val="4"/>
        <w:spacing w:after="12"/>
        <w:rPr>
          <w:rFonts w:ascii="宋体_GB2312" w:hAnsi="宋体_GB2312" w:eastAsia="宋体_GB2312"/>
          <w:highlight w:val="none"/>
        </w:rPr>
      </w:pPr>
      <w:bookmarkStart w:id="35" w:name="_Toc14754"/>
      <w:bookmarkStart w:id="36" w:name="_Toc54084398"/>
      <w:r>
        <w:rPr>
          <w:rFonts w:ascii="宋体_GB2312" w:hAnsi="宋体_GB2312" w:eastAsia="宋体_GB2312"/>
          <w:highlight w:val="none"/>
        </w:rPr>
        <w:t>2.3.2</w:t>
      </w:r>
      <w:r>
        <w:rPr>
          <w:rFonts w:hint="eastAsia" w:ascii="宋体_GB2312" w:hAnsi="宋体_GB2312" w:eastAsia="宋体_GB2312"/>
          <w:highlight w:val="none"/>
        </w:rPr>
        <w:t>光缆机械性能</w:t>
      </w:r>
      <w:bookmarkEnd w:id="35"/>
      <w:bookmarkEnd w:id="36"/>
    </w:p>
    <w:p>
      <w:pPr>
        <w:pStyle w:val="5"/>
        <w:spacing w:after="12"/>
        <w:rPr>
          <w:rFonts w:ascii="宋体_GB2312" w:hAnsi="宋体_GB2312" w:eastAsia="宋体_GB2312"/>
          <w:highlight w:val="none"/>
        </w:rPr>
      </w:pPr>
      <w:r>
        <w:rPr>
          <w:rFonts w:ascii="宋体_GB2312" w:hAnsi="宋体_GB2312" w:eastAsia="宋体_GB2312"/>
          <w:highlight w:val="none"/>
        </w:rPr>
        <w:t>2.3.2.1</w:t>
      </w:r>
      <w:r>
        <w:rPr>
          <w:rFonts w:hint="eastAsia" w:ascii="宋体_GB2312" w:hAnsi="宋体_GB2312" w:eastAsia="宋体_GB2312"/>
          <w:highlight w:val="none"/>
        </w:rPr>
        <w:t>一般要求</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光缆机械性能包括可分离性、拉伸、压扁、冲击、反复弯曲、扭转和弯折等项目，并应通过</w:t>
      </w:r>
      <w:r>
        <w:rPr>
          <w:rFonts w:ascii="宋体_GB2312" w:hAnsi="宋体_GB2312" w:eastAsia="宋体_GB2312"/>
          <w:sz w:val="24"/>
          <w:szCs w:val="24"/>
          <w:highlight w:val="none"/>
        </w:rPr>
        <w:t>YD/T 1997.1-2014</w:t>
      </w:r>
      <w:r>
        <w:rPr>
          <w:rFonts w:hint="eastAsia" w:ascii="宋体_GB2312" w:hAnsi="宋体_GB2312" w:eastAsia="宋体_GB2312"/>
          <w:sz w:val="24"/>
          <w:szCs w:val="24"/>
          <w:highlight w:val="none"/>
        </w:rPr>
        <w:t>《通信用引入光缆</w:t>
      </w:r>
      <w:r>
        <w:rPr>
          <w:rFonts w:ascii="宋体_GB2312" w:hAnsi="宋体_GB2312" w:eastAsia="宋体_GB2312"/>
          <w:sz w:val="24"/>
          <w:szCs w:val="24"/>
          <w:highlight w:val="none"/>
        </w:rPr>
        <w:t xml:space="preserve"> </w:t>
      </w:r>
      <w:r>
        <w:rPr>
          <w:rFonts w:hint="eastAsia" w:ascii="宋体_GB2312" w:hAnsi="宋体_GB2312" w:eastAsia="宋体_GB2312"/>
          <w:sz w:val="24"/>
          <w:szCs w:val="24"/>
          <w:highlight w:val="none"/>
        </w:rPr>
        <w:t>第</w:t>
      </w:r>
      <w:r>
        <w:rPr>
          <w:rFonts w:ascii="宋体_GB2312" w:hAnsi="宋体_GB2312" w:eastAsia="宋体_GB2312"/>
          <w:sz w:val="24"/>
          <w:szCs w:val="24"/>
          <w:highlight w:val="none"/>
        </w:rPr>
        <w:t>1</w:t>
      </w:r>
      <w:r>
        <w:rPr>
          <w:rFonts w:hint="eastAsia" w:ascii="宋体_GB2312" w:hAnsi="宋体_GB2312" w:eastAsia="宋体_GB2312"/>
          <w:sz w:val="24"/>
          <w:szCs w:val="24"/>
          <w:highlight w:val="none"/>
        </w:rPr>
        <w:t>部分</w:t>
      </w:r>
      <w:r>
        <w:rPr>
          <w:rFonts w:ascii="宋体_GB2312" w:hAnsi="宋体_GB2312" w:eastAsia="宋体_GB2312"/>
          <w:sz w:val="24"/>
          <w:szCs w:val="24"/>
          <w:highlight w:val="none"/>
        </w:rPr>
        <w:t xml:space="preserve">： </w:t>
      </w:r>
      <w:r>
        <w:rPr>
          <w:rFonts w:hint="eastAsia" w:ascii="宋体_GB2312" w:hAnsi="宋体_GB2312" w:eastAsia="宋体_GB2312"/>
          <w:sz w:val="24"/>
          <w:szCs w:val="24"/>
          <w:highlight w:val="none"/>
        </w:rPr>
        <w:t>蝶形光缆》</w:t>
      </w:r>
      <w:r>
        <w:rPr>
          <w:rFonts w:ascii="宋体_GB2312" w:hAnsi="宋体_GB2312" w:eastAsia="宋体_GB2312"/>
          <w:sz w:val="24"/>
          <w:szCs w:val="24"/>
          <w:highlight w:val="none"/>
        </w:rPr>
        <w:t>6.6</w:t>
      </w:r>
      <w:r>
        <w:rPr>
          <w:rFonts w:hint="eastAsia" w:ascii="宋体_GB2312" w:hAnsi="宋体_GB2312" w:eastAsia="宋体_GB2312"/>
          <w:sz w:val="24"/>
          <w:szCs w:val="24"/>
          <w:highlight w:val="none"/>
        </w:rPr>
        <w:t>规定的试验方法和试验条件来检验。对于自承式和管道用蝶形光缆，除了拉伸力和压扁力应满足本规范要求外，其它如冲击、反复弯曲、扭转、曲挠、卷绕和弯折等机械性能应满足</w:t>
      </w:r>
      <w:r>
        <w:rPr>
          <w:rFonts w:ascii="宋体_GB2312" w:hAnsi="宋体_GB2312" w:eastAsia="宋体_GB2312"/>
          <w:sz w:val="24"/>
          <w:szCs w:val="24"/>
          <w:highlight w:val="none"/>
        </w:rPr>
        <w:t>YD/T 1770-2008</w:t>
      </w:r>
      <w:r>
        <w:rPr>
          <w:rFonts w:hint="eastAsia" w:ascii="宋体_GB2312" w:hAnsi="宋体_GB2312" w:eastAsia="宋体_GB2312"/>
          <w:sz w:val="24"/>
          <w:szCs w:val="24"/>
          <w:highlight w:val="none"/>
        </w:rPr>
        <w:t>《接入网用室内外光缆》的要求。</w:t>
      </w:r>
    </w:p>
    <w:p>
      <w:pPr>
        <w:pStyle w:val="5"/>
        <w:spacing w:after="12"/>
        <w:rPr>
          <w:rFonts w:ascii="宋体_GB2312" w:hAnsi="宋体_GB2312" w:eastAsia="宋体_GB2312"/>
          <w:highlight w:val="none"/>
        </w:rPr>
      </w:pPr>
      <w:r>
        <w:rPr>
          <w:rFonts w:ascii="宋体_GB2312" w:hAnsi="宋体_GB2312" w:eastAsia="宋体_GB2312"/>
          <w:highlight w:val="none"/>
        </w:rPr>
        <w:t>2.3.2.2</w:t>
      </w:r>
      <w:r>
        <w:rPr>
          <w:rFonts w:hint="eastAsia" w:ascii="宋体_GB2312" w:hAnsi="宋体_GB2312" w:eastAsia="宋体_GB2312"/>
          <w:highlight w:val="none"/>
        </w:rPr>
        <w:t>可分离性</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1）</w:t>
      </w:r>
      <w:r>
        <w:rPr>
          <w:rFonts w:hint="eastAsia" w:ascii="宋体_GB2312" w:hAnsi="宋体_GB2312" w:eastAsia="宋体_GB2312"/>
          <w:sz w:val="24"/>
          <w:szCs w:val="24"/>
          <w:highlight w:val="none"/>
        </w:rPr>
        <w:t>该条款只对蝶形光缆部分进行检验，对于自承式和管道型应将吊线和外护套部分剥除后进行。</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2）</w:t>
      </w:r>
      <w:r>
        <w:rPr>
          <w:rFonts w:hint="eastAsia" w:ascii="宋体_GB2312" w:hAnsi="宋体_GB2312" w:eastAsia="宋体_GB2312"/>
          <w:sz w:val="24"/>
          <w:szCs w:val="24"/>
          <w:highlight w:val="none"/>
        </w:rPr>
        <w:t>应能从光缆分离口处较容易地将光缆分离</w:t>
      </w:r>
      <w:r>
        <w:rPr>
          <w:rFonts w:ascii="宋体_GB2312" w:hAnsi="宋体_GB2312" w:eastAsia="宋体_GB2312"/>
          <w:sz w:val="24"/>
          <w:szCs w:val="24"/>
          <w:highlight w:val="none"/>
        </w:rPr>
        <w:t>200mm，其撕裂力的最小值应不低于5N，最大值应不大于15N。</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分离后，光纤应能完全裸露出来，且加强构件处的护套应保持完整，加强件无裸露。用手轻轻持住剩余的光缆端部，不得用力捏住光缆，将分离出来的光纤垂直向下，光纤应不能从剩余的光缆样品中自由地脱落出来。</w:t>
      </w:r>
    </w:p>
    <w:p>
      <w:pPr>
        <w:pStyle w:val="5"/>
        <w:spacing w:after="12"/>
        <w:rPr>
          <w:rFonts w:ascii="宋体_GB2312" w:hAnsi="宋体_GB2312" w:eastAsia="宋体_GB2312"/>
        </w:rPr>
      </w:pPr>
      <w:r>
        <w:rPr>
          <w:rFonts w:ascii="宋体_GB2312" w:hAnsi="宋体_GB2312" w:eastAsia="宋体_GB2312"/>
        </w:rPr>
        <w:t>2.3.2.3</w:t>
      </w:r>
      <w:r>
        <w:rPr>
          <w:rFonts w:hint="eastAsia" w:ascii="宋体_GB2312" w:hAnsi="宋体_GB2312" w:eastAsia="宋体_GB2312"/>
        </w:rPr>
        <w:t>拉伸和压扁性能</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rPr>
        <w:t>光缆的允许拉伸力和允许压扁力应符合表</w:t>
      </w:r>
      <w:r>
        <w:rPr>
          <w:rFonts w:ascii="宋体_GB2312" w:hAnsi="宋体_GB2312" w:eastAsia="宋体_GB2312"/>
          <w:sz w:val="24"/>
          <w:szCs w:val="24"/>
        </w:rPr>
        <w:t>4</w:t>
      </w:r>
      <w:r>
        <w:rPr>
          <w:rFonts w:hint="eastAsia" w:ascii="宋体_GB2312" w:hAnsi="宋体_GB2312" w:eastAsia="宋体_GB2312"/>
          <w:sz w:val="24"/>
          <w:szCs w:val="24"/>
        </w:rPr>
        <w:t>规定。在长期允许拉力下光纤应变应不大于</w:t>
      </w:r>
      <w:r>
        <w:rPr>
          <w:rFonts w:ascii="宋体_GB2312" w:hAnsi="宋体_GB2312" w:eastAsia="宋体_GB2312"/>
          <w:sz w:val="24"/>
          <w:szCs w:val="24"/>
        </w:rPr>
        <w:t>0.2%</w:t>
      </w:r>
      <w:r>
        <w:rPr>
          <w:rFonts w:hint="eastAsia" w:ascii="宋体_GB2312" w:hAnsi="宋体_GB2312" w:eastAsia="宋体_GB2312"/>
          <w:sz w:val="24"/>
          <w:szCs w:val="24"/>
        </w:rPr>
        <w:t>，光纤应无明显附加衰减；在短暂拉力下光纤应变应不大于</w:t>
      </w:r>
      <w:r>
        <w:rPr>
          <w:rFonts w:ascii="宋体_GB2312" w:hAnsi="宋体_GB2312" w:eastAsia="宋体_GB2312"/>
          <w:sz w:val="24"/>
          <w:szCs w:val="24"/>
        </w:rPr>
        <w:t>0.4%</w:t>
      </w:r>
      <w:r>
        <w:rPr>
          <w:rFonts w:hint="eastAsia" w:ascii="宋体_GB2312" w:hAnsi="宋体_GB2312" w:eastAsia="宋体_GB2312"/>
          <w:sz w:val="24"/>
          <w:szCs w:val="24"/>
        </w:rPr>
        <w:t>，应无明显残余附加衰减，护套应无目视可见的开裂。</w:t>
      </w:r>
    </w:p>
    <w:p>
      <w:pPr>
        <w:spacing w:line="276" w:lineRule="auto"/>
        <w:ind w:firstLine="2520" w:firstLineChars="1050"/>
        <w:rPr>
          <w:rFonts w:ascii="宋体_GB2312" w:hAnsi="宋体_GB2312" w:eastAsia="宋体_GB2312"/>
          <w:sz w:val="24"/>
          <w:szCs w:val="24"/>
          <w:highlight w:val="none"/>
        </w:rPr>
      </w:pPr>
      <w:r>
        <w:rPr>
          <w:rFonts w:hint="eastAsia" w:ascii="宋体_GB2312" w:hAnsi="宋体_GB2312" w:eastAsia="宋体_GB2312"/>
          <w:sz w:val="24"/>
          <w:szCs w:val="24"/>
          <w:highlight w:val="none"/>
        </w:rPr>
        <w:t>表</w:t>
      </w:r>
      <w:r>
        <w:rPr>
          <w:rFonts w:ascii="宋体_GB2312" w:hAnsi="宋体_GB2312" w:eastAsia="宋体_GB2312"/>
          <w:sz w:val="24"/>
          <w:szCs w:val="24"/>
          <w:highlight w:val="none"/>
        </w:rPr>
        <w:t xml:space="preserve">4  </w:t>
      </w:r>
      <w:r>
        <w:rPr>
          <w:rFonts w:hint="eastAsia" w:ascii="宋体_GB2312" w:hAnsi="宋体_GB2312" w:eastAsia="宋体_GB2312"/>
          <w:sz w:val="24"/>
          <w:szCs w:val="24"/>
          <w:highlight w:val="none"/>
        </w:rPr>
        <w:t>蝶形光缆机械特性指标</w:t>
      </w:r>
    </w:p>
    <w:tbl>
      <w:tblPr>
        <w:tblStyle w:val="50"/>
        <w:tblW w:w="9781" w:type="dxa"/>
        <w:tblInd w:w="108" w:type="dxa"/>
        <w:tblLayout w:type="fixed"/>
        <w:tblCellMar>
          <w:top w:w="0" w:type="dxa"/>
          <w:left w:w="108" w:type="dxa"/>
          <w:bottom w:w="0" w:type="dxa"/>
          <w:right w:w="108" w:type="dxa"/>
        </w:tblCellMar>
      </w:tblPr>
      <w:tblGrid>
        <w:gridCol w:w="2138"/>
        <w:gridCol w:w="726"/>
        <w:gridCol w:w="851"/>
        <w:gridCol w:w="697"/>
        <w:gridCol w:w="1571"/>
        <w:gridCol w:w="3798"/>
      </w:tblGrid>
      <w:tr>
        <w:tblPrEx>
          <w:tblCellMar>
            <w:top w:w="0" w:type="dxa"/>
            <w:left w:w="108" w:type="dxa"/>
            <w:bottom w:w="0" w:type="dxa"/>
            <w:right w:w="108" w:type="dxa"/>
          </w:tblCellMar>
        </w:tblPrEx>
        <w:trPr>
          <w:trHeight w:val="153" w:hRule="atLeast"/>
        </w:trPr>
        <w:tc>
          <w:tcPr>
            <w:tcW w:w="21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敷设方式</w:t>
            </w:r>
          </w:p>
        </w:tc>
        <w:tc>
          <w:tcPr>
            <w:tcW w:w="15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拉伸力</w:t>
            </w:r>
            <w:r>
              <w:rPr>
                <w:rFonts w:ascii="宋体_GB2312" w:hAnsi="宋体_GB2312" w:eastAsia="宋体_GB2312" w:cs="宋体"/>
                <w:szCs w:val="24"/>
                <w:highlight w:val="none"/>
              </w:rPr>
              <w:t>(N)</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压扁力</w:t>
            </w:r>
            <w:r>
              <w:rPr>
                <w:rFonts w:ascii="宋体_GB2312" w:hAnsi="宋体_GB2312" w:eastAsia="宋体_GB2312" w:cs="宋体"/>
                <w:szCs w:val="24"/>
                <w:highlight w:val="none"/>
              </w:rPr>
              <w:t>(N/100mm)</w:t>
            </w:r>
          </w:p>
        </w:tc>
        <w:tc>
          <w:tcPr>
            <w:tcW w:w="37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适用光缆型号示例</w:t>
            </w:r>
          </w:p>
        </w:tc>
      </w:tr>
      <w:tr>
        <w:tblPrEx>
          <w:tblCellMar>
            <w:top w:w="0" w:type="dxa"/>
            <w:left w:w="108" w:type="dxa"/>
            <w:bottom w:w="0" w:type="dxa"/>
            <w:right w:w="108" w:type="dxa"/>
          </w:tblCellMar>
        </w:tblPrEx>
        <w:trPr>
          <w:trHeight w:val="153" w:hRule="atLeast"/>
        </w:trPr>
        <w:tc>
          <w:tcPr>
            <w:tcW w:w="213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highlight w:val="none"/>
              </w:rPr>
            </w:pP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短期</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长期</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短期</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长期</w:t>
            </w:r>
          </w:p>
        </w:tc>
        <w:tc>
          <w:tcPr>
            <w:tcW w:w="379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highlight w:val="none"/>
              </w:rPr>
            </w:pPr>
          </w:p>
        </w:tc>
      </w:tr>
      <w:tr>
        <w:tblPrEx>
          <w:tblCellMar>
            <w:top w:w="0" w:type="dxa"/>
            <w:left w:w="108" w:type="dxa"/>
            <w:bottom w:w="0" w:type="dxa"/>
            <w:right w:w="108" w:type="dxa"/>
          </w:tblCellMar>
        </w:tblPrEx>
        <w:trPr>
          <w:trHeight w:val="307"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室内引入（</w:t>
            </w:r>
            <w:r>
              <w:rPr>
                <w:rFonts w:ascii="宋体_GB2312" w:hAnsi="宋体_GB2312" w:eastAsia="宋体_GB2312" w:cs="宋体"/>
                <w:szCs w:val="24"/>
                <w:highlight w:val="none"/>
              </w:rPr>
              <w:t>I）</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60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500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GJXFV、GJXFH、GJXFDV、GJXFDH</w:t>
            </w:r>
          </w:p>
        </w:tc>
      </w:tr>
      <w:tr>
        <w:tblPrEx>
          <w:tblCellMar>
            <w:top w:w="0" w:type="dxa"/>
            <w:left w:w="108" w:type="dxa"/>
            <w:bottom w:w="0" w:type="dxa"/>
            <w:right w:w="108" w:type="dxa"/>
          </w:tblCellMar>
        </w:tblPrEx>
        <w:trPr>
          <w:trHeight w:val="153"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室内引入（</w:t>
            </w:r>
            <w:r>
              <w:rPr>
                <w:rFonts w:ascii="宋体_GB2312" w:hAnsi="宋体_GB2312" w:eastAsia="宋体_GB2312" w:cs="宋体"/>
                <w:szCs w:val="24"/>
                <w:highlight w:val="none"/>
              </w:rPr>
              <w:t>II）</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120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60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2200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GJXV、GJXH</w:t>
            </w:r>
          </w:p>
        </w:tc>
      </w:tr>
      <w:tr>
        <w:tblPrEx>
          <w:tblCellMar>
            <w:top w:w="0" w:type="dxa"/>
            <w:left w:w="108" w:type="dxa"/>
            <w:bottom w:w="0" w:type="dxa"/>
            <w:right w:w="108" w:type="dxa"/>
          </w:tblCellMar>
        </w:tblPrEx>
        <w:trPr>
          <w:trHeight w:val="307"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室内引入（</w:t>
            </w:r>
            <w:r>
              <w:rPr>
                <w:rFonts w:ascii="宋体_GB2312" w:hAnsi="宋体_GB2312" w:eastAsia="宋体_GB2312" w:cs="宋体"/>
                <w:szCs w:val="24"/>
                <w:highlight w:val="none"/>
              </w:rPr>
              <w:t>III）</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200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2200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GJXV、GJXH、GJXDV、GJXDH</w:t>
            </w:r>
          </w:p>
        </w:tc>
      </w:tr>
      <w:tr>
        <w:tblPrEx>
          <w:tblCellMar>
            <w:top w:w="0" w:type="dxa"/>
            <w:left w:w="108" w:type="dxa"/>
            <w:bottom w:w="0" w:type="dxa"/>
            <w:right w:w="108" w:type="dxa"/>
          </w:tblCellMar>
        </w:tblPrEx>
        <w:trPr>
          <w:trHeight w:val="153"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室外架空</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600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300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2200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GJYXFCH、GJYXFDCH</w:t>
            </w:r>
          </w:p>
        </w:tc>
      </w:tr>
      <w:tr>
        <w:tblPrEx>
          <w:tblCellMar>
            <w:top w:w="0" w:type="dxa"/>
            <w:left w:w="108" w:type="dxa"/>
            <w:bottom w:w="0" w:type="dxa"/>
            <w:right w:w="108" w:type="dxa"/>
          </w:tblCellMar>
        </w:tblPrEx>
        <w:trPr>
          <w:trHeight w:val="153"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hint="eastAsia" w:ascii="宋体_GB2312" w:hAnsi="宋体_GB2312" w:eastAsia="宋体_GB2312" w:cs="宋体"/>
                <w:sz w:val="21"/>
                <w:szCs w:val="24"/>
                <w:highlight w:val="none"/>
                <w:lang w:val="en-US" w:eastAsia="zh-CN" w:bidi="ar-SA"/>
              </w:rPr>
            </w:pPr>
            <w:r>
              <w:rPr>
                <w:rFonts w:hint="eastAsia" w:ascii="宋体_GB2312" w:hAnsi="宋体_GB2312" w:eastAsia="宋体_GB2312" w:cs="宋体"/>
                <w:szCs w:val="24"/>
                <w:highlight w:val="none"/>
              </w:rPr>
              <w:t>室外管道</w:t>
            </w:r>
            <w:r>
              <w:rPr>
                <w:rFonts w:hint="eastAsia" w:ascii="宋体_GB2312" w:hAnsi="宋体_GB2312" w:eastAsia="宋体_GB2312" w:cs="宋体"/>
                <w:szCs w:val="24"/>
                <w:highlight w:val="none"/>
                <w:lang w:eastAsia="zh-CN"/>
              </w:rPr>
              <w:t>（</w:t>
            </w:r>
            <w:r>
              <w:rPr>
                <w:rFonts w:hint="eastAsia" w:ascii="宋体_GB2312" w:hAnsi="宋体_GB2312" w:eastAsia="宋体_GB2312" w:cs="宋体"/>
                <w:szCs w:val="24"/>
                <w:highlight w:val="none"/>
                <w:lang w:val="en-US" w:eastAsia="zh-CN"/>
              </w:rPr>
              <w:t>600N</w:t>
            </w:r>
            <w:r>
              <w:rPr>
                <w:rFonts w:hint="eastAsia" w:ascii="宋体_GB2312" w:hAnsi="宋体_GB2312" w:eastAsia="宋体_GB2312" w:cs="宋体"/>
                <w:szCs w:val="24"/>
                <w:highlight w:val="none"/>
                <w:lang w:eastAsia="zh-CN"/>
              </w:rPr>
              <w:t>）</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 w:val="21"/>
                <w:szCs w:val="24"/>
                <w:highlight w:val="none"/>
                <w:lang w:val="en-US" w:eastAsia="zh-CN" w:bidi="ar-SA"/>
              </w:rPr>
            </w:pPr>
            <w:r>
              <w:rPr>
                <w:rFonts w:hint="eastAsia" w:ascii="宋体_GB2312" w:hAnsi="宋体_GB2312" w:eastAsia="宋体_GB2312" w:cs="宋体"/>
                <w:szCs w:val="24"/>
                <w:highlight w:val="none"/>
                <w:lang w:val="en-US" w:eastAsia="zh-CN"/>
              </w:rPr>
              <w:t>6</w:t>
            </w:r>
            <w:r>
              <w:rPr>
                <w:rFonts w:ascii="宋体_GB2312" w:hAnsi="宋体_GB2312" w:eastAsia="宋体_GB2312" w:cs="宋体"/>
                <w:szCs w:val="24"/>
                <w:highlight w:val="none"/>
              </w:rPr>
              <w:t>00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 w:val="21"/>
                <w:szCs w:val="24"/>
                <w:highlight w:val="none"/>
                <w:lang w:val="en-US" w:eastAsia="zh-CN" w:bidi="ar-SA"/>
              </w:rPr>
            </w:pPr>
            <w:r>
              <w:rPr>
                <w:rFonts w:hint="eastAsia" w:ascii="宋体_GB2312" w:hAnsi="宋体_GB2312" w:eastAsia="宋体_GB2312" w:cs="宋体"/>
                <w:szCs w:val="24"/>
                <w:highlight w:val="none"/>
                <w:lang w:val="en-US" w:eastAsia="zh-CN"/>
              </w:rPr>
              <w:t>3</w:t>
            </w:r>
            <w:r>
              <w:rPr>
                <w:rFonts w:ascii="宋体_GB2312" w:hAnsi="宋体_GB2312" w:eastAsia="宋体_GB2312" w:cs="宋体"/>
                <w:szCs w:val="24"/>
                <w:highlight w:val="none"/>
              </w:rPr>
              <w:t>00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 w:val="21"/>
                <w:szCs w:val="24"/>
                <w:highlight w:val="none"/>
                <w:lang w:val="en-US" w:eastAsia="zh-CN" w:bidi="ar-SA"/>
              </w:rPr>
            </w:pPr>
            <w:r>
              <w:rPr>
                <w:rFonts w:ascii="宋体_GB2312" w:hAnsi="宋体_GB2312" w:eastAsia="宋体_GB2312" w:cs="宋体"/>
                <w:szCs w:val="24"/>
                <w:highlight w:val="none"/>
              </w:rPr>
              <w:t>2200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 w:val="21"/>
                <w:szCs w:val="24"/>
                <w:highlight w:val="none"/>
                <w:lang w:val="en-US" w:eastAsia="zh-CN" w:bidi="ar-SA"/>
              </w:rPr>
            </w:pPr>
            <w:r>
              <w:rPr>
                <w:rFonts w:ascii="宋体_GB2312" w:hAnsi="宋体_GB2312" w:eastAsia="宋体_GB2312" w:cs="宋体"/>
                <w:szCs w:val="24"/>
                <w:highlight w:val="none"/>
              </w:rPr>
              <w:t>1000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 w:val="21"/>
                <w:szCs w:val="24"/>
                <w:highlight w:val="none"/>
                <w:lang w:val="en-US" w:eastAsia="zh-CN" w:bidi="ar-SA"/>
              </w:rPr>
            </w:pPr>
            <w:r>
              <w:rPr>
                <w:rFonts w:ascii="宋体_GB2312" w:hAnsi="宋体_GB2312" w:eastAsia="宋体_GB2312" w:cs="宋体"/>
                <w:szCs w:val="24"/>
                <w:highlight w:val="none"/>
              </w:rPr>
              <w:t>GJYXH03、GJYXDH03、GJYXFH03、GJYXFDH03、GJYXHA、GJYXDHA、GJYXFHA、GJYXFDHA</w:t>
            </w:r>
          </w:p>
        </w:tc>
      </w:tr>
      <w:tr>
        <w:tblPrEx>
          <w:tblCellMar>
            <w:top w:w="0" w:type="dxa"/>
            <w:left w:w="108" w:type="dxa"/>
            <w:bottom w:w="0" w:type="dxa"/>
            <w:right w:w="108" w:type="dxa"/>
          </w:tblCellMar>
        </w:tblPrEx>
        <w:trPr>
          <w:trHeight w:val="614" w:hRule="atLeast"/>
        </w:trPr>
        <w:tc>
          <w:tcPr>
            <w:tcW w:w="213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hint="eastAsia" w:ascii="宋体_GB2312" w:hAnsi="宋体_GB2312" w:eastAsia="宋体_GB2312" w:cs="宋体"/>
                <w:szCs w:val="24"/>
                <w:highlight w:val="none"/>
                <w:lang w:eastAsia="zh-CN"/>
              </w:rPr>
            </w:pPr>
            <w:r>
              <w:rPr>
                <w:rFonts w:hint="eastAsia" w:ascii="宋体_GB2312" w:hAnsi="宋体_GB2312" w:eastAsia="宋体_GB2312" w:cs="宋体"/>
                <w:szCs w:val="24"/>
                <w:highlight w:val="none"/>
              </w:rPr>
              <w:t>室外管道</w:t>
            </w:r>
            <w:r>
              <w:rPr>
                <w:rFonts w:hint="eastAsia" w:ascii="宋体_GB2312" w:hAnsi="宋体_GB2312" w:eastAsia="宋体_GB2312" w:cs="宋体"/>
                <w:szCs w:val="24"/>
                <w:highlight w:val="none"/>
                <w:lang w:eastAsia="zh-CN"/>
              </w:rPr>
              <w:t>（</w:t>
            </w:r>
            <w:r>
              <w:rPr>
                <w:rFonts w:hint="eastAsia" w:ascii="宋体_GB2312" w:hAnsi="宋体_GB2312" w:eastAsia="宋体_GB2312" w:cs="宋体"/>
                <w:szCs w:val="24"/>
                <w:highlight w:val="none"/>
                <w:lang w:val="en-US" w:eastAsia="zh-CN"/>
              </w:rPr>
              <w:t>1500N</w:t>
            </w:r>
            <w:r>
              <w:rPr>
                <w:rFonts w:hint="eastAsia" w:ascii="宋体_GB2312" w:hAnsi="宋体_GB2312" w:eastAsia="宋体_GB2312" w:cs="宋体"/>
                <w:szCs w:val="24"/>
                <w:highlight w:val="none"/>
                <w:lang w:eastAsia="zh-CN"/>
              </w:rPr>
              <w:t>）</w:t>
            </w:r>
          </w:p>
        </w:tc>
        <w:tc>
          <w:tcPr>
            <w:tcW w:w="726"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1500</w:t>
            </w:r>
          </w:p>
        </w:tc>
        <w:tc>
          <w:tcPr>
            <w:tcW w:w="85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600</w:t>
            </w:r>
          </w:p>
        </w:tc>
        <w:tc>
          <w:tcPr>
            <w:tcW w:w="697"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2200</w:t>
            </w:r>
          </w:p>
        </w:tc>
        <w:tc>
          <w:tcPr>
            <w:tcW w:w="1571"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highlight w:val="none"/>
              </w:rPr>
            </w:pPr>
            <w:r>
              <w:rPr>
                <w:rFonts w:ascii="宋体_GB2312" w:hAnsi="宋体_GB2312" w:eastAsia="宋体_GB2312" w:cs="宋体"/>
                <w:szCs w:val="24"/>
                <w:highlight w:val="none"/>
              </w:rPr>
              <w:t>1000</w:t>
            </w:r>
          </w:p>
        </w:tc>
        <w:tc>
          <w:tcPr>
            <w:tcW w:w="3798" w:type="dxa"/>
            <w:tcBorders>
              <w:top w:val="nil"/>
              <w:left w:val="nil"/>
              <w:bottom w:val="single" w:color="auto" w:sz="4" w:space="0"/>
              <w:right w:val="single" w:color="auto" w:sz="4" w:space="0"/>
            </w:tcBorders>
            <w:shd w:val="clear" w:color="auto" w:fill="auto"/>
            <w:vAlign w:val="center"/>
          </w:tcPr>
          <w:p>
            <w:pPr>
              <w:widowControl/>
              <w:adjustRightInd/>
              <w:spacing w:line="276" w:lineRule="auto"/>
              <w:jc w:val="left"/>
              <w:textAlignment w:val="auto"/>
              <w:rPr>
                <w:rFonts w:hint="default" w:ascii="宋体_GB2312" w:hAnsi="宋体_GB2312" w:eastAsia="宋体_GB2312" w:cs="宋体"/>
                <w:szCs w:val="24"/>
                <w:highlight w:val="none"/>
                <w:lang w:val="en-US" w:eastAsia="zh-CN"/>
              </w:rPr>
            </w:pPr>
            <w:r>
              <w:rPr>
                <w:rFonts w:hint="eastAsia" w:ascii="宋体" w:hAnsi="宋体" w:cs="宋体"/>
                <w:szCs w:val="21"/>
              </w:rPr>
              <w:t>GJYXHA、GJYXFHA</w:t>
            </w:r>
            <w:r>
              <w:rPr>
                <w:rFonts w:hint="eastAsia" w:ascii="宋体" w:hAnsi="宋体" w:cs="宋体"/>
                <w:szCs w:val="21"/>
                <w:lang w:eastAsia="zh-CN"/>
              </w:rPr>
              <w:t>、</w:t>
            </w:r>
            <w:r>
              <w:rPr>
                <w:rFonts w:hint="eastAsia" w:ascii="宋体" w:hAnsi="宋体" w:cs="宋体"/>
                <w:szCs w:val="21"/>
                <w:lang w:val="en-US" w:eastAsia="zh-CN"/>
              </w:rPr>
              <w:t>铠装光缆</w:t>
            </w:r>
          </w:p>
        </w:tc>
      </w:tr>
      <w:tr>
        <w:tblPrEx>
          <w:tblCellMar>
            <w:top w:w="0" w:type="dxa"/>
            <w:left w:w="108" w:type="dxa"/>
            <w:bottom w:w="0" w:type="dxa"/>
            <w:right w:w="108" w:type="dxa"/>
          </w:tblCellMar>
        </w:tblPrEx>
        <w:trPr>
          <w:trHeight w:val="443" w:hRule="atLeast"/>
        </w:trPr>
        <w:tc>
          <w:tcPr>
            <w:tcW w:w="97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76" w:lineRule="auto"/>
              <w:jc w:val="left"/>
              <w:textAlignment w:val="auto"/>
              <w:rPr>
                <w:rFonts w:ascii="宋体_GB2312" w:hAnsi="宋体_GB2312" w:eastAsia="宋体_GB2312" w:cs="宋体"/>
                <w:szCs w:val="24"/>
                <w:highlight w:val="none"/>
              </w:rPr>
            </w:pPr>
            <w:r>
              <w:rPr>
                <w:rFonts w:hint="eastAsia" w:ascii="宋体_GB2312" w:hAnsi="宋体_GB2312" w:eastAsia="宋体_GB2312" w:cs="宋体"/>
                <w:szCs w:val="24"/>
                <w:highlight w:val="none"/>
              </w:rPr>
              <w:t>注：敷设方式一栏中的</w:t>
            </w:r>
            <w:r>
              <w:rPr>
                <w:rFonts w:ascii="宋体_GB2312" w:hAnsi="宋体_GB2312" w:eastAsia="宋体_GB2312" w:cs="宋体"/>
                <w:szCs w:val="24"/>
                <w:highlight w:val="none"/>
              </w:rPr>
              <w:t>(I)、(II)和(III)用于区分允许力值的不同。同一结构型式的光缆可有不同的拉伸力要求</w:t>
            </w:r>
            <w:r>
              <w:rPr>
                <w:rFonts w:hint="eastAsia" w:ascii="宋体_GB2312" w:hAnsi="宋体_GB2312" w:eastAsia="宋体_GB2312" w:cs="宋体"/>
                <w:szCs w:val="24"/>
                <w:highlight w:val="none"/>
              </w:rPr>
              <w:t>，将在订货合同中规定</w:t>
            </w:r>
            <w:r>
              <w:rPr>
                <w:rFonts w:ascii="宋体_GB2312" w:hAnsi="宋体_GB2312" w:eastAsia="宋体_GB2312" w:cs="宋体"/>
                <w:szCs w:val="24"/>
                <w:highlight w:val="none"/>
              </w:rPr>
              <w:t>。</w:t>
            </w:r>
          </w:p>
        </w:tc>
      </w:tr>
    </w:tbl>
    <w:p>
      <w:pPr>
        <w:adjustRightInd/>
        <w:spacing w:line="276" w:lineRule="auto"/>
        <w:jc w:val="left"/>
        <w:textAlignment w:val="auto"/>
        <w:rPr>
          <w:rFonts w:ascii="宋体_GB2312" w:hAnsi="宋体_GB2312" w:eastAsia="宋体_GB2312"/>
          <w:kern w:val="2"/>
          <w:sz w:val="24"/>
          <w:szCs w:val="24"/>
        </w:rPr>
      </w:pPr>
    </w:p>
    <w:p>
      <w:pPr>
        <w:pStyle w:val="5"/>
        <w:spacing w:after="12"/>
        <w:rPr>
          <w:rFonts w:ascii="宋体_GB2312" w:hAnsi="宋体_GB2312" w:eastAsia="宋体_GB2312"/>
          <w:lang w:eastAsia="zh-CN"/>
        </w:rPr>
      </w:pPr>
      <w:r>
        <w:rPr>
          <w:rFonts w:hint="eastAsia" w:ascii="宋体_GB2312" w:hAnsi="宋体_GB2312" w:eastAsia="宋体_GB2312"/>
          <w:lang w:eastAsia="zh-CN"/>
        </w:rPr>
        <w:t>2</w:t>
      </w:r>
      <w:r>
        <w:rPr>
          <w:rFonts w:ascii="宋体_GB2312" w:hAnsi="宋体_GB2312" w:eastAsia="宋体_GB2312"/>
          <w:lang w:eastAsia="zh-CN"/>
        </w:rPr>
        <w:t>.3.2.4</w:t>
      </w:r>
      <w:r>
        <w:rPr>
          <w:rFonts w:hint="eastAsia" w:ascii="宋体_GB2312" w:hAnsi="宋体_GB2312" w:eastAsia="宋体_GB2312"/>
          <w:lang w:eastAsia="zh-CN"/>
        </w:rPr>
        <w:t>光缆的冲击、反复弯曲、扭转、弯折性能</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该条款只对室内型蝶形光缆进行检验，对于自承式和管道型应将吊线和外护套部分剥除后进行。</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（2）室内型蝶形光缆在试验后，护套应无目视可见的任何损伤和开裂，光纤的残余附加衰减在</w:t>
      </w:r>
      <w:r>
        <w:rPr>
          <w:rFonts w:ascii="宋体_GB2312" w:hAnsi="宋体_GB2312" w:eastAsia="宋体_GB2312"/>
          <w:sz w:val="24"/>
          <w:szCs w:val="24"/>
        </w:rPr>
        <w:t>1550nm</w:t>
      </w:r>
      <w:r>
        <w:rPr>
          <w:rFonts w:hint="eastAsia" w:ascii="宋体_GB2312" w:hAnsi="宋体_GB2312" w:eastAsia="宋体_GB2312"/>
          <w:sz w:val="24"/>
          <w:szCs w:val="24"/>
        </w:rPr>
        <w:t>处应不大于</w:t>
      </w:r>
      <w:r>
        <w:rPr>
          <w:rFonts w:ascii="宋体_GB2312" w:hAnsi="宋体_GB2312" w:eastAsia="宋体_GB2312"/>
          <w:sz w:val="24"/>
          <w:szCs w:val="24"/>
        </w:rPr>
        <w:t>0.4dB</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Cs w:val="24"/>
        </w:rPr>
      </w:pPr>
      <w:r>
        <w:rPr>
          <w:rFonts w:hint="eastAsia" w:ascii="宋体_GB2312" w:hAnsi="宋体_GB2312" w:eastAsia="宋体_GB2312"/>
          <w:sz w:val="24"/>
          <w:szCs w:val="24"/>
        </w:rPr>
        <w:t>（3）光缆在扁平方向进行弯折试验后，应不发生弯折。</w:t>
      </w:r>
    </w:p>
    <w:p>
      <w:pPr>
        <w:pStyle w:val="5"/>
        <w:spacing w:after="12"/>
        <w:rPr>
          <w:rFonts w:ascii="宋体_GB2312" w:hAnsi="宋体_GB2312" w:eastAsia="宋体_GB2312"/>
        </w:rPr>
      </w:pPr>
      <w:r>
        <w:rPr>
          <w:rFonts w:ascii="宋体_GB2312" w:hAnsi="宋体_GB2312" w:eastAsia="宋体_GB2312"/>
          <w:lang w:eastAsia="zh-CN"/>
        </w:rPr>
        <w:t>2.3.2.5</w:t>
      </w:r>
      <w:r>
        <w:rPr>
          <w:rFonts w:hint="eastAsia" w:ascii="宋体_GB2312" w:hAnsi="宋体_GB2312" w:eastAsia="宋体_GB2312"/>
          <w:lang w:eastAsia="zh-CN"/>
        </w:rPr>
        <w:t>光缆弯曲半径</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光缆最小弯曲半径应满足表</w:t>
      </w:r>
      <w:r>
        <w:rPr>
          <w:rFonts w:ascii="宋体_GB2312" w:hAnsi="宋体_GB2312" w:eastAsia="宋体_GB2312"/>
          <w:sz w:val="24"/>
          <w:szCs w:val="24"/>
        </w:rPr>
        <w:t>5</w:t>
      </w:r>
      <w:r>
        <w:rPr>
          <w:rFonts w:hint="eastAsia" w:ascii="宋体_GB2312" w:hAnsi="宋体_GB2312" w:eastAsia="宋体_GB2312"/>
          <w:sz w:val="24"/>
          <w:szCs w:val="24"/>
        </w:rPr>
        <w:t>的要求</w:t>
      </w:r>
      <w:r>
        <w:rPr>
          <w:rFonts w:ascii="宋体_GB2312" w:hAnsi="宋体_GB2312" w:eastAsia="宋体_GB2312"/>
          <w:sz w:val="24"/>
          <w:szCs w:val="24"/>
        </w:rPr>
        <w:t xml:space="preserve"> </w:t>
      </w:r>
      <w:r>
        <w:rPr>
          <w:rFonts w:hint="eastAsia" w:ascii="宋体_GB2312" w:hAnsi="宋体_GB2312" w:eastAsia="宋体_GB2312"/>
          <w:sz w:val="24"/>
          <w:szCs w:val="24"/>
        </w:rPr>
        <w:t>，其中室内蝶形光缆和自承式光缆的弯曲应在光缆的扁平方向进行。</w:t>
      </w:r>
    </w:p>
    <w:p>
      <w:pPr>
        <w:spacing w:before="120" w:beforeLines="50" w:line="300" w:lineRule="auto"/>
        <w:ind w:firstLine="480" w:firstLineChars="200"/>
        <w:jc w:val="center"/>
        <w:rPr>
          <w:rFonts w:ascii="宋体_GB2312" w:hAnsi="宋体_GB2312" w:eastAsia="宋体_GB2312"/>
          <w:sz w:val="24"/>
          <w:szCs w:val="24"/>
          <w:highlight w:val="none"/>
        </w:rPr>
      </w:pPr>
      <w:r>
        <w:rPr>
          <w:rFonts w:hint="eastAsia" w:ascii="宋体_GB2312" w:hAnsi="宋体_GB2312" w:eastAsia="宋体_GB2312"/>
          <w:sz w:val="24"/>
          <w:szCs w:val="24"/>
          <w:highlight w:val="none"/>
        </w:rPr>
        <w:t>表</w:t>
      </w:r>
      <w:r>
        <w:rPr>
          <w:rFonts w:ascii="宋体_GB2312" w:hAnsi="宋体_GB2312" w:eastAsia="宋体_GB2312"/>
          <w:sz w:val="24"/>
          <w:szCs w:val="24"/>
          <w:highlight w:val="none"/>
        </w:rPr>
        <w:t xml:space="preserve">5 </w:t>
      </w:r>
      <w:r>
        <w:rPr>
          <w:rFonts w:hint="eastAsia" w:ascii="宋体_GB2312" w:hAnsi="宋体_GB2312" w:eastAsia="宋体_GB2312"/>
          <w:sz w:val="24"/>
          <w:szCs w:val="24"/>
          <w:highlight w:val="none"/>
        </w:rPr>
        <w:t>光缆最小弯曲半径</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2434"/>
        <w:gridCol w:w="243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gridSpan w:val="2"/>
          </w:tcPr>
          <w:p>
            <w:pPr>
              <w:spacing w:before="120" w:beforeLines="50" w:line="300" w:lineRule="auto"/>
              <w:jc w:val="center"/>
              <w:rPr>
                <w:rFonts w:ascii="宋体_GB2312" w:hAnsi="宋体_GB2312" w:eastAsia="宋体_GB2312"/>
                <w:szCs w:val="24"/>
                <w:highlight w:val="none"/>
              </w:rPr>
            </w:pPr>
            <w:r>
              <w:rPr>
                <w:rFonts w:hint="eastAsia" w:ascii="宋体_GB2312" w:hAnsi="宋体_GB2312" w:eastAsia="宋体_GB2312"/>
                <w:szCs w:val="24"/>
                <w:highlight w:val="none"/>
              </w:rPr>
              <w:t>光缆类型</w:t>
            </w:r>
          </w:p>
        </w:tc>
        <w:tc>
          <w:tcPr>
            <w:tcW w:w="2434" w:type="dxa"/>
          </w:tcPr>
          <w:p>
            <w:pPr>
              <w:spacing w:before="120" w:beforeLines="50" w:line="300" w:lineRule="auto"/>
              <w:jc w:val="center"/>
              <w:rPr>
                <w:rFonts w:ascii="宋体_GB2312" w:hAnsi="宋体_GB2312" w:eastAsia="宋体_GB2312"/>
                <w:szCs w:val="24"/>
                <w:highlight w:val="none"/>
              </w:rPr>
            </w:pPr>
            <w:r>
              <w:rPr>
                <w:rFonts w:hint="eastAsia" w:ascii="宋体_GB2312" w:hAnsi="宋体_GB2312" w:eastAsia="宋体_GB2312"/>
                <w:szCs w:val="24"/>
                <w:highlight w:val="none"/>
              </w:rPr>
              <w:t>静态（工作时）</w:t>
            </w:r>
          </w:p>
        </w:tc>
        <w:tc>
          <w:tcPr>
            <w:tcW w:w="2435" w:type="dxa"/>
          </w:tcPr>
          <w:p>
            <w:pPr>
              <w:spacing w:before="120" w:beforeLines="50" w:line="300" w:lineRule="auto"/>
              <w:jc w:val="center"/>
              <w:rPr>
                <w:rFonts w:ascii="宋体_GB2312" w:hAnsi="宋体_GB2312" w:eastAsia="宋体_GB2312"/>
                <w:szCs w:val="24"/>
                <w:highlight w:val="none"/>
              </w:rPr>
            </w:pPr>
            <w:r>
              <w:rPr>
                <w:rFonts w:hint="eastAsia" w:ascii="宋体_GB2312" w:hAnsi="宋体_GB2312" w:eastAsia="宋体_GB2312"/>
                <w:szCs w:val="24"/>
                <w:highlight w:val="none"/>
              </w:rPr>
              <w:t>动态（安装时）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highlight w:val="none"/>
              </w:rPr>
            </w:pPr>
            <w:r>
              <w:rPr>
                <w:rFonts w:hint="eastAsia" w:ascii="宋体_GB2312" w:hAnsi="宋体_GB2312" w:eastAsia="宋体_GB2312"/>
                <w:highlight w:val="none"/>
              </w:rPr>
              <w:t>室内蝶形光缆和自承式蝶形光缆</w:t>
            </w:r>
          </w:p>
        </w:tc>
        <w:tc>
          <w:tcPr>
            <w:tcW w:w="2434" w:type="dxa"/>
          </w:tcPr>
          <w:p>
            <w:pPr>
              <w:spacing w:before="120" w:beforeLines="50" w:line="300" w:lineRule="auto"/>
              <w:rPr>
                <w:rFonts w:ascii="宋体_GB2312" w:hAnsi="宋体_GB2312" w:eastAsia="宋体_GB2312"/>
                <w:szCs w:val="24"/>
                <w:highlight w:val="none"/>
              </w:rPr>
            </w:pPr>
            <w:r>
              <w:rPr>
                <w:rFonts w:ascii="宋体_GB2312" w:hAnsi="宋体_GB2312" w:eastAsia="宋体_GB2312"/>
                <w:highlight w:val="none"/>
              </w:rPr>
              <w:t>B6</w:t>
            </w:r>
            <w:r>
              <w:rPr>
                <w:rFonts w:hint="eastAsia" w:ascii="宋体_GB2312" w:hAnsi="宋体_GB2312" w:eastAsia="宋体_GB2312"/>
                <w:highlight w:val="none"/>
              </w:rPr>
              <w:t>类光纤</w:t>
            </w:r>
          </w:p>
        </w:tc>
        <w:tc>
          <w:tcPr>
            <w:tcW w:w="2434" w:type="dxa"/>
          </w:tcPr>
          <w:p>
            <w:pPr>
              <w:spacing w:before="120" w:beforeLines="50" w:line="300" w:lineRule="auto"/>
              <w:rPr>
                <w:rFonts w:ascii="宋体_GB2312" w:hAnsi="宋体_GB2312" w:eastAsia="宋体_GB2312"/>
                <w:szCs w:val="24"/>
                <w:highlight w:val="none"/>
              </w:rPr>
            </w:pPr>
            <w:r>
              <w:rPr>
                <w:rFonts w:hint="eastAsia" w:ascii="宋体_GB2312" w:hAnsi="宋体_GB2312" w:eastAsia="宋体_GB2312"/>
                <w:szCs w:val="24"/>
                <w:highlight w:val="none"/>
                <w:lang w:val="en-US" w:eastAsia="zh-CN"/>
              </w:rPr>
              <w:t>10</w:t>
            </w:r>
            <w:r>
              <w:rPr>
                <w:rFonts w:ascii="宋体_GB2312" w:hAnsi="宋体_GB2312" w:eastAsia="宋体_GB2312"/>
                <w:szCs w:val="24"/>
                <w:highlight w:val="none"/>
              </w:rPr>
              <w:t>mm</w:t>
            </w:r>
          </w:p>
        </w:tc>
        <w:tc>
          <w:tcPr>
            <w:tcW w:w="2435" w:type="dxa"/>
          </w:tcPr>
          <w:p>
            <w:pPr>
              <w:spacing w:before="120" w:beforeLines="50" w:line="300" w:lineRule="auto"/>
              <w:rPr>
                <w:rFonts w:ascii="宋体_GB2312" w:hAnsi="宋体_GB2312" w:eastAsia="宋体_GB2312"/>
                <w:szCs w:val="24"/>
                <w:highlight w:val="none"/>
              </w:rPr>
            </w:pPr>
            <w:r>
              <w:rPr>
                <w:rFonts w:hint="eastAsia" w:ascii="宋体_GB2312" w:hAnsi="宋体_GB2312" w:eastAsia="宋体_GB2312"/>
                <w:szCs w:val="24"/>
                <w:highlight w:val="none"/>
                <w:lang w:val="en-US" w:eastAsia="zh-CN"/>
              </w:rPr>
              <w:t>2</w:t>
            </w:r>
            <w:r>
              <w:rPr>
                <w:rFonts w:ascii="宋体_GB2312" w:hAnsi="宋体_GB2312" w:eastAsia="宋体_GB2312"/>
                <w:szCs w:val="24"/>
                <w:highlight w:val="none"/>
              </w:rPr>
              <w:t>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gridSpan w:val="2"/>
          </w:tcPr>
          <w:p>
            <w:pPr>
              <w:spacing w:before="120" w:beforeLines="50" w:line="300" w:lineRule="auto"/>
              <w:rPr>
                <w:rFonts w:ascii="宋体_GB2312" w:hAnsi="宋体_GB2312" w:eastAsia="宋体_GB2312"/>
                <w:szCs w:val="24"/>
                <w:highlight w:val="none"/>
              </w:rPr>
            </w:pPr>
            <w:r>
              <w:rPr>
                <w:rFonts w:hint="eastAsia" w:ascii="宋体_GB2312" w:hAnsi="宋体_GB2312" w:eastAsia="宋体_GB2312"/>
                <w:szCs w:val="24"/>
                <w:highlight w:val="none"/>
              </w:rPr>
              <w:t>管道用光缆</w:t>
            </w:r>
          </w:p>
        </w:tc>
        <w:tc>
          <w:tcPr>
            <w:tcW w:w="2434" w:type="dxa"/>
          </w:tcPr>
          <w:p>
            <w:pPr>
              <w:spacing w:before="120" w:beforeLines="50" w:line="300" w:lineRule="auto"/>
              <w:rPr>
                <w:rFonts w:ascii="宋体_GB2312" w:hAnsi="宋体_GB2312" w:eastAsia="宋体_GB2312"/>
                <w:szCs w:val="24"/>
                <w:highlight w:val="none"/>
              </w:rPr>
            </w:pPr>
            <w:r>
              <w:rPr>
                <w:rFonts w:ascii="宋体_GB2312" w:hAnsi="宋体_GB2312" w:eastAsia="宋体_GB2312"/>
                <w:szCs w:val="24"/>
                <w:highlight w:val="none"/>
              </w:rPr>
              <w:t>10D</w:t>
            </w:r>
          </w:p>
        </w:tc>
        <w:tc>
          <w:tcPr>
            <w:tcW w:w="2435" w:type="dxa"/>
          </w:tcPr>
          <w:p>
            <w:pPr>
              <w:spacing w:before="120" w:beforeLines="50" w:line="300" w:lineRule="auto"/>
              <w:rPr>
                <w:rFonts w:ascii="宋体_GB2312" w:hAnsi="宋体_GB2312" w:eastAsia="宋体_GB2312"/>
                <w:szCs w:val="24"/>
                <w:highlight w:val="none"/>
              </w:rPr>
            </w:pPr>
            <w:r>
              <w:rPr>
                <w:rFonts w:ascii="宋体_GB2312" w:hAnsi="宋体_GB2312" w:eastAsia="宋体_GB2312"/>
                <w:szCs w:val="24"/>
                <w:highlight w:val="none"/>
              </w:rPr>
              <w:t>20D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7" w:type="dxa"/>
            <w:gridSpan w:val="4"/>
          </w:tcPr>
          <w:p>
            <w:pPr>
              <w:spacing w:before="120" w:beforeLines="50" w:line="300" w:lineRule="auto"/>
              <w:rPr>
                <w:rFonts w:ascii="宋体_GB2312" w:hAnsi="宋体_GB2312" w:eastAsia="宋体_GB2312"/>
                <w:szCs w:val="24"/>
                <w:highlight w:val="none"/>
              </w:rPr>
            </w:pPr>
            <w:r>
              <w:rPr>
                <w:rFonts w:hint="eastAsia" w:ascii="宋体_GB2312" w:hAnsi="宋体_GB2312" w:eastAsia="宋体_GB2312"/>
                <w:szCs w:val="24"/>
                <w:highlight w:val="none"/>
              </w:rPr>
              <w:t>注释：</w:t>
            </w:r>
            <w:r>
              <w:rPr>
                <w:rFonts w:ascii="宋体_GB2312" w:hAnsi="宋体_GB2312" w:eastAsia="宋体_GB2312"/>
                <w:szCs w:val="24"/>
                <w:highlight w:val="none"/>
              </w:rPr>
              <w:t>D为光缆的外径，单位</w:t>
            </w:r>
            <w:r>
              <w:rPr>
                <w:rFonts w:hint="eastAsia" w:ascii="宋体_GB2312" w:hAnsi="宋体_GB2312" w:eastAsia="宋体_GB2312"/>
                <w:szCs w:val="24"/>
                <w:highlight w:val="none"/>
              </w:rPr>
              <w:t>为</w:t>
            </w:r>
            <w:r>
              <w:rPr>
                <w:rFonts w:ascii="宋体_GB2312" w:hAnsi="宋体_GB2312" w:eastAsia="宋体_GB2312"/>
                <w:szCs w:val="24"/>
                <w:highlight w:val="none"/>
              </w:rPr>
              <w:t>mm</w:t>
            </w:r>
            <w:r>
              <w:rPr>
                <w:rFonts w:hint="eastAsia" w:ascii="宋体_GB2312" w:hAnsi="宋体_GB2312" w:eastAsia="宋体_GB2312"/>
                <w:szCs w:val="24"/>
                <w:highlight w:val="none"/>
              </w:rPr>
              <w:t>。</w:t>
            </w:r>
          </w:p>
        </w:tc>
      </w:tr>
    </w:tbl>
    <w:p>
      <w:pPr>
        <w:pStyle w:val="4"/>
        <w:spacing w:after="12"/>
        <w:rPr>
          <w:rFonts w:ascii="宋体_GB2312" w:hAnsi="宋体_GB2312" w:eastAsia="宋体_GB2312"/>
          <w:highlight w:val="none"/>
        </w:rPr>
      </w:pPr>
      <w:bookmarkStart w:id="37" w:name="_Toc54084399"/>
      <w:bookmarkStart w:id="38" w:name="_Toc8410"/>
      <w:r>
        <w:rPr>
          <w:rFonts w:ascii="宋体_GB2312" w:hAnsi="宋体_GB2312" w:eastAsia="宋体_GB2312"/>
          <w:highlight w:val="none"/>
        </w:rPr>
        <w:t xml:space="preserve">2.3.3 </w:t>
      </w:r>
      <w:r>
        <w:rPr>
          <w:rFonts w:hint="eastAsia" w:ascii="宋体_GB2312" w:hAnsi="宋体_GB2312" w:eastAsia="宋体_GB2312"/>
          <w:highlight w:val="none"/>
        </w:rPr>
        <w:t>光缆环境性能</w:t>
      </w:r>
      <w:bookmarkEnd w:id="37"/>
      <w:bookmarkEnd w:id="38"/>
    </w:p>
    <w:p>
      <w:pPr>
        <w:pStyle w:val="5"/>
        <w:spacing w:after="12"/>
        <w:rPr>
          <w:rFonts w:ascii="宋体_GB2312" w:hAnsi="宋体_GB2312" w:eastAsia="宋体_GB2312"/>
          <w:highlight w:val="none"/>
        </w:rPr>
      </w:pPr>
      <w:r>
        <w:rPr>
          <w:rFonts w:ascii="宋体_GB2312" w:hAnsi="宋体_GB2312" w:eastAsia="宋体_GB2312"/>
          <w:highlight w:val="none"/>
        </w:rPr>
        <w:t>2.3.3.1</w:t>
      </w:r>
      <w:r>
        <w:rPr>
          <w:rFonts w:hint="eastAsia" w:ascii="宋体_GB2312" w:hAnsi="宋体_GB2312" w:eastAsia="宋体_GB2312"/>
          <w:highlight w:val="none"/>
        </w:rPr>
        <w:t>通则</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光缆的环境性能包括衰减温度特性、燃烧性能、低温下卷绕性能等项目，并应通过</w:t>
      </w:r>
      <w:r>
        <w:rPr>
          <w:rFonts w:ascii="宋体_GB2312" w:hAnsi="宋体_GB2312" w:eastAsia="宋体_GB2312"/>
          <w:sz w:val="24"/>
          <w:szCs w:val="24"/>
          <w:highlight w:val="none"/>
        </w:rPr>
        <w:t>YD/T 1997.1-2014</w:t>
      </w:r>
      <w:r>
        <w:rPr>
          <w:rFonts w:hint="eastAsia" w:ascii="宋体_GB2312" w:hAnsi="宋体_GB2312" w:eastAsia="宋体_GB2312"/>
          <w:sz w:val="24"/>
          <w:szCs w:val="24"/>
          <w:highlight w:val="none"/>
        </w:rPr>
        <w:t>《通信用引入光缆</w:t>
      </w:r>
      <w:r>
        <w:rPr>
          <w:rFonts w:ascii="宋体_GB2312" w:hAnsi="宋体_GB2312" w:eastAsia="宋体_GB2312"/>
          <w:sz w:val="24"/>
          <w:szCs w:val="24"/>
          <w:highlight w:val="none"/>
        </w:rPr>
        <w:t xml:space="preserve"> </w:t>
      </w:r>
      <w:r>
        <w:rPr>
          <w:rFonts w:hint="eastAsia" w:ascii="宋体_GB2312" w:hAnsi="宋体_GB2312" w:eastAsia="宋体_GB2312"/>
          <w:sz w:val="24"/>
          <w:szCs w:val="24"/>
          <w:highlight w:val="none"/>
        </w:rPr>
        <w:t>第</w:t>
      </w:r>
      <w:r>
        <w:rPr>
          <w:rFonts w:ascii="宋体_GB2312" w:hAnsi="宋体_GB2312" w:eastAsia="宋体_GB2312"/>
          <w:sz w:val="24"/>
          <w:szCs w:val="24"/>
          <w:highlight w:val="none"/>
        </w:rPr>
        <w:t>1</w:t>
      </w:r>
      <w:r>
        <w:rPr>
          <w:rFonts w:hint="eastAsia" w:ascii="宋体_GB2312" w:hAnsi="宋体_GB2312" w:eastAsia="宋体_GB2312"/>
          <w:sz w:val="24"/>
          <w:szCs w:val="24"/>
          <w:highlight w:val="none"/>
        </w:rPr>
        <w:t>部分</w:t>
      </w:r>
      <w:r>
        <w:rPr>
          <w:rFonts w:ascii="宋体_GB2312" w:hAnsi="宋体_GB2312" w:eastAsia="宋体_GB2312"/>
          <w:sz w:val="24"/>
          <w:szCs w:val="24"/>
          <w:highlight w:val="none"/>
        </w:rPr>
        <w:t xml:space="preserve">： </w:t>
      </w:r>
      <w:r>
        <w:rPr>
          <w:rFonts w:hint="eastAsia" w:ascii="宋体_GB2312" w:hAnsi="宋体_GB2312" w:eastAsia="宋体_GB2312"/>
          <w:sz w:val="24"/>
          <w:szCs w:val="24"/>
          <w:highlight w:val="none"/>
        </w:rPr>
        <w:t>蝶形光缆》</w:t>
      </w:r>
      <w:r>
        <w:rPr>
          <w:rFonts w:ascii="宋体_GB2312" w:hAnsi="宋体_GB2312" w:eastAsia="宋体_GB2312"/>
          <w:sz w:val="24"/>
          <w:szCs w:val="24"/>
          <w:highlight w:val="none"/>
        </w:rPr>
        <w:t>6.7</w:t>
      </w:r>
      <w:r>
        <w:rPr>
          <w:rFonts w:hint="eastAsia" w:ascii="宋体_GB2312" w:hAnsi="宋体_GB2312" w:eastAsia="宋体_GB2312"/>
          <w:sz w:val="24"/>
          <w:szCs w:val="24"/>
          <w:highlight w:val="none"/>
        </w:rPr>
        <w:t>规定的相应试验方法和试验条件来检验。但对于自承式和管道用蝶形光缆，除了衰减温度特性应满足本规范要求外，其它环境性能如燃烧性能、渗水性能、低温下卷绕性能等应满足</w:t>
      </w:r>
      <w:r>
        <w:rPr>
          <w:rFonts w:ascii="宋体_GB2312" w:hAnsi="宋体_GB2312" w:eastAsia="宋体_GB2312"/>
          <w:sz w:val="24"/>
          <w:szCs w:val="24"/>
          <w:highlight w:val="none"/>
        </w:rPr>
        <w:t>YD/T 1770-2008</w:t>
      </w:r>
      <w:r>
        <w:rPr>
          <w:rFonts w:hint="eastAsia" w:ascii="宋体_GB2312" w:hAnsi="宋体_GB2312" w:eastAsia="宋体_GB2312"/>
          <w:sz w:val="24"/>
          <w:szCs w:val="24"/>
          <w:highlight w:val="none"/>
        </w:rPr>
        <w:t>的要求。</w:t>
      </w:r>
    </w:p>
    <w:p>
      <w:pPr>
        <w:pStyle w:val="5"/>
        <w:spacing w:after="12"/>
        <w:rPr>
          <w:rFonts w:ascii="宋体_GB2312" w:hAnsi="宋体_GB2312" w:eastAsia="宋体_GB2312"/>
          <w:highlight w:val="none"/>
        </w:rPr>
      </w:pPr>
      <w:r>
        <w:rPr>
          <w:rFonts w:ascii="宋体_GB2312" w:hAnsi="宋体_GB2312" w:eastAsia="宋体_GB2312"/>
          <w:highlight w:val="none"/>
        </w:rPr>
        <w:t>2.3.3.2光缆</w:t>
      </w:r>
      <w:r>
        <w:rPr>
          <w:rFonts w:hint="eastAsia" w:ascii="宋体_GB2312" w:hAnsi="宋体_GB2312" w:eastAsia="宋体_GB2312"/>
          <w:highlight w:val="none"/>
        </w:rPr>
        <w:t>温度特性</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光缆的适用温度范围及允许的温度附加衰减应符合表</w:t>
      </w:r>
      <w:r>
        <w:rPr>
          <w:rFonts w:ascii="宋体_GB2312" w:hAnsi="宋体_GB2312" w:eastAsia="宋体_GB2312"/>
          <w:sz w:val="24"/>
          <w:szCs w:val="24"/>
          <w:highlight w:val="none"/>
        </w:rPr>
        <w:t>6</w:t>
      </w:r>
      <w:r>
        <w:rPr>
          <w:rFonts w:hint="eastAsia" w:ascii="宋体_GB2312" w:hAnsi="宋体_GB2312" w:eastAsia="宋体_GB2312"/>
          <w:sz w:val="24"/>
          <w:szCs w:val="24"/>
          <w:highlight w:val="none"/>
        </w:rPr>
        <w:t>规定。其中温度附加衰减为适用温度下相对于</w:t>
      </w:r>
      <w:r>
        <w:rPr>
          <w:rFonts w:ascii="宋体_GB2312" w:hAnsi="宋体_GB2312" w:eastAsia="宋体_GB2312"/>
          <w:sz w:val="24"/>
          <w:szCs w:val="24"/>
          <w:highlight w:val="none"/>
        </w:rPr>
        <w:t>20</w:t>
      </w:r>
      <w:r>
        <w:rPr>
          <w:rFonts w:hint="eastAsia" w:ascii="宋体_GB2312" w:hAnsi="宋体_GB2312" w:eastAsia="宋体_GB2312"/>
          <w:sz w:val="24"/>
          <w:szCs w:val="24"/>
          <w:highlight w:val="none"/>
        </w:rPr>
        <w:t>º</w:t>
      </w:r>
      <w:r>
        <w:rPr>
          <w:rFonts w:ascii="宋体_GB2312" w:hAnsi="宋体_GB2312" w:eastAsia="宋体_GB2312"/>
          <w:sz w:val="24"/>
          <w:szCs w:val="24"/>
          <w:highlight w:val="none"/>
        </w:rPr>
        <w:t>C</w:t>
      </w:r>
      <w:r>
        <w:rPr>
          <w:rFonts w:hint="eastAsia" w:ascii="宋体_GB2312" w:hAnsi="宋体_GB2312" w:eastAsia="宋体_GB2312"/>
          <w:sz w:val="24"/>
          <w:szCs w:val="24"/>
          <w:highlight w:val="none"/>
        </w:rPr>
        <w:t>时的光纤衰减值差。</w:t>
      </w:r>
    </w:p>
    <w:p>
      <w:pPr>
        <w:spacing w:line="276" w:lineRule="auto"/>
        <w:ind w:firstLine="2520" w:firstLineChars="1050"/>
        <w:rPr>
          <w:rFonts w:ascii="宋体_GB2312" w:hAnsi="宋体_GB2312" w:eastAsia="宋体_GB2312"/>
          <w:sz w:val="24"/>
          <w:szCs w:val="24"/>
          <w:highlight w:val="none"/>
        </w:rPr>
      </w:pPr>
      <w:r>
        <w:rPr>
          <w:rFonts w:hint="eastAsia" w:ascii="宋体_GB2312" w:hAnsi="宋体_GB2312" w:eastAsia="宋体_GB2312"/>
          <w:sz w:val="24"/>
          <w:szCs w:val="24"/>
          <w:highlight w:val="none"/>
        </w:rPr>
        <w:t>表</w:t>
      </w:r>
      <w:r>
        <w:rPr>
          <w:rFonts w:ascii="宋体_GB2312" w:hAnsi="宋体_GB2312" w:eastAsia="宋体_GB2312"/>
          <w:sz w:val="24"/>
          <w:szCs w:val="24"/>
          <w:highlight w:val="none"/>
        </w:rPr>
        <w:t xml:space="preserve">6  </w:t>
      </w:r>
      <w:r>
        <w:rPr>
          <w:rFonts w:hint="eastAsia" w:ascii="宋体_GB2312" w:hAnsi="宋体_GB2312" w:eastAsia="宋体_GB2312"/>
          <w:sz w:val="24"/>
          <w:szCs w:val="24"/>
          <w:highlight w:val="none"/>
        </w:rPr>
        <w:t>蝶形光缆温度特性</w:t>
      </w:r>
    </w:p>
    <w:tbl>
      <w:tblPr>
        <w:tblStyle w:val="50"/>
        <w:tblW w:w="9737" w:type="dxa"/>
        <w:tblInd w:w="0" w:type="dxa"/>
        <w:tblLayout w:type="fixed"/>
        <w:tblCellMar>
          <w:top w:w="0" w:type="dxa"/>
          <w:left w:w="108" w:type="dxa"/>
          <w:bottom w:w="0" w:type="dxa"/>
          <w:right w:w="108" w:type="dxa"/>
        </w:tblCellMar>
      </w:tblPr>
      <w:tblGrid>
        <w:gridCol w:w="783"/>
        <w:gridCol w:w="779"/>
        <w:gridCol w:w="1766"/>
        <w:gridCol w:w="2076"/>
        <w:gridCol w:w="2167"/>
        <w:gridCol w:w="2166"/>
      </w:tblGrid>
      <w:tr>
        <w:tblPrEx>
          <w:tblCellMar>
            <w:top w:w="0" w:type="dxa"/>
            <w:left w:w="108" w:type="dxa"/>
            <w:bottom w:w="0" w:type="dxa"/>
            <w:right w:w="108" w:type="dxa"/>
          </w:tblCellMar>
        </w:tblPrEx>
        <w:trPr>
          <w:trHeight w:val="335" w:hRule="atLeast"/>
        </w:trPr>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分级代号</w:t>
            </w:r>
          </w:p>
        </w:tc>
        <w:tc>
          <w:tcPr>
            <w:tcW w:w="3842" w:type="dxa"/>
            <w:gridSpan w:val="2"/>
            <w:tcBorders>
              <w:top w:val="single" w:color="auto" w:sz="4" w:space="0"/>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适用温度范围（</w:t>
            </w:r>
            <w:r>
              <w:rPr>
                <w:rFonts w:hint="eastAsia" w:ascii="宋体_GB2312" w:hAnsi="宋体_GB2312" w:eastAsia="宋体_GB2312"/>
                <w:sz w:val="24"/>
                <w:szCs w:val="24"/>
                <w:highlight w:val="none"/>
              </w:rPr>
              <w:t>º</w:t>
            </w:r>
            <w:r>
              <w:rPr>
                <w:rFonts w:ascii="宋体_GB2312" w:hAnsi="宋体_GB2312" w:eastAsia="宋体_GB2312"/>
                <w:sz w:val="24"/>
                <w:szCs w:val="24"/>
                <w:highlight w:val="none"/>
              </w:rPr>
              <w:t>C</w:t>
            </w:r>
            <w:r>
              <w:rPr>
                <w:rFonts w:hint="eastAsia" w:ascii="宋体_GB2312" w:hAnsi="宋体_GB2312" w:eastAsia="宋体_GB2312"/>
                <w:kern w:val="2"/>
                <w:sz w:val="24"/>
                <w:szCs w:val="24"/>
                <w:highlight w:val="none"/>
              </w:rPr>
              <w:t>）</w:t>
            </w:r>
          </w:p>
        </w:tc>
        <w:tc>
          <w:tcPr>
            <w:tcW w:w="4333" w:type="dxa"/>
            <w:gridSpan w:val="2"/>
            <w:tcBorders>
              <w:top w:val="single" w:color="auto" w:sz="4" w:space="0"/>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允许光纤附加衰减（</w:t>
            </w:r>
            <w:r>
              <w:rPr>
                <w:rFonts w:ascii="宋体_GB2312" w:hAnsi="宋体_GB2312" w:eastAsia="宋体_GB2312"/>
                <w:kern w:val="2"/>
                <w:sz w:val="24"/>
                <w:szCs w:val="24"/>
                <w:highlight w:val="none"/>
              </w:rPr>
              <w:t>dB/km）</w:t>
            </w:r>
          </w:p>
        </w:tc>
      </w:tr>
      <w:tr>
        <w:tblPrEx>
          <w:tblCellMar>
            <w:top w:w="0" w:type="dxa"/>
            <w:left w:w="108" w:type="dxa"/>
            <w:bottom w:w="0" w:type="dxa"/>
            <w:right w:w="108" w:type="dxa"/>
          </w:tblCellMar>
        </w:tblPrEx>
        <w:trPr>
          <w:trHeight w:val="335" w:hRule="atLeast"/>
        </w:trPr>
        <w:tc>
          <w:tcPr>
            <w:tcW w:w="1562" w:type="dxa"/>
            <w:gridSpan w:val="2"/>
            <w:tcBorders>
              <w:top w:val="nil"/>
              <w:left w:val="single" w:color="auto" w:sz="4" w:space="0"/>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级别</w:t>
            </w:r>
          </w:p>
        </w:tc>
        <w:tc>
          <w:tcPr>
            <w:tcW w:w="1766" w:type="dxa"/>
            <w:tcBorders>
              <w:top w:val="nil"/>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低限</w:t>
            </w:r>
            <w:r>
              <w:rPr>
                <w:rFonts w:ascii="宋体_GB2312" w:hAnsi="宋体_GB2312" w:eastAsia="宋体_GB2312"/>
                <w:sz w:val="24"/>
                <w:szCs w:val="24"/>
                <w:highlight w:val="none"/>
              </w:rPr>
              <w:t>T</w:t>
            </w:r>
            <w:r>
              <w:rPr>
                <w:rFonts w:ascii="宋体_GB2312" w:hAnsi="宋体_GB2312" w:eastAsia="宋体_GB2312"/>
                <w:sz w:val="28"/>
                <w:szCs w:val="24"/>
                <w:highlight w:val="none"/>
                <w:vertAlign w:val="subscript"/>
              </w:rPr>
              <w:t>A</w:t>
            </w:r>
          </w:p>
        </w:tc>
        <w:tc>
          <w:tcPr>
            <w:tcW w:w="2076" w:type="dxa"/>
            <w:tcBorders>
              <w:top w:val="nil"/>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高限</w:t>
            </w:r>
            <w:r>
              <w:rPr>
                <w:rFonts w:ascii="宋体_GB2312" w:hAnsi="宋体_GB2312" w:eastAsia="宋体_GB2312"/>
                <w:sz w:val="24"/>
                <w:szCs w:val="24"/>
                <w:highlight w:val="none"/>
              </w:rPr>
              <w:t>T</w:t>
            </w:r>
            <w:r>
              <w:rPr>
                <w:rFonts w:ascii="宋体_GB2312" w:hAnsi="宋体_GB2312" w:eastAsia="宋体_GB2312"/>
                <w:sz w:val="28"/>
                <w:szCs w:val="24"/>
                <w:highlight w:val="none"/>
                <w:vertAlign w:val="subscript"/>
              </w:rPr>
              <w:t>B</w:t>
            </w:r>
          </w:p>
        </w:tc>
        <w:tc>
          <w:tcPr>
            <w:tcW w:w="2167" w:type="dxa"/>
            <w:tcBorders>
              <w:top w:val="nil"/>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1310nm</w:t>
            </w:r>
          </w:p>
        </w:tc>
        <w:tc>
          <w:tcPr>
            <w:tcW w:w="2166" w:type="dxa"/>
            <w:tcBorders>
              <w:top w:val="nil"/>
              <w:left w:val="nil"/>
              <w:bottom w:val="single" w:color="auto" w:sz="4" w:space="0"/>
              <w:right w:val="single" w:color="auto" w:sz="4" w:space="0"/>
            </w:tcBorders>
            <w:shd w:val="clear" w:color="auto" w:fill="auto"/>
            <w:vAlign w:val="center"/>
          </w:tcPr>
          <w:p>
            <w:pPr>
              <w:spacing w:line="276" w:lineRule="auto"/>
              <w:jc w:val="center"/>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1550nm</w:t>
            </w:r>
          </w:p>
        </w:tc>
      </w:tr>
      <w:tr>
        <w:tblPrEx>
          <w:tblCellMar>
            <w:top w:w="0" w:type="dxa"/>
            <w:left w:w="108" w:type="dxa"/>
            <w:bottom w:w="0" w:type="dxa"/>
            <w:right w:w="108" w:type="dxa"/>
          </w:tblCellMar>
        </w:tblPrEx>
        <w:trPr>
          <w:trHeight w:val="335" w:hRule="atLeast"/>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室内</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A</w:t>
            </w:r>
          </w:p>
        </w:tc>
        <w:tc>
          <w:tcPr>
            <w:tcW w:w="176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-10</w:t>
            </w:r>
          </w:p>
        </w:tc>
        <w:tc>
          <w:tcPr>
            <w:tcW w:w="207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+50</w:t>
            </w:r>
          </w:p>
        </w:tc>
        <w:tc>
          <w:tcPr>
            <w:tcW w:w="2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0.1</w:t>
            </w:r>
          </w:p>
        </w:tc>
        <w:tc>
          <w:tcPr>
            <w:tcW w:w="21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0.1</w:t>
            </w:r>
          </w:p>
        </w:tc>
      </w:tr>
      <w:tr>
        <w:tblPrEx>
          <w:tblCellMar>
            <w:top w:w="0" w:type="dxa"/>
            <w:left w:w="108" w:type="dxa"/>
            <w:bottom w:w="0" w:type="dxa"/>
            <w:right w:w="108" w:type="dxa"/>
          </w:tblCellMar>
        </w:tblPrEx>
        <w:trPr>
          <w:trHeight w:val="335" w:hRule="atLeast"/>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室外</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B</w:t>
            </w:r>
          </w:p>
        </w:tc>
        <w:tc>
          <w:tcPr>
            <w:tcW w:w="176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-20</w:t>
            </w:r>
          </w:p>
        </w:tc>
        <w:tc>
          <w:tcPr>
            <w:tcW w:w="207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+60</w:t>
            </w:r>
          </w:p>
        </w:tc>
        <w:tc>
          <w:tcPr>
            <w:tcW w:w="2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0.2</w:t>
            </w:r>
          </w:p>
        </w:tc>
        <w:tc>
          <w:tcPr>
            <w:tcW w:w="21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0.2</w:t>
            </w:r>
          </w:p>
        </w:tc>
      </w:tr>
      <w:tr>
        <w:tblPrEx>
          <w:tblCellMar>
            <w:top w:w="0" w:type="dxa"/>
            <w:left w:w="108" w:type="dxa"/>
            <w:bottom w:w="0" w:type="dxa"/>
            <w:right w:w="108" w:type="dxa"/>
          </w:tblCellMar>
        </w:tblPrEx>
        <w:trPr>
          <w:trHeight w:val="335" w:hRule="atLeast"/>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室外</w:t>
            </w:r>
          </w:p>
        </w:tc>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C</w:t>
            </w:r>
          </w:p>
        </w:tc>
        <w:tc>
          <w:tcPr>
            <w:tcW w:w="176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-40</w:t>
            </w:r>
          </w:p>
        </w:tc>
        <w:tc>
          <w:tcPr>
            <w:tcW w:w="2076" w:type="dxa"/>
            <w:tcBorders>
              <w:top w:val="single" w:color="auto" w:sz="4" w:space="0"/>
              <w:left w:val="nil"/>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ascii="宋体_GB2312" w:hAnsi="宋体_GB2312" w:eastAsia="宋体_GB2312"/>
                <w:kern w:val="2"/>
                <w:sz w:val="24"/>
                <w:szCs w:val="24"/>
                <w:highlight w:val="none"/>
              </w:rPr>
              <w:t>+70</w:t>
            </w:r>
          </w:p>
        </w:tc>
        <w:tc>
          <w:tcPr>
            <w:tcW w:w="2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0.3</w:t>
            </w:r>
          </w:p>
        </w:tc>
        <w:tc>
          <w:tcPr>
            <w:tcW w:w="21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right"/>
              <w:rPr>
                <w:rFonts w:ascii="宋体_GB2312" w:hAnsi="宋体_GB2312" w:eastAsia="宋体_GB2312"/>
                <w:kern w:val="2"/>
                <w:sz w:val="24"/>
                <w:szCs w:val="24"/>
                <w:highlight w:val="none"/>
              </w:rPr>
            </w:pPr>
            <w:r>
              <w:rPr>
                <w:rFonts w:hint="eastAsia" w:ascii="宋体_GB2312" w:hAnsi="宋体_GB2312" w:eastAsia="宋体_GB2312"/>
                <w:kern w:val="2"/>
                <w:sz w:val="24"/>
                <w:szCs w:val="24"/>
                <w:highlight w:val="none"/>
              </w:rPr>
              <w:t>≤</w:t>
            </w:r>
            <w:r>
              <w:rPr>
                <w:rFonts w:ascii="宋体_GB2312" w:hAnsi="宋体_GB2312" w:eastAsia="宋体_GB2312"/>
                <w:kern w:val="2"/>
                <w:sz w:val="24"/>
                <w:szCs w:val="24"/>
                <w:highlight w:val="none"/>
              </w:rPr>
              <w:t>0.3</w:t>
            </w:r>
          </w:p>
        </w:tc>
      </w:tr>
    </w:tbl>
    <w:p>
      <w:pPr>
        <w:adjustRightInd/>
        <w:spacing w:line="276" w:lineRule="auto"/>
        <w:jc w:val="left"/>
        <w:textAlignment w:val="auto"/>
        <w:rPr>
          <w:rFonts w:ascii="宋体_GB2312" w:hAnsi="宋体_GB2312" w:eastAsia="宋体_GB2312"/>
          <w:kern w:val="2"/>
          <w:sz w:val="24"/>
          <w:szCs w:val="24"/>
          <w:highlight w:val="none"/>
        </w:rPr>
      </w:pPr>
    </w:p>
    <w:p>
      <w:pPr>
        <w:pStyle w:val="5"/>
        <w:spacing w:after="12"/>
        <w:rPr>
          <w:rFonts w:ascii="宋体_GB2312" w:hAnsi="宋体_GB2312" w:eastAsia="宋体_GB2312"/>
          <w:highlight w:val="none"/>
        </w:rPr>
      </w:pPr>
      <w:r>
        <w:rPr>
          <w:rFonts w:hint="eastAsia" w:ascii="宋体_GB2312" w:hAnsi="宋体_GB2312" w:eastAsia="宋体_GB2312"/>
          <w:highlight w:val="none"/>
          <w:lang w:eastAsia="zh-CN"/>
        </w:rPr>
        <w:t>2</w:t>
      </w:r>
      <w:r>
        <w:rPr>
          <w:rFonts w:ascii="宋体_GB2312" w:hAnsi="宋体_GB2312" w:eastAsia="宋体_GB2312"/>
          <w:highlight w:val="none"/>
          <w:lang w:eastAsia="zh-CN"/>
        </w:rPr>
        <w:t>.3.3.3</w:t>
      </w:r>
      <w:r>
        <w:rPr>
          <w:rFonts w:hint="eastAsia" w:ascii="宋体_GB2312" w:hAnsi="宋体_GB2312" w:eastAsia="宋体_GB2312"/>
          <w:highlight w:val="none"/>
        </w:rPr>
        <w:t>渗水性能</w:t>
      </w:r>
      <w:r>
        <w:rPr>
          <w:rFonts w:hint="eastAsia" w:ascii="宋体_GB2312" w:hAnsi="宋体_GB2312" w:eastAsia="宋体_GB2312"/>
          <w:highlight w:val="none"/>
          <w:lang w:eastAsia="zh-CN"/>
        </w:rPr>
        <w:t>（该条仅适用于室外管道型引入光缆）</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用1m高水头施加在3m长度的样品一端，保持24小时，试样的另一端（未密封端）应检测不到水。</w:t>
      </w:r>
    </w:p>
    <w:p>
      <w:pPr>
        <w:pStyle w:val="5"/>
        <w:spacing w:after="12"/>
        <w:rPr>
          <w:rFonts w:ascii="宋体_GB2312" w:hAnsi="宋体_GB2312" w:eastAsia="宋体_GB2312"/>
        </w:rPr>
      </w:pPr>
      <w:r>
        <w:rPr>
          <w:rFonts w:hint="eastAsia" w:ascii="宋体_GB2312" w:hAnsi="宋体_GB2312" w:eastAsia="宋体_GB2312"/>
          <w:color w:val="FF0000"/>
          <w:sz w:val="28"/>
          <w:szCs w:val="24"/>
        </w:rPr>
        <w:t>★</w:t>
      </w:r>
      <w:r>
        <w:rPr>
          <w:rFonts w:ascii="宋体_GB2312" w:hAnsi="宋体_GB2312" w:eastAsia="宋体_GB2312"/>
        </w:rPr>
        <w:t>2.3.3.4</w:t>
      </w:r>
      <w:r>
        <w:rPr>
          <w:rFonts w:hint="eastAsia" w:ascii="宋体_GB2312" w:hAnsi="宋体_GB2312" w:eastAsia="宋体_GB2312"/>
        </w:rPr>
        <w:t>燃烧性能</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燃烧性能应满足下列要求：</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阻燃性</w:t>
      </w:r>
      <w:r>
        <w:rPr>
          <w:rFonts w:ascii="宋体_GB2312" w:hAnsi="宋体_GB2312" w:eastAsia="宋体_GB2312"/>
          <w:sz w:val="24"/>
          <w:szCs w:val="24"/>
        </w:rPr>
        <w:t>：</w:t>
      </w:r>
      <w:r>
        <w:rPr>
          <w:rFonts w:hint="eastAsia" w:ascii="宋体_GB2312" w:hAnsi="宋体_GB2312" w:eastAsia="宋体_GB2312"/>
          <w:sz w:val="24"/>
          <w:szCs w:val="24"/>
        </w:rPr>
        <w:t>应能通过单根垂直燃烧试验。试验完成后测量上支架下缘与炭化部分上起始点之间的距离应大于</w:t>
      </w:r>
      <w:r>
        <w:rPr>
          <w:rFonts w:ascii="宋体_GB2312" w:hAnsi="宋体_GB2312" w:eastAsia="宋体_GB2312"/>
          <w:sz w:val="24"/>
          <w:szCs w:val="24"/>
        </w:rPr>
        <w:t>50m</w:t>
      </w:r>
      <w:r>
        <w:rPr>
          <w:rFonts w:ascii="宋体_GB2312" w:hAnsi="宋体_GB2312" w:eastAsia="宋体_GB2312"/>
          <w:sz w:val="24"/>
          <w:szCs w:val="24"/>
          <w:highlight w:val="none"/>
        </w:rPr>
        <w:t>m</w:t>
      </w:r>
      <w:r>
        <w:rPr>
          <w:rFonts w:hint="eastAsia" w:ascii="宋体_GB2312" w:hAnsi="宋体_GB2312" w:eastAsia="宋体_GB2312"/>
          <w:sz w:val="24"/>
          <w:szCs w:val="24"/>
          <w:highlight w:val="none"/>
        </w:rPr>
        <w:t>；测量上支架下缘与炭化部分下起始点之间的距离应不大于</w:t>
      </w:r>
      <w:r>
        <w:rPr>
          <w:rFonts w:ascii="宋体_GB2312" w:hAnsi="宋体_GB2312" w:eastAsia="宋体_GB2312"/>
          <w:sz w:val="24"/>
          <w:szCs w:val="24"/>
          <w:highlight w:val="none"/>
        </w:rPr>
        <w:t>540mm</w:t>
      </w:r>
      <w:r>
        <w:rPr>
          <w:rFonts w:hint="eastAsia" w:ascii="宋体_GB2312" w:hAnsi="宋体_GB2312" w:eastAsia="宋体_GB2312"/>
          <w:sz w:val="24"/>
          <w:szCs w:val="24"/>
          <w:highlight w:val="none"/>
        </w:rPr>
        <w:t>。用户要求时，垂直布放于竖井的光缆阻燃性能应通过</w:t>
      </w:r>
      <w:r>
        <w:rPr>
          <w:rFonts w:ascii="宋体_GB2312" w:hAnsi="宋体_GB2312" w:eastAsia="宋体_GB2312"/>
          <w:sz w:val="24"/>
          <w:szCs w:val="24"/>
          <w:highlight w:val="none"/>
        </w:rPr>
        <w:t>C</w:t>
      </w:r>
      <w:r>
        <w:rPr>
          <w:rFonts w:hint="eastAsia" w:ascii="宋体_GB2312" w:hAnsi="宋体_GB2312" w:eastAsia="宋体_GB2312"/>
          <w:sz w:val="24"/>
          <w:szCs w:val="24"/>
          <w:highlight w:val="none"/>
        </w:rPr>
        <w:t>类成束燃烧试验。</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2）</w:t>
      </w:r>
      <w:r>
        <w:rPr>
          <w:rFonts w:hint="eastAsia" w:ascii="宋体_GB2312" w:hAnsi="宋体_GB2312" w:eastAsia="宋体_GB2312"/>
          <w:sz w:val="24"/>
          <w:szCs w:val="24"/>
          <w:highlight w:val="none"/>
        </w:rPr>
        <w:t>烟密度：透光率不小于</w:t>
      </w:r>
      <w:r>
        <w:rPr>
          <w:rFonts w:ascii="宋体_GB2312" w:hAnsi="宋体_GB2312" w:eastAsia="宋体_GB2312"/>
          <w:sz w:val="24"/>
          <w:szCs w:val="24"/>
          <w:highlight w:val="none"/>
        </w:rPr>
        <w:t>60</w:t>
      </w:r>
      <w:r>
        <w:rPr>
          <w:rFonts w:hint="eastAsia" w:ascii="宋体_GB2312" w:hAnsi="宋体_GB2312" w:eastAsia="宋体_GB2312"/>
          <w:sz w:val="24"/>
          <w:szCs w:val="24"/>
          <w:highlight w:val="none"/>
        </w:rPr>
        <w:t>％。</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3）</w:t>
      </w:r>
      <w:r>
        <w:rPr>
          <w:rFonts w:hint="eastAsia" w:ascii="宋体_GB2312" w:hAnsi="宋体_GB2312" w:eastAsia="宋体_GB2312"/>
          <w:sz w:val="24"/>
          <w:szCs w:val="24"/>
          <w:highlight w:val="none"/>
        </w:rPr>
        <w:t>腐蚀性：光缆燃烧时产生气体的</w:t>
      </w:r>
      <w:r>
        <w:rPr>
          <w:rFonts w:ascii="宋体_GB2312" w:hAnsi="宋体_GB2312" w:eastAsia="宋体_GB2312"/>
          <w:sz w:val="24"/>
          <w:szCs w:val="24"/>
          <w:highlight w:val="none"/>
        </w:rPr>
        <w:t>PH值应不小于4.3，电导率应不大于10μS/mm。</w:t>
      </w:r>
    </w:p>
    <w:p>
      <w:pPr>
        <w:pStyle w:val="5"/>
        <w:spacing w:after="12"/>
        <w:rPr>
          <w:rFonts w:ascii="宋体_GB2312" w:hAnsi="宋体_GB2312" w:eastAsia="宋体_GB2312"/>
          <w:highlight w:val="none"/>
        </w:rPr>
      </w:pPr>
      <w:r>
        <w:rPr>
          <w:rFonts w:ascii="宋体_GB2312" w:hAnsi="宋体_GB2312" w:eastAsia="宋体_GB2312"/>
          <w:highlight w:val="none"/>
        </w:rPr>
        <w:t>2.3.3.5</w:t>
      </w:r>
      <w:r>
        <w:rPr>
          <w:rFonts w:hint="eastAsia" w:ascii="宋体_GB2312" w:hAnsi="宋体_GB2312" w:eastAsia="宋体_GB2312"/>
          <w:highlight w:val="none"/>
        </w:rPr>
        <w:t>低温下卷绕性能</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光缆应具有耐</w:t>
      </w:r>
      <w:r>
        <w:rPr>
          <w:rFonts w:ascii="宋体_GB2312" w:hAnsi="宋体_GB2312" w:eastAsia="宋体_GB2312"/>
          <w:sz w:val="24"/>
          <w:szCs w:val="24"/>
          <w:highlight w:val="none"/>
        </w:rPr>
        <w:t>-20℃低温下卷绕的能力。试验完成后，光纤应不断裂，护套应无目视可见的开裂。</w:t>
      </w:r>
    </w:p>
    <w:p>
      <w:pPr>
        <w:pStyle w:val="5"/>
        <w:widowControl w:val="0"/>
        <w:spacing w:after="12" w:line="360" w:lineRule="auto"/>
        <w:rPr>
          <w:rFonts w:ascii="宋体_GB2312" w:hAnsi="宋体_GB2312" w:eastAsia="宋体_GB2312"/>
          <w:highlight w:val="none"/>
        </w:rPr>
      </w:pPr>
      <w:r>
        <w:rPr>
          <w:rFonts w:ascii="宋体_GB2312" w:hAnsi="宋体_GB2312" w:eastAsia="宋体_GB2312"/>
          <w:highlight w:val="none"/>
        </w:rPr>
        <w:t>2.3.3.6</w:t>
      </w:r>
      <w:r>
        <w:rPr>
          <w:rFonts w:hint="eastAsia" w:ascii="宋体_GB2312" w:hAnsi="宋体_GB2312" w:eastAsia="宋体_GB2312"/>
          <w:highlight w:val="none"/>
        </w:rPr>
        <w:t>日光辐射性能</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当用户要求时，架空用光缆应具备足够的抗日光辐射性能，经过300小时氙弧灯辐射曝露，辐射强度为0.35W/m</w:t>
      </w:r>
      <w:r>
        <w:rPr>
          <w:rFonts w:ascii="宋体_GB2312" w:hAnsi="宋体_GB2312" w:eastAsia="宋体_GB2312"/>
          <w:sz w:val="24"/>
          <w:szCs w:val="24"/>
          <w:highlight w:val="none"/>
          <w:vertAlign w:val="superscript"/>
        </w:rPr>
        <w:t>2</w:t>
      </w:r>
      <w:r>
        <w:rPr>
          <w:rFonts w:hint="eastAsia" w:ascii="宋体_GB2312" w:hAnsi="宋体_GB2312" w:eastAsia="宋体_GB2312"/>
          <w:sz w:val="24"/>
          <w:szCs w:val="24"/>
          <w:highlight w:val="none"/>
        </w:rPr>
        <w:t>(340nm波长下进行监测)，光缆护套的抗张强度和断裂伸长率与初始试验值之比应不小于0.85。</w:t>
      </w:r>
    </w:p>
    <w:p>
      <w:pPr>
        <w:pStyle w:val="5"/>
        <w:widowControl w:val="0"/>
        <w:spacing w:after="12" w:line="360" w:lineRule="auto"/>
        <w:rPr>
          <w:rFonts w:ascii="宋体_GB2312" w:hAnsi="宋体_GB2312" w:eastAsia="宋体_GB2312"/>
          <w:highlight w:val="none"/>
        </w:rPr>
      </w:pPr>
      <w:r>
        <w:rPr>
          <w:rFonts w:ascii="宋体_GB2312" w:hAnsi="宋体_GB2312" w:eastAsia="宋体_GB2312"/>
          <w:highlight w:val="none"/>
        </w:rPr>
        <w:t>2.3.3.7</w:t>
      </w:r>
      <w:r>
        <w:rPr>
          <w:rFonts w:hint="eastAsia" w:ascii="宋体_GB2312" w:hAnsi="宋体_GB2312" w:eastAsia="宋体_GB2312"/>
          <w:highlight w:val="none"/>
          <w:lang w:val="en-US" w:eastAsia="zh-CN"/>
        </w:rPr>
        <w:t>管道用蝶形光缆</w:t>
      </w:r>
      <w:r>
        <w:rPr>
          <w:rFonts w:hint="eastAsia" w:ascii="宋体_GB2312" w:hAnsi="宋体_GB2312" w:eastAsia="宋体_GB2312"/>
          <w:highlight w:val="none"/>
        </w:rPr>
        <w:t>护套完整性</w:t>
      </w:r>
    </w:p>
    <w:p>
      <w:pPr>
        <w:widowControl w:val="0"/>
        <w:spacing w:before="120" w:beforeLines="50" w:after="12"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（1）聚乙烯套应连续完整，在它下面有金属层时，应采用电气方法进行聚乙烯套的完整性试验。</w:t>
      </w:r>
    </w:p>
    <w:p>
      <w:pPr>
        <w:widowControl w:val="0"/>
        <w:spacing w:before="120" w:beforeLines="50" w:after="12"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（2）用电火花试验检验其完整性时，在表</w:t>
      </w:r>
      <w:r>
        <w:rPr>
          <w:rFonts w:ascii="宋体_GB2312" w:hAnsi="宋体_GB2312" w:eastAsia="宋体_GB2312"/>
          <w:sz w:val="24"/>
          <w:szCs w:val="24"/>
          <w:highlight w:val="none"/>
        </w:rPr>
        <w:t>7</w:t>
      </w:r>
      <w:r>
        <w:rPr>
          <w:rFonts w:hint="eastAsia" w:ascii="宋体_GB2312" w:hAnsi="宋体_GB2312" w:eastAsia="宋体_GB2312"/>
          <w:sz w:val="24"/>
          <w:szCs w:val="24"/>
          <w:highlight w:val="none"/>
        </w:rPr>
        <w:t>规定的试验电压下聚乙烯套应不击穿。</w:t>
      </w:r>
    </w:p>
    <w:p>
      <w:pPr>
        <w:spacing w:line="360" w:lineRule="auto"/>
        <w:jc w:val="center"/>
        <w:rPr>
          <w:rFonts w:ascii="宋体" w:hAnsi="宋体"/>
          <w:highlight w:val="none"/>
          <w:lang w:val="en-GB"/>
        </w:rPr>
      </w:pPr>
      <w:r>
        <w:rPr>
          <w:rFonts w:hint="eastAsia" w:ascii="宋体" w:hAnsi="宋体"/>
          <w:highlight w:val="none"/>
          <w:lang w:val="en-GB"/>
        </w:rPr>
        <w:t>表</w:t>
      </w:r>
      <w:r>
        <w:rPr>
          <w:rFonts w:ascii="宋体" w:hAnsi="宋体"/>
          <w:highlight w:val="none"/>
          <w:lang w:val="en-GB"/>
        </w:rPr>
        <w:t>7</w:t>
      </w:r>
      <w:r>
        <w:rPr>
          <w:rFonts w:hint="eastAsia" w:ascii="宋体" w:hAnsi="宋体"/>
          <w:highlight w:val="none"/>
          <w:lang w:val="en-GB"/>
        </w:rPr>
        <w:t xml:space="preserve">  聚乙烯套电火花试验电压</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6"/>
        <w:gridCol w:w="3234"/>
        <w:gridCol w:w="3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60" w:type="pct"/>
            <w:vAlign w:val="center"/>
          </w:tcPr>
          <w:p>
            <w:pPr>
              <w:jc w:val="center"/>
              <w:rPr>
                <w:rFonts w:ascii="宋体" w:hAnsi="宋体" w:cs="宋体"/>
                <w:szCs w:val="21"/>
                <w:highlight w:val="none"/>
              </w:rPr>
            </w:pPr>
            <w:r>
              <w:rPr>
                <w:rFonts w:hint="eastAsia" w:ascii="宋体" w:hAnsi="宋体" w:cs="宋体"/>
                <w:szCs w:val="21"/>
                <w:highlight w:val="none"/>
              </w:rPr>
              <w:t>电  压  类  型</w:t>
            </w:r>
          </w:p>
        </w:tc>
        <w:tc>
          <w:tcPr>
            <w:tcW w:w="1623" w:type="pct"/>
            <w:vAlign w:val="center"/>
          </w:tcPr>
          <w:p>
            <w:pPr>
              <w:jc w:val="center"/>
              <w:rPr>
                <w:rFonts w:ascii="宋体" w:hAnsi="宋体" w:cs="宋体"/>
                <w:szCs w:val="21"/>
                <w:highlight w:val="none"/>
              </w:rPr>
            </w:pPr>
            <w:r>
              <w:rPr>
                <w:rFonts w:hint="eastAsia" w:ascii="宋体" w:hAnsi="宋体" w:cs="宋体"/>
                <w:szCs w:val="21"/>
                <w:highlight w:val="none"/>
              </w:rPr>
              <w:t>d.c（kV）</w:t>
            </w:r>
          </w:p>
        </w:tc>
        <w:tc>
          <w:tcPr>
            <w:tcW w:w="1517" w:type="pct"/>
            <w:vAlign w:val="center"/>
          </w:tcPr>
          <w:p>
            <w:pPr>
              <w:jc w:val="center"/>
              <w:rPr>
                <w:rFonts w:ascii="宋体" w:hAnsi="宋体" w:cs="宋体"/>
                <w:szCs w:val="21"/>
                <w:highlight w:val="none"/>
              </w:rPr>
            </w:pPr>
            <w:r>
              <w:rPr>
                <w:rFonts w:hint="eastAsia" w:ascii="宋体" w:hAnsi="宋体" w:cs="宋体"/>
                <w:szCs w:val="21"/>
                <w:highlight w:val="none"/>
              </w:rPr>
              <w:t>a.c.（kV）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60" w:type="pct"/>
            <w:vAlign w:val="center"/>
          </w:tcPr>
          <w:p>
            <w:pPr>
              <w:jc w:val="center"/>
              <w:rPr>
                <w:rFonts w:ascii="宋体" w:hAnsi="宋体" w:cs="宋体"/>
                <w:szCs w:val="21"/>
                <w:highlight w:val="none"/>
              </w:rPr>
            </w:pPr>
            <w:r>
              <w:rPr>
                <w:rFonts w:hint="eastAsia" w:ascii="宋体" w:hAnsi="宋体" w:cs="宋体"/>
                <w:szCs w:val="21"/>
                <w:highlight w:val="none"/>
              </w:rPr>
              <w:t>试验电压（最小值）</w:t>
            </w:r>
          </w:p>
        </w:tc>
        <w:tc>
          <w:tcPr>
            <w:tcW w:w="1623" w:type="pct"/>
            <w:vAlign w:val="center"/>
          </w:tcPr>
          <w:p>
            <w:pPr>
              <w:jc w:val="center"/>
              <w:rPr>
                <w:rFonts w:ascii="宋体" w:hAnsi="宋体" w:cs="宋体"/>
                <w:szCs w:val="21"/>
                <w:highlight w:val="none"/>
              </w:rPr>
            </w:pPr>
            <w:r>
              <w:rPr>
                <w:rFonts w:hint="eastAsia" w:ascii="宋体" w:hAnsi="宋体" w:cs="宋体"/>
                <w:szCs w:val="21"/>
                <w:highlight w:val="none"/>
              </w:rPr>
              <w:t>9</w:t>
            </w:r>
            <w:r>
              <w:rPr>
                <w:rFonts w:ascii="宋体" w:hAnsi="宋体" w:cs="宋体"/>
                <w:szCs w:val="21"/>
                <w:highlight w:val="none"/>
              </w:rPr>
              <w:t>t</w:t>
            </w:r>
            <w:r>
              <w:rPr>
                <w:rFonts w:hint="eastAsia" w:ascii="宋体" w:hAnsi="宋体" w:cs="宋体"/>
                <w:szCs w:val="21"/>
                <w:highlight w:val="none"/>
              </w:rPr>
              <w:t>，最高25</w:t>
            </w:r>
          </w:p>
        </w:tc>
        <w:tc>
          <w:tcPr>
            <w:tcW w:w="1517" w:type="pct"/>
            <w:vAlign w:val="center"/>
          </w:tcPr>
          <w:p>
            <w:pPr>
              <w:jc w:val="center"/>
              <w:rPr>
                <w:rFonts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t</w:t>
            </w:r>
            <w:r>
              <w:rPr>
                <w:rFonts w:hint="eastAsia" w:ascii="宋体" w:hAnsi="宋体" w:cs="宋体"/>
                <w:szCs w:val="21"/>
                <w:highlight w:val="none"/>
              </w:rPr>
              <w:t>， 最高15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vAlign w:val="center"/>
          </w:tcPr>
          <w:p>
            <w:pPr>
              <w:jc w:val="left"/>
              <w:rPr>
                <w:rFonts w:ascii="宋体" w:hAnsi="宋体" w:cs="宋体"/>
                <w:szCs w:val="21"/>
                <w:highlight w:val="none"/>
              </w:rPr>
            </w:pPr>
            <w:r>
              <w:rPr>
                <w:rFonts w:hint="eastAsia" w:ascii="宋体" w:hAnsi="宋体" w:cs="宋体"/>
                <w:szCs w:val="21"/>
                <w:highlight w:val="none"/>
              </w:rPr>
              <w:t>注1：</w:t>
            </w:r>
            <w:r>
              <w:rPr>
                <w:rFonts w:ascii="宋体" w:hAnsi="宋体" w:cs="宋体"/>
                <w:szCs w:val="21"/>
                <w:highlight w:val="none"/>
              </w:rPr>
              <w:t>t</w:t>
            </w:r>
            <w:r>
              <w:rPr>
                <w:rFonts w:hint="eastAsia" w:ascii="宋体" w:hAnsi="宋体" w:cs="宋体"/>
                <w:szCs w:val="21"/>
                <w:highlight w:val="none"/>
              </w:rPr>
              <w:t>为聚乙烯套的标称厚度，单位为毫米（</w:t>
            </w:r>
            <w:r>
              <w:rPr>
                <w:rFonts w:ascii="宋体" w:hAnsi="宋体" w:cs="宋体"/>
                <w:szCs w:val="21"/>
                <w:highlight w:val="none"/>
              </w:rPr>
              <w:t>mm</w:t>
            </w:r>
            <w:r>
              <w:rPr>
                <w:rFonts w:hint="eastAsia" w:ascii="宋体" w:hAnsi="宋体" w:cs="宋体"/>
                <w:szCs w:val="21"/>
                <w:highlight w:val="none"/>
              </w:rPr>
              <w:t>）。</w:t>
            </w:r>
          </w:p>
          <w:p>
            <w:pPr>
              <w:jc w:val="left"/>
              <w:rPr>
                <w:rFonts w:ascii="宋体" w:hAnsi="宋体" w:cs="宋体"/>
                <w:szCs w:val="21"/>
                <w:highlight w:val="none"/>
              </w:rPr>
            </w:pPr>
            <w:r>
              <w:rPr>
                <w:rFonts w:hint="eastAsia" w:ascii="宋体" w:hAnsi="宋体" w:cs="宋体"/>
                <w:szCs w:val="21"/>
                <w:highlight w:val="none"/>
              </w:rPr>
              <w:t>注2：a.c.试验电压系有效值。</w:t>
            </w:r>
          </w:p>
        </w:tc>
      </w:tr>
    </w:tbl>
    <w:p>
      <w:pPr>
        <w:widowControl w:val="0"/>
        <w:spacing w:before="120" w:beforeLines="50" w:after="12"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（3）用浸水试验检验其完整性时，光缆在浸水24h后聚乙烯外套的电性能应符合：</w:t>
      </w:r>
    </w:p>
    <w:p>
      <w:pPr>
        <w:widowControl w:val="0"/>
        <w:spacing w:before="120" w:beforeLines="50" w:after="12"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a)</w:t>
      </w:r>
      <w:r>
        <w:rPr>
          <w:rFonts w:hint="eastAsia" w:ascii="宋体_GB2312" w:hAnsi="宋体_GB2312" w:eastAsia="宋体_GB2312"/>
          <w:sz w:val="24"/>
          <w:szCs w:val="24"/>
          <w:highlight w:val="none"/>
        </w:rPr>
        <w:t>在直流电压500V下对水绝缘应不小于2000MΩ·km。</w:t>
      </w:r>
    </w:p>
    <w:p>
      <w:pPr>
        <w:widowControl w:val="0"/>
        <w:spacing w:before="120" w:beforeLines="50" w:after="12"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b）耐电压水平应不低于在直流电压15kV下2min不击穿。</w:t>
      </w:r>
    </w:p>
    <w:p>
      <w:pPr>
        <w:pStyle w:val="4"/>
        <w:spacing w:after="12"/>
        <w:rPr>
          <w:rFonts w:ascii="宋体_GB2312" w:hAnsi="宋体_GB2312" w:eastAsia="宋体_GB2312"/>
          <w:highlight w:val="none"/>
        </w:rPr>
      </w:pPr>
      <w:bookmarkStart w:id="39" w:name="_Toc54084400"/>
      <w:bookmarkStart w:id="40" w:name="_Toc16522"/>
      <w:r>
        <w:rPr>
          <w:rFonts w:ascii="宋体_GB2312" w:hAnsi="宋体_GB2312" w:eastAsia="宋体_GB2312"/>
          <w:highlight w:val="none"/>
        </w:rPr>
        <w:t>2.3.4</w:t>
      </w:r>
      <w:r>
        <w:rPr>
          <w:rFonts w:hint="eastAsia" w:ascii="宋体_GB2312" w:hAnsi="宋体_GB2312" w:eastAsia="宋体_GB2312"/>
          <w:highlight w:val="none"/>
        </w:rPr>
        <w:t>环保性能</w:t>
      </w:r>
      <w:bookmarkEnd w:id="39"/>
      <w:bookmarkEnd w:id="40"/>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当用户要求时，光缆组成材料应根据</w:t>
      </w:r>
      <w:r>
        <w:rPr>
          <w:rFonts w:ascii="宋体_GB2312" w:hAnsi="宋体_GB2312" w:eastAsia="宋体_GB2312"/>
          <w:sz w:val="24"/>
          <w:szCs w:val="24"/>
          <w:highlight w:val="none"/>
        </w:rPr>
        <w:t>GB/T 26572-2011</w:t>
      </w:r>
      <w:r>
        <w:rPr>
          <w:rFonts w:hint="eastAsia" w:ascii="宋体_GB2312" w:hAnsi="宋体_GB2312" w:eastAsia="宋体_GB2312"/>
          <w:sz w:val="24"/>
          <w:szCs w:val="24"/>
          <w:highlight w:val="none"/>
        </w:rPr>
        <w:t>的规定进行分类。光缆用均质材料</w:t>
      </w:r>
      <w:r>
        <w:rPr>
          <w:rFonts w:ascii="宋体_GB2312" w:hAnsi="宋体_GB2312" w:eastAsia="宋体_GB2312"/>
          <w:sz w:val="24"/>
          <w:szCs w:val="24"/>
          <w:highlight w:val="none"/>
        </w:rPr>
        <w:t>(EEP-A</w:t>
      </w:r>
      <w:r>
        <w:rPr>
          <w:rFonts w:hint="eastAsia" w:ascii="宋体_GB2312" w:hAnsi="宋体_GB2312" w:eastAsia="宋体_GB2312"/>
          <w:sz w:val="24"/>
          <w:szCs w:val="24"/>
          <w:highlight w:val="none"/>
        </w:rPr>
        <w:t>类</w:t>
      </w:r>
      <w:r>
        <w:rPr>
          <w:rFonts w:ascii="宋体_GB2312" w:hAnsi="宋体_GB2312" w:eastAsia="宋体_GB2312"/>
          <w:sz w:val="24"/>
          <w:szCs w:val="24"/>
          <w:highlight w:val="none"/>
        </w:rPr>
        <w:t>)</w:t>
      </w:r>
      <w:r>
        <w:rPr>
          <w:rFonts w:hint="eastAsia" w:ascii="宋体_GB2312" w:hAnsi="宋体_GB2312" w:eastAsia="宋体_GB2312"/>
          <w:sz w:val="24"/>
          <w:szCs w:val="24"/>
          <w:highlight w:val="none"/>
        </w:rPr>
        <w:t>中禁用的有毒有害物质限量应符合表</w:t>
      </w:r>
      <w:r>
        <w:rPr>
          <w:rFonts w:ascii="宋体_GB2312" w:hAnsi="宋体_GB2312" w:eastAsia="宋体_GB2312"/>
          <w:sz w:val="24"/>
          <w:szCs w:val="24"/>
          <w:highlight w:val="none"/>
        </w:rPr>
        <w:t>8</w:t>
      </w:r>
      <w:r>
        <w:rPr>
          <w:rFonts w:hint="eastAsia" w:ascii="宋体_GB2312" w:hAnsi="宋体_GB2312" w:eastAsia="宋体_GB2312"/>
          <w:sz w:val="24"/>
          <w:szCs w:val="24"/>
          <w:highlight w:val="none"/>
        </w:rPr>
        <w:t>的规定。</w:t>
      </w:r>
    </w:p>
    <w:p>
      <w:pPr>
        <w:spacing w:line="276" w:lineRule="auto"/>
        <w:ind w:firstLine="2520" w:firstLineChars="1050"/>
        <w:rPr>
          <w:rFonts w:ascii="宋体_GB2312" w:hAnsi="宋体_GB2312" w:eastAsia="宋体_GB2312"/>
          <w:sz w:val="24"/>
          <w:szCs w:val="24"/>
          <w:highlight w:val="none"/>
        </w:rPr>
      </w:pPr>
      <w:r>
        <w:rPr>
          <w:rFonts w:hint="eastAsia" w:ascii="宋体_GB2312" w:hAnsi="宋体_GB2312" w:eastAsia="宋体_GB2312"/>
          <w:sz w:val="24"/>
          <w:szCs w:val="24"/>
          <w:highlight w:val="none"/>
        </w:rPr>
        <w:t>表</w:t>
      </w:r>
      <w:r>
        <w:rPr>
          <w:rFonts w:ascii="宋体_GB2312" w:hAnsi="宋体_GB2312" w:eastAsia="宋体_GB2312"/>
          <w:sz w:val="24"/>
          <w:szCs w:val="24"/>
          <w:highlight w:val="none"/>
        </w:rPr>
        <w:t>8 光缆材料中限用物质的含量限值</w:t>
      </w:r>
    </w:p>
    <w:tbl>
      <w:tblPr>
        <w:tblStyle w:val="50"/>
        <w:tblW w:w="9175" w:type="dxa"/>
        <w:tblInd w:w="0" w:type="dxa"/>
        <w:tblLayout w:type="fixed"/>
        <w:tblCellMar>
          <w:top w:w="0" w:type="dxa"/>
          <w:left w:w="108" w:type="dxa"/>
          <w:bottom w:w="0" w:type="dxa"/>
          <w:right w:w="108" w:type="dxa"/>
        </w:tblCellMar>
      </w:tblPr>
      <w:tblGrid>
        <w:gridCol w:w="3058"/>
        <w:gridCol w:w="3058"/>
        <w:gridCol w:w="3059"/>
      </w:tblGrid>
      <w:tr>
        <w:tblPrEx>
          <w:tblCellMar>
            <w:top w:w="0" w:type="dxa"/>
            <w:left w:w="108" w:type="dxa"/>
            <w:bottom w:w="0" w:type="dxa"/>
            <w:right w:w="108" w:type="dxa"/>
          </w:tblCellMar>
        </w:tblPrEx>
        <w:tc>
          <w:tcPr>
            <w:tcW w:w="305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种类</w:t>
            </w: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物</w:t>
            </w:r>
            <w:r>
              <w:rPr>
                <w:rFonts w:ascii="宋体_GB2312" w:hAnsi="宋体_GB2312" w:eastAsia="宋体_GB2312"/>
                <w:kern w:val="2"/>
                <w:sz w:val="24"/>
                <w:szCs w:val="24"/>
              </w:rPr>
              <w:t xml:space="preserve">  </w:t>
            </w:r>
            <w:r>
              <w:rPr>
                <w:rFonts w:hint="eastAsia" w:ascii="宋体_GB2312" w:hAnsi="宋体_GB2312" w:eastAsia="宋体_GB2312"/>
                <w:kern w:val="2"/>
                <w:sz w:val="24"/>
                <w:szCs w:val="24"/>
              </w:rPr>
              <w:t>质</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限量要求</w:t>
            </w:r>
            <w:r>
              <w:rPr>
                <w:rFonts w:ascii="宋体_GB2312" w:hAnsi="宋体_GB2312" w:eastAsia="宋体_GB2312"/>
                <w:kern w:val="2"/>
                <w:sz w:val="24"/>
                <w:szCs w:val="24"/>
              </w:rPr>
              <w:t>(质量分数)</w:t>
            </w:r>
          </w:p>
        </w:tc>
      </w:tr>
      <w:tr>
        <w:tblPrEx>
          <w:tblCellMar>
            <w:top w:w="0" w:type="dxa"/>
            <w:left w:w="108" w:type="dxa"/>
            <w:bottom w:w="0" w:type="dxa"/>
            <w:right w:w="108" w:type="dxa"/>
          </w:tblCellMar>
        </w:tblPrEx>
        <w:tc>
          <w:tcPr>
            <w:tcW w:w="3058" w:type="dxa"/>
            <w:vMerge w:val="restart"/>
            <w:tcBorders>
              <w:top w:val="nil"/>
              <w:left w:val="single" w:color="auto" w:sz="4" w:space="0"/>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重金属</w:t>
            </w: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铅</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0.1%</w:t>
            </w:r>
          </w:p>
        </w:tc>
      </w:tr>
      <w:tr>
        <w:tblPrEx>
          <w:tblCellMar>
            <w:top w:w="0" w:type="dxa"/>
            <w:left w:w="108" w:type="dxa"/>
            <w:bottom w:w="0" w:type="dxa"/>
            <w:right w:w="108" w:type="dxa"/>
          </w:tblCellMar>
        </w:tblPrEx>
        <w:tc>
          <w:tcPr>
            <w:tcW w:w="3058"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kern w:val="2"/>
                <w:sz w:val="24"/>
                <w:szCs w:val="24"/>
              </w:rPr>
            </w:pP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镉</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0.01%</w:t>
            </w:r>
          </w:p>
        </w:tc>
      </w:tr>
      <w:tr>
        <w:tblPrEx>
          <w:tblCellMar>
            <w:top w:w="0" w:type="dxa"/>
            <w:left w:w="108" w:type="dxa"/>
            <w:bottom w:w="0" w:type="dxa"/>
            <w:right w:w="108" w:type="dxa"/>
          </w:tblCellMar>
        </w:tblPrEx>
        <w:tc>
          <w:tcPr>
            <w:tcW w:w="3058"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kern w:val="2"/>
                <w:sz w:val="24"/>
                <w:szCs w:val="24"/>
              </w:rPr>
            </w:pP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汞</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0.1%</w:t>
            </w:r>
          </w:p>
        </w:tc>
      </w:tr>
      <w:tr>
        <w:tblPrEx>
          <w:tblCellMar>
            <w:top w:w="0" w:type="dxa"/>
            <w:left w:w="108" w:type="dxa"/>
            <w:bottom w:w="0" w:type="dxa"/>
            <w:right w:w="108" w:type="dxa"/>
          </w:tblCellMar>
        </w:tblPrEx>
        <w:tc>
          <w:tcPr>
            <w:tcW w:w="3058"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kern w:val="2"/>
                <w:sz w:val="24"/>
                <w:szCs w:val="24"/>
              </w:rPr>
            </w:pP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六价铬</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0.1%</w:t>
            </w:r>
          </w:p>
        </w:tc>
      </w:tr>
      <w:tr>
        <w:tblPrEx>
          <w:tblCellMar>
            <w:top w:w="0" w:type="dxa"/>
            <w:left w:w="108" w:type="dxa"/>
            <w:bottom w:w="0" w:type="dxa"/>
            <w:right w:w="108" w:type="dxa"/>
          </w:tblCellMar>
        </w:tblPrEx>
        <w:tc>
          <w:tcPr>
            <w:tcW w:w="3058" w:type="dxa"/>
            <w:vMerge w:val="restart"/>
            <w:tcBorders>
              <w:top w:val="nil"/>
              <w:left w:val="single" w:color="auto" w:sz="4" w:space="0"/>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有机溴化物</w:t>
            </w: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多溴联苯（</w:t>
            </w:r>
            <w:r>
              <w:rPr>
                <w:rFonts w:ascii="宋体_GB2312" w:hAnsi="宋体_GB2312" w:eastAsia="宋体_GB2312"/>
                <w:kern w:val="2"/>
                <w:sz w:val="24"/>
                <w:szCs w:val="24"/>
              </w:rPr>
              <w:t>PBB）</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0.1%</w:t>
            </w:r>
          </w:p>
        </w:tc>
      </w:tr>
      <w:tr>
        <w:tblPrEx>
          <w:tblCellMar>
            <w:top w:w="0" w:type="dxa"/>
            <w:left w:w="108" w:type="dxa"/>
            <w:bottom w:w="0" w:type="dxa"/>
            <w:right w:w="108" w:type="dxa"/>
          </w:tblCellMar>
        </w:tblPrEx>
        <w:tc>
          <w:tcPr>
            <w:tcW w:w="3058"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kern w:val="2"/>
                <w:sz w:val="24"/>
                <w:szCs w:val="24"/>
              </w:rPr>
            </w:pPr>
          </w:p>
        </w:tc>
        <w:tc>
          <w:tcPr>
            <w:tcW w:w="3058"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多溴二苯醚</w:t>
            </w:r>
            <w:r>
              <w:rPr>
                <w:rFonts w:ascii="宋体_GB2312" w:hAnsi="宋体_GB2312" w:eastAsia="宋体_GB2312"/>
                <w:kern w:val="2"/>
                <w:sz w:val="24"/>
                <w:szCs w:val="24"/>
              </w:rPr>
              <w:t>(PBDE)</w:t>
            </w:r>
          </w:p>
        </w:tc>
        <w:tc>
          <w:tcPr>
            <w:tcW w:w="3059" w:type="dxa"/>
            <w:tcBorders>
              <w:top w:val="single" w:color="auto" w:sz="4" w:space="0"/>
              <w:left w:val="nil"/>
              <w:bottom w:val="single" w:color="auto" w:sz="4" w:space="0"/>
              <w:right w:val="single" w:color="auto" w:sz="4" w:space="0"/>
            </w:tcBorders>
            <w:vAlign w:val="center"/>
          </w:tcPr>
          <w:p>
            <w:pPr>
              <w:spacing w:line="276" w:lineRule="auto"/>
              <w:rPr>
                <w:rFonts w:ascii="宋体_GB2312" w:hAnsi="宋体_GB2312" w:eastAsia="宋体_GB2312"/>
                <w:kern w:val="2"/>
                <w:sz w:val="24"/>
                <w:szCs w:val="24"/>
              </w:rPr>
            </w:pPr>
            <w:r>
              <w:rPr>
                <w:rFonts w:hint="eastAsia" w:ascii="宋体_GB2312" w:hAnsi="宋体_GB2312" w:eastAsia="宋体_GB2312"/>
                <w:kern w:val="2"/>
                <w:sz w:val="24"/>
                <w:szCs w:val="24"/>
              </w:rPr>
              <w:t>≤</w:t>
            </w:r>
            <w:r>
              <w:rPr>
                <w:rFonts w:ascii="宋体_GB2312" w:hAnsi="宋体_GB2312" w:eastAsia="宋体_GB2312"/>
                <w:kern w:val="2"/>
                <w:sz w:val="24"/>
                <w:szCs w:val="24"/>
              </w:rPr>
              <w:t>0.1%</w:t>
            </w:r>
          </w:p>
        </w:tc>
      </w:tr>
    </w:tbl>
    <w:p>
      <w:pPr>
        <w:spacing w:before="120" w:beforeLines="50" w:line="300" w:lineRule="auto"/>
        <w:ind w:firstLine="480" w:firstLineChars="200"/>
        <w:rPr>
          <w:rFonts w:ascii="宋体_GB2312" w:hAnsi="宋体_GB2312" w:eastAsia="宋体_GB2312"/>
          <w:sz w:val="24"/>
          <w:szCs w:val="24"/>
        </w:rPr>
      </w:pPr>
    </w:p>
    <w:p>
      <w:pPr>
        <w:pStyle w:val="2"/>
        <w:spacing w:before="0" w:after="0" w:line="276" w:lineRule="auto"/>
        <w:rPr>
          <w:rFonts w:ascii="宋体_GB2312" w:hAnsi="宋体_GB2312" w:eastAsia="宋体_GB2312"/>
          <w:sz w:val="24"/>
          <w:szCs w:val="24"/>
        </w:rPr>
      </w:pPr>
      <w:bookmarkStart w:id="41" w:name="束管直径"/>
      <w:bookmarkEnd w:id="41"/>
      <w:bookmarkStart w:id="42" w:name="_Toc22112"/>
      <w:bookmarkStart w:id="43" w:name="_Toc54084401"/>
      <w:r>
        <w:rPr>
          <w:rFonts w:ascii="宋体_GB2312" w:hAnsi="宋体_GB2312" w:eastAsia="宋体_GB2312"/>
          <w:sz w:val="24"/>
          <w:szCs w:val="24"/>
        </w:rPr>
        <w:t>2.4</w:t>
      </w:r>
      <w:r>
        <w:rPr>
          <w:rFonts w:hint="eastAsia" w:ascii="宋体_GB2312" w:hAnsi="宋体_GB2312" w:eastAsia="宋体_GB2312"/>
          <w:sz w:val="24"/>
          <w:szCs w:val="24"/>
        </w:rPr>
        <w:t>试验方法</w:t>
      </w:r>
      <w:bookmarkEnd w:id="42"/>
      <w:bookmarkEnd w:id="43"/>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各项性能的试验方法依据</w:t>
      </w:r>
      <w:r>
        <w:rPr>
          <w:rFonts w:ascii="宋体_GB2312" w:hAnsi="宋体_GB2312" w:eastAsia="宋体_GB2312"/>
          <w:sz w:val="24"/>
          <w:szCs w:val="24"/>
        </w:rPr>
        <w:t>YD/T 1997.1-2014</w:t>
      </w:r>
      <w:r>
        <w:rPr>
          <w:rFonts w:hint="eastAsia" w:ascii="宋体_GB2312" w:hAnsi="宋体_GB2312" w:eastAsia="宋体_GB2312"/>
          <w:sz w:val="24"/>
          <w:szCs w:val="24"/>
        </w:rPr>
        <w:t>《通信用引入光缆</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部分</w:t>
      </w:r>
      <w:r>
        <w:rPr>
          <w:rFonts w:ascii="宋体_GB2312" w:hAnsi="宋体_GB2312" w:eastAsia="宋体_GB2312"/>
          <w:sz w:val="24"/>
          <w:szCs w:val="24"/>
        </w:rPr>
        <w:t xml:space="preserve">： </w:t>
      </w:r>
      <w:r>
        <w:rPr>
          <w:rFonts w:hint="eastAsia" w:ascii="宋体_GB2312" w:hAnsi="宋体_GB2312" w:eastAsia="宋体_GB2312"/>
          <w:sz w:val="24"/>
          <w:szCs w:val="24"/>
        </w:rPr>
        <w:t>蝶形光缆》中的要求进行。</w:t>
      </w:r>
    </w:p>
    <w:p>
      <w:pPr>
        <w:pStyle w:val="4"/>
        <w:spacing w:after="12"/>
        <w:rPr>
          <w:rFonts w:ascii="宋体_GB2312" w:hAnsi="宋体_GB2312" w:eastAsia="宋体_GB2312"/>
        </w:rPr>
      </w:pPr>
      <w:bookmarkStart w:id="44" w:name="_Toc5978"/>
      <w:bookmarkStart w:id="45" w:name="_Toc54084402"/>
      <w:r>
        <w:rPr>
          <w:rFonts w:ascii="宋体_GB2312" w:hAnsi="宋体_GB2312" w:eastAsia="宋体_GB2312"/>
        </w:rPr>
        <w:t>2.4.1</w:t>
      </w:r>
      <w:r>
        <w:rPr>
          <w:rFonts w:hint="eastAsia" w:ascii="宋体_GB2312" w:hAnsi="宋体_GB2312" w:eastAsia="宋体_GB2312"/>
        </w:rPr>
        <w:t>光缆结构检查</w:t>
      </w:r>
      <w:bookmarkEnd w:id="44"/>
      <w:bookmarkEnd w:id="4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应在距光缆端至少</w:t>
      </w:r>
      <w:r>
        <w:rPr>
          <w:rFonts w:ascii="宋体_GB2312" w:hAnsi="宋体_GB2312" w:eastAsia="宋体_GB2312"/>
          <w:sz w:val="24"/>
          <w:szCs w:val="24"/>
        </w:rPr>
        <w:t>100mm</w:t>
      </w:r>
      <w:r>
        <w:rPr>
          <w:rFonts w:hint="eastAsia" w:ascii="宋体_GB2312" w:hAnsi="宋体_GB2312" w:eastAsia="宋体_GB2312"/>
          <w:sz w:val="24"/>
          <w:szCs w:val="24"/>
        </w:rPr>
        <w:t>处目视检查光缆完整性和端面结构。对于自承式的光缆，测量室内蝶形光缆尺寸时，应除开吊线和连接部分的尺寸，缆体处应无明显多余护套料残留堆积。</w:t>
      </w:r>
    </w:p>
    <w:p>
      <w:pPr>
        <w:pStyle w:val="4"/>
        <w:spacing w:after="12"/>
        <w:rPr>
          <w:rFonts w:ascii="宋体_GB2312" w:hAnsi="宋体_GB2312" w:eastAsia="宋体_GB2312"/>
        </w:rPr>
      </w:pPr>
      <w:bookmarkStart w:id="46" w:name="_Toc54084403"/>
      <w:bookmarkStart w:id="47" w:name="_Toc26985"/>
      <w:r>
        <w:rPr>
          <w:rFonts w:ascii="宋体_GB2312" w:hAnsi="宋体_GB2312" w:eastAsia="宋体_GB2312"/>
        </w:rPr>
        <w:t>2.4.2</w:t>
      </w:r>
      <w:r>
        <w:rPr>
          <w:rFonts w:hint="eastAsia" w:ascii="宋体_GB2312" w:hAnsi="宋体_GB2312" w:eastAsia="宋体_GB2312"/>
        </w:rPr>
        <w:t>光缆标志检查</w:t>
      </w:r>
      <w:bookmarkEnd w:id="46"/>
      <w:bookmarkEnd w:id="47"/>
    </w:p>
    <w:p>
      <w:pPr>
        <w:pStyle w:val="5"/>
        <w:spacing w:after="12"/>
        <w:rPr>
          <w:rFonts w:ascii="宋体_GB2312" w:hAnsi="宋体_GB2312" w:eastAsia="宋体_GB2312"/>
        </w:rPr>
      </w:pPr>
      <w:r>
        <w:rPr>
          <w:rFonts w:ascii="宋体_GB2312" w:hAnsi="宋体_GB2312" w:eastAsia="宋体_GB2312"/>
        </w:rPr>
        <w:t>2.4.2.1</w:t>
      </w:r>
      <w:r>
        <w:rPr>
          <w:rFonts w:hint="eastAsia" w:ascii="宋体_GB2312" w:hAnsi="宋体_GB2312" w:eastAsia="宋体_GB2312"/>
        </w:rPr>
        <w:t>标志擦拭</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标志擦拭检查如下</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《光缆总规范</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2</w:t>
      </w:r>
      <w:r>
        <w:rPr>
          <w:rFonts w:hint="eastAsia" w:ascii="宋体_GB2312" w:hAnsi="宋体_GB2312" w:eastAsia="宋体_GB2312"/>
          <w:sz w:val="24"/>
          <w:szCs w:val="24"/>
        </w:rPr>
        <w:t>部分</w:t>
      </w:r>
      <w:r>
        <w:rPr>
          <w:rFonts w:ascii="宋体_GB2312" w:hAnsi="宋体_GB2312" w:eastAsia="宋体_GB2312"/>
          <w:sz w:val="24"/>
          <w:szCs w:val="24"/>
        </w:rPr>
        <w:t xml:space="preserve">： </w:t>
      </w:r>
      <w:r>
        <w:rPr>
          <w:rFonts w:hint="eastAsia" w:ascii="宋体_GB2312" w:hAnsi="宋体_GB2312" w:eastAsia="宋体_GB2312"/>
          <w:sz w:val="24"/>
          <w:szCs w:val="24"/>
        </w:rPr>
        <w:t>光缆基本试验方法》中方法</w:t>
      </w:r>
      <w:r>
        <w:rPr>
          <w:rFonts w:ascii="宋体_GB2312" w:hAnsi="宋体_GB2312" w:eastAsia="宋体_GB2312"/>
          <w:sz w:val="24"/>
          <w:szCs w:val="24"/>
        </w:rPr>
        <w:t>E2B</w:t>
      </w:r>
      <w:r>
        <w:rPr>
          <w:rFonts w:hint="eastAsia" w:ascii="宋体_GB2312" w:hAnsi="宋体_GB2312" w:eastAsia="宋体_GB2312"/>
          <w:sz w:val="24"/>
          <w:szCs w:val="24"/>
        </w:rPr>
        <w:t>《标志磨损》的方法</w:t>
      </w:r>
      <w:r>
        <w:rPr>
          <w:rFonts w:ascii="宋体_GB2312" w:hAnsi="宋体_GB2312" w:eastAsia="宋体_GB2312"/>
          <w:sz w:val="24"/>
          <w:szCs w:val="24"/>
        </w:rPr>
        <w:t>2</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）负载：</w:t>
      </w:r>
      <w:r>
        <w:rPr>
          <w:rFonts w:ascii="宋体_GB2312" w:hAnsi="宋体_GB2312" w:eastAsia="宋体_GB2312"/>
          <w:sz w:val="24"/>
          <w:szCs w:val="24"/>
        </w:rPr>
        <w:t>5N</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）循环次数：不少于</w:t>
      </w:r>
      <w:r>
        <w:rPr>
          <w:rFonts w:ascii="宋体_GB2312" w:hAnsi="宋体_GB2312" w:eastAsia="宋体_GB2312"/>
          <w:sz w:val="24"/>
          <w:szCs w:val="24"/>
        </w:rPr>
        <w:t>5</w:t>
      </w:r>
      <w:r>
        <w:rPr>
          <w:rFonts w:hint="eastAsia" w:ascii="宋体_GB2312" w:hAnsi="宋体_GB2312" w:eastAsia="宋体_GB2312"/>
          <w:sz w:val="24"/>
          <w:szCs w:val="24"/>
        </w:rPr>
        <w:t>次；</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）合格判据：目视仍可辨认外护套上的标志。</w:t>
      </w:r>
      <w:r>
        <w:rPr>
          <w:rFonts w:ascii="宋体_GB2312" w:hAnsi="宋体_GB2312" w:eastAsia="宋体_GB2312"/>
          <w:sz w:val="24"/>
          <w:szCs w:val="24"/>
        </w:rPr>
        <w:t xml:space="preserve"> </w:t>
      </w:r>
    </w:p>
    <w:p>
      <w:pPr>
        <w:pStyle w:val="5"/>
        <w:spacing w:after="12"/>
        <w:rPr>
          <w:rFonts w:ascii="宋体_GB2312" w:hAnsi="宋体_GB2312" w:eastAsia="宋体_GB2312"/>
        </w:rPr>
      </w:pPr>
      <w:r>
        <w:rPr>
          <w:rFonts w:ascii="宋体_GB2312" w:hAnsi="宋体_GB2312" w:eastAsia="宋体_GB2312"/>
        </w:rPr>
        <w:t>2.4.2.2</w:t>
      </w:r>
      <w:r>
        <w:rPr>
          <w:rFonts w:hint="eastAsia" w:ascii="宋体_GB2312" w:hAnsi="宋体_GB2312" w:eastAsia="宋体_GB2312"/>
        </w:rPr>
        <w:t>计米标志误差</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长度计米误差应是在适当长度上用钢皮尺沿光缆量得长度减去用计米数字确定的长度对前者的相对值。</w:t>
      </w:r>
    </w:p>
    <w:p>
      <w:pPr>
        <w:pStyle w:val="4"/>
        <w:spacing w:after="12"/>
        <w:rPr>
          <w:rFonts w:ascii="宋体_GB2312" w:hAnsi="宋体_GB2312" w:eastAsia="宋体_GB2312"/>
        </w:rPr>
      </w:pPr>
      <w:bookmarkStart w:id="48" w:name="_Toc7931"/>
      <w:bookmarkStart w:id="49" w:name="_Toc54084404"/>
      <w:r>
        <w:rPr>
          <w:rFonts w:ascii="宋体_GB2312" w:hAnsi="宋体_GB2312" w:eastAsia="宋体_GB2312"/>
        </w:rPr>
        <w:t>2.4.3</w:t>
      </w:r>
      <w:r>
        <w:rPr>
          <w:rFonts w:hint="eastAsia" w:ascii="宋体_GB2312" w:hAnsi="宋体_GB2312" w:eastAsia="宋体_GB2312"/>
        </w:rPr>
        <w:t>光缆长度检查</w:t>
      </w:r>
      <w:bookmarkEnd w:id="48"/>
      <w:bookmarkEnd w:id="49"/>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光缆长度应从光缆两端的计米标志的数字差来确定，也可采用光学方法</w:t>
      </w:r>
      <w:r>
        <w:rPr>
          <w:rFonts w:ascii="宋体_GB2312" w:hAnsi="宋体_GB2312" w:eastAsia="宋体_GB2312"/>
          <w:sz w:val="24"/>
          <w:szCs w:val="24"/>
        </w:rPr>
        <w:t xml:space="preserve"> (</w:t>
      </w:r>
      <w:r>
        <w:rPr>
          <w:rFonts w:hint="eastAsia" w:ascii="宋体_GB2312" w:hAnsi="宋体_GB2312" w:eastAsia="宋体_GB2312"/>
          <w:sz w:val="24"/>
          <w:szCs w:val="24"/>
        </w:rPr>
        <w:t>如</w:t>
      </w:r>
      <w:r>
        <w:rPr>
          <w:rFonts w:ascii="宋体_GB2312" w:hAnsi="宋体_GB2312" w:eastAsia="宋体_GB2312"/>
          <w:sz w:val="24"/>
          <w:szCs w:val="24"/>
        </w:rPr>
        <w:t>OTDR</w:t>
      </w:r>
      <w:r>
        <w:rPr>
          <w:rFonts w:hint="eastAsia" w:ascii="宋体_GB2312" w:hAnsi="宋体_GB2312" w:eastAsia="宋体_GB2312"/>
          <w:sz w:val="24"/>
          <w:szCs w:val="24"/>
        </w:rPr>
        <w:t>仪器</w:t>
      </w:r>
      <w:r>
        <w:rPr>
          <w:rFonts w:ascii="宋体_GB2312" w:hAnsi="宋体_GB2312" w:eastAsia="宋体_GB2312"/>
          <w:sz w:val="24"/>
          <w:szCs w:val="24"/>
        </w:rPr>
        <w:t>)</w:t>
      </w:r>
      <w:r>
        <w:rPr>
          <w:rFonts w:hint="eastAsia" w:ascii="宋体_GB2312" w:hAnsi="宋体_GB2312" w:eastAsia="宋体_GB2312"/>
          <w:sz w:val="24"/>
          <w:szCs w:val="24"/>
        </w:rPr>
        <w:t>来测量。</w:t>
      </w:r>
    </w:p>
    <w:p>
      <w:pPr>
        <w:pStyle w:val="4"/>
        <w:spacing w:after="12"/>
        <w:rPr>
          <w:rFonts w:ascii="宋体_GB2312" w:hAnsi="宋体_GB2312" w:eastAsia="宋体_GB2312"/>
        </w:rPr>
      </w:pPr>
      <w:bookmarkStart w:id="50" w:name="_Toc31479"/>
      <w:bookmarkStart w:id="51" w:name="_Toc54084405"/>
      <w:r>
        <w:rPr>
          <w:rFonts w:ascii="宋体_GB2312" w:hAnsi="宋体_GB2312" w:eastAsia="宋体_GB2312"/>
        </w:rPr>
        <w:t>2.4.4</w:t>
      </w:r>
      <w:r>
        <w:rPr>
          <w:rFonts w:hint="eastAsia" w:ascii="宋体_GB2312" w:hAnsi="宋体_GB2312" w:eastAsia="宋体_GB2312"/>
        </w:rPr>
        <w:t>护套热老化前后的抗拉强度和断裂伸长率</w:t>
      </w:r>
      <w:bookmarkEnd w:id="50"/>
      <w:bookmarkEnd w:id="5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该性能应取颗粒料制成哑铃片试样进行试验。试样制片程序按照标准</w:t>
      </w:r>
      <w:r>
        <w:rPr>
          <w:rFonts w:ascii="宋体_GB2312" w:hAnsi="宋体_GB2312" w:eastAsia="宋体_GB2312"/>
          <w:sz w:val="24"/>
          <w:szCs w:val="24"/>
        </w:rPr>
        <w:t>GB/T 9352-2008</w:t>
      </w:r>
      <w:r>
        <w:rPr>
          <w:rFonts w:hint="eastAsia" w:ascii="宋体_GB2312" w:hAnsi="宋体_GB2312" w:eastAsia="宋体_GB2312"/>
          <w:sz w:val="24"/>
          <w:szCs w:val="24"/>
        </w:rPr>
        <w:t>《塑料</w:t>
      </w:r>
      <w:r>
        <w:rPr>
          <w:rFonts w:ascii="宋体_GB2312" w:hAnsi="宋体_GB2312" w:eastAsia="宋体_GB2312"/>
          <w:sz w:val="24"/>
          <w:szCs w:val="24"/>
        </w:rPr>
        <w:t xml:space="preserve"> </w:t>
      </w:r>
      <w:r>
        <w:rPr>
          <w:rFonts w:hint="eastAsia" w:ascii="宋体_GB2312" w:hAnsi="宋体_GB2312" w:eastAsia="宋体_GB2312"/>
          <w:sz w:val="24"/>
          <w:szCs w:val="24"/>
        </w:rPr>
        <w:t>热塑性塑料材料试样的压塑》进行，哑铃片试样的制取及试验按照标准</w:t>
      </w:r>
      <w:r>
        <w:rPr>
          <w:rFonts w:ascii="宋体_GB2312" w:hAnsi="宋体_GB2312" w:eastAsia="宋体_GB2312"/>
          <w:sz w:val="24"/>
          <w:szCs w:val="24"/>
        </w:rPr>
        <w:t>GB/T 2951.11-2008</w:t>
      </w:r>
      <w:r>
        <w:rPr>
          <w:rFonts w:hint="eastAsia" w:ascii="宋体_GB2312" w:hAnsi="宋体_GB2312" w:eastAsia="宋体_GB2312"/>
          <w:sz w:val="24"/>
          <w:szCs w:val="24"/>
        </w:rPr>
        <w:t>《电缆和光缆绝缘和护套材料通用试验方法</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11</w:t>
      </w:r>
      <w:r>
        <w:rPr>
          <w:rFonts w:hint="eastAsia" w:ascii="宋体_GB2312" w:hAnsi="宋体_GB2312" w:eastAsia="宋体_GB2312"/>
          <w:sz w:val="24"/>
          <w:szCs w:val="24"/>
        </w:rPr>
        <w:t>部分：通用试验方法</w:t>
      </w:r>
      <w:r>
        <w:rPr>
          <w:rFonts w:ascii="宋体_GB2312" w:hAnsi="宋体_GB2312" w:eastAsia="宋体_GB2312"/>
          <w:sz w:val="24"/>
          <w:szCs w:val="24"/>
        </w:rPr>
        <w:t xml:space="preserve"> </w:t>
      </w:r>
      <w:r>
        <w:rPr>
          <w:rFonts w:hint="eastAsia" w:ascii="宋体_GB2312" w:hAnsi="宋体_GB2312" w:eastAsia="宋体_GB2312"/>
          <w:sz w:val="24"/>
          <w:szCs w:val="24"/>
        </w:rPr>
        <w:t>厚度和外形尺寸测量</w:t>
      </w:r>
      <w:r>
        <w:rPr>
          <w:rFonts w:ascii="宋体_GB2312" w:hAnsi="宋体_GB2312" w:eastAsia="宋体_GB2312"/>
          <w:sz w:val="24"/>
          <w:szCs w:val="24"/>
        </w:rPr>
        <w:t xml:space="preserve"> </w:t>
      </w:r>
      <w:r>
        <w:rPr>
          <w:rFonts w:hint="eastAsia" w:ascii="宋体_GB2312" w:hAnsi="宋体_GB2312" w:eastAsia="宋体_GB2312"/>
          <w:sz w:val="24"/>
          <w:szCs w:val="24"/>
        </w:rPr>
        <w:t>机械性能试验》中</w:t>
      </w:r>
      <w:r>
        <w:rPr>
          <w:rFonts w:ascii="宋体_GB2312" w:hAnsi="宋体_GB2312" w:eastAsia="宋体_GB2312"/>
          <w:sz w:val="24"/>
          <w:szCs w:val="24"/>
        </w:rPr>
        <w:t>9.2</w:t>
      </w:r>
      <w:r>
        <w:rPr>
          <w:rFonts w:hint="eastAsia" w:ascii="宋体_GB2312" w:hAnsi="宋体_GB2312" w:eastAsia="宋体_GB2312"/>
          <w:sz w:val="24"/>
          <w:szCs w:val="24"/>
        </w:rPr>
        <w:t>的相关要求进行。</w:t>
      </w:r>
    </w:p>
    <w:p>
      <w:pPr>
        <w:pStyle w:val="4"/>
        <w:spacing w:after="12"/>
        <w:rPr>
          <w:rFonts w:ascii="宋体_GB2312" w:hAnsi="宋体_GB2312" w:eastAsia="宋体_GB2312"/>
        </w:rPr>
      </w:pPr>
      <w:bookmarkStart w:id="52" w:name="_Toc54084406"/>
      <w:bookmarkStart w:id="53" w:name="_Toc12572"/>
      <w:r>
        <w:rPr>
          <w:rFonts w:ascii="宋体_GB2312" w:hAnsi="宋体_GB2312" w:eastAsia="宋体_GB2312"/>
        </w:rPr>
        <w:t>2.4.5</w:t>
      </w:r>
      <w:r>
        <w:rPr>
          <w:rFonts w:hint="eastAsia" w:ascii="宋体_GB2312" w:hAnsi="宋体_GB2312" w:eastAsia="宋体_GB2312"/>
        </w:rPr>
        <w:t>机械性能试验方法</w:t>
      </w:r>
      <w:bookmarkEnd w:id="52"/>
      <w:bookmarkEnd w:id="53"/>
    </w:p>
    <w:p>
      <w:pPr>
        <w:pStyle w:val="5"/>
        <w:spacing w:after="12"/>
        <w:rPr>
          <w:rFonts w:ascii="宋体_GB2312" w:hAnsi="宋体_GB2312" w:eastAsia="宋体_GB2312"/>
        </w:rPr>
      </w:pPr>
      <w:r>
        <w:rPr>
          <w:rFonts w:ascii="宋体_GB2312" w:hAnsi="宋体_GB2312" w:eastAsia="宋体_GB2312"/>
        </w:rPr>
        <w:t xml:space="preserve">2.4.5.1 </w:t>
      </w:r>
      <w:r>
        <w:rPr>
          <w:rFonts w:hint="eastAsia" w:ascii="宋体_GB2312" w:hAnsi="宋体_GB2312" w:eastAsia="宋体_GB2312"/>
        </w:rPr>
        <w:t>总则</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下列规定的各试验方法及其试验条件用于验证光缆的机械性能，其试验结果符合</w:t>
      </w:r>
      <w:r>
        <w:rPr>
          <w:rFonts w:ascii="宋体_GB2312" w:hAnsi="宋体_GB2312" w:eastAsia="宋体_GB2312"/>
          <w:sz w:val="24"/>
          <w:szCs w:val="24"/>
        </w:rPr>
        <w:t>2.3.2</w:t>
      </w:r>
      <w:r>
        <w:rPr>
          <w:rFonts w:hint="eastAsia" w:ascii="宋体_GB2312" w:hAnsi="宋体_GB2312" w:eastAsia="宋体_GB2312"/>
          <w:sz w:val="24"/>
          <w:szCs w:val="24"/>
        </w:rPr>
        <w:t>光缆机械性能的要求时判为合格。</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机械性能试验中光纤衰减变化的监测宜采用</w:t>
      </w:r>
      <w:r>
        <w:rPr>
          <w:rFonts w:ascii="宋体_GB2312" w:hAnsi="宋体_GB2312" w:eastAsia="宋体_GB2312"/>
          <w:sz w:val="24"/>
          <w:szCs w:val="24"/>
        </w:rPr>
        <w:t>YD/T 629.1</w:t>
      </w:r>
      <w:r>
        <w:rPr>
          <w:rFonts w:hint="eastAsia" w:ascii="宋体_GB2312" w:hAnsi="宋体_GB2312" w:eastAsia="宋体_GB2312"/>
          <w:sz w:val="24"/>
          <w:szCs w:val="24"/>
        </w:rPr>
        <w:t>《光纤传输衰减变化的监测方法</w:t>
      </w:r>
      <w:r>
        <w:rPr>
          <w:rFonts w:ascii="宋体_GB2312" w:hAnsi="宋体_GB2312" w:eastAsia="宋体_GB2312"/>
          <w:sz w:val="24"/>
          <w:szCs w:val="24"/>
        </w:rPr>
        <w:t xml:space="preserve"> </w:t>
      </w:r>
      <w:r>
        <w:rPr>
          <w:rFonts w:hint="eastAsia" w:ascii="宋体_GB2312" w:hAnsi="宋体_GB2312" w:eastAsia="宋体_GB2312"/>
          <w:sz w:val="24"/>
          <w:szCs w:val="24"/>
        </w:rPr>
        <w:t>传输功率监测法》规定的传输功率监测法。在试验期间，监测系统的稳定性引起的监测结果的不确定度应优于</w:t>
      </w:r>
      <w:r>
        <w:rPr>
          <w:rFonts w:ascii="宋体_GB2312" w:hAnsi="宋体_GB2312" w:eastAsia="宋体_GB2312"/>
          <w:sz w:val="24"/>
          <w:szCs w:val="24"/>
        </w:rPr>
        <w:t>0.03dB</w:t>
      </w:r>
      <w:r>
        <w:rPr>
          <w:rFonts w:hint="eastAsia" w:ascii="宋体_GB2312" w:hAnsi="宋体_GB2312" w:eastAsia="宋体_GB2312"/>
          <w:sz w:val="24"/>
          <w:szCs w:val="24"/>
        </w:rPr>
        <w:t>。试验中光纤衰减变化量的绝对值不超过</w:t>
      </w:r>
      <w:r>
        <w:rPr>
          <w:rFonts w:ascii="宋体_GB2312" w:hAnsi="宋体_GB2312" w:eastAsia="宋体_GB2312"/>
          <w:sz w:val="24"/>
          <w:szCs w:val="24"/>
        </w:rPr>
        <w:t>0.03dB</w:t>
      </w:r>
      <w:r>
        <w:rPr>
          <w:rFonts w:hint="eastAsia" w:ascii="宋体_GB2312" w:hAnsi="宋体_GB2312" w:eastAsia="宋体_GB2312"/>
          <w:sz w:val="24"/>
          <w:szCs w:val="24"/>
        </w:rPr>
        <w:t>时，可判为衰减无明显变化。允许衰减有数值变化时，应理解为该数值己包括不确定度在内。</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光纤拉伸应变宜采用</w:t>
      </w:r>
      <w:r>
        <w:rPr>
          <w:rFonts w:ascii="宋体_GB2312" w:hAnsi="宋体_GB2312" w:eastAsia="宋体_GB2312"/>
          <w:sz w:val="24"/>
          <w:szCs w:val="24"/>
        </w:rPr>
        <w:t>GB/T 15972.22-2008</w:t>
      </w:r>
      <w:r>
        <w:rPr>
          <w:rFonts w:hint="eastAsia" w:ascii="宋体_GB2312" w:hAnsi="宋体_GB2312" w:eastAsia="宋体_GB2312"/>
          <w:sz w:val="24"/>
          <w:szCs w:val="24"/>
        </w:rPr>
        <w:t>《光纤试验方法规范</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22</w:t>
      </w:r>
      <w:r>
        <w:rPr>
          <w:rFonts w:hint="eastAsia" w:ascii="宋体_GB2312" w:hAnsi="宋体_GB2312" w:eastAsia="宋体_GB2312"/>
          <w:sz w:val="24"/>
          <w:szCs w:val="24"/>
        </w:rPr>
        <w:t>部分：尺寸参数的测量方法和试验程序</w:t>
      </w:r>
      <w:r>
        <w:rPr>
          <w:rFonts w:ascii="宋体_GB2312" w:hAnsi="宋体_GB2312" w:eastAsia="宋体_GB2312"/>
          <w:sz w:val="24"/>
          <w:szCs w:val="24"/>
        </w:rPr>
        <w:t xml:space="preserve"> </w:t>
      </w:r>
      <w:r>
        <w:rPr>
          <w:rFonts w:hint="eastAsia" w:ascii="宋体_GB2312" w:hAnsi="宋体_GB2312" w:eastAsia="宋体_GB2312"/>
          <w:sz w:val="24"/>
          <w:szCs w:val="24"/>
        </w:rPr>
        <w:t>长度》中规定的相移法进行监测，其系统的不确定度应优</w:t>
      </w:r>
      <w:r>
        <w:rPr>
          <w:rFonts w:ascii="宋体_GB2312" w:hAnsi="宋体_GB2312" w:eastAsia="宋体_GB2312"/>
          <w:sz w:val="24"/>
          <w:szCs w:val="24"/>
        </w:rPr>
        <w:t xml:space="preserve"> </w:t>
      </w:r>
      <w:r>
        <w:rPr>
          <w:rFonts w:hint="eastAsia" w:ascii="宋体_GB2312" w:hAnsi="宋体_GB2312" w:eastAsia="宋体_GB2312"/>
          <w:sz w:val="24"/>
          <w:szCs w:val="24"/>
        </w:rPr>
        <w:t>于</w:t>
      </w:r>
      <w:r>
        <w:rPr>
          <w:rFonts w:ascii="宋体_GB2312" w:hAnsi="宋体_GB2312" w:eastAsia="宋体_GB2312"/>
          <w:sz w:val="24"/>
          <w:szCs w:val="24"/>
        </w:rPr>
        <w:t xml:space="preserve">0.01%, </w:t>
      </w:r>
      <w:r>
        <w:rPr>
          <w:rFonts w:hint="eastAsia" w:ascii="宋体_GB2312" w:hAnsi="宋体_GB2312" w:eastAsia="宋体_GB2312"/>
          <w:sz w:val="24"/>
          <w:szCs w:val="24"/>
        </w:rPr>
        <w:t>试验中监测到的光纤应变不大于</w:t>
      </w:r>
      <w:r>
        <w:rPr>
          <w:rFonts w:ascii="宋体_GB2312" w:hAnsi="宋体_GB2312" w:eastAsia="宋体_GB2312"/>
          <w:sz w:val="24"/>
          <w:szCs w:val="24"/>
        </w:rPr>
        <w:t>0.01%</w:t>
      </w:r>
      <w:r>
        <w:rPr>
          <w:rFonts w:hint="eastAsia" w:ascii="宋体_GB2312" w:hAnsi="宋体_GB2312" w:eastAsia="宋体_GB2312"/>
          <w:sz w:val="24"/>
          <w:szCs w:val="24"/>
        </w:rPr>
        <w:t>时，可判为无明显变化。光缆拉伸应变应采用机械方法或传感器方法进行监测，其系统的不确定度应优于</w:t>
      </w:r>
      <w:r>
        <w:rPr>
          <w:rFonts w:ascii="宋体_GB2312" w:hAnsi="宋体_GB2312" w:eastAsia="宋体_GB2312"/>
          <w:sz w:val="24"/>
          <w:szCs w:val="24"/>
        </w:rPr>
        <w:t>0.05%</w:t>
      </w:r>
      <w:r>
        <w:rPr>
          <w:rFonts w:hint="eastAsia" w:ascii="宋体_GB2312" w:hAnsi="宋体_GB2312" w:eastAsia="宋体_GB2312"/>
          <w:sz w:val="24"/>
          <w:szCs w:val="24"/>
        </w:rPr>
        <w:t>，试验中监测到的光缆应变不大于</w:t>
      </w:r>
      <w:r>
        <w:rPr>
          <w:rFonts w:ascii="宋体_GB2312" w:hAnsi="宋体_GB2312" w:eastAsia="宋体_GB2312"/>
          <w:sz w:val="24"/>
          <w:szCs w:val="24"/>
        </w:rPr>
        <w:t xml:space="preserve"> 0.05%</w:t>
      </w:r>
      <w:r>
        <w:rPr>
          <w:rFonts w:hint="eastAsia" w:ascii="宋体_GB2312" w:hAnsi="宋体_GB2312" w:eastAsia="宋体_GB2312"/>
          <w:sz w:val="24"/>
          <w:szCs w:val="24"/>
        </w:rPr>
        <w:t>时，可判为无明显应变。</w:t>
      </w:r>
    </w:p>
    <w:p>
      <w:pPr>
        <w:pStyle w:val="5"/>
        <w:spacing w:after="12"/>
        <w:rPr>
          <w:rFonts w:ascii="宋体_GB2312" w:hAnsi="宋体_GB2312" w:eastAsia="宋体_GB2312"/>
        </w:rPr>
      </w:pPr>
      <w:r>
        <w:rPr>
          <w:rFonts w:ascii="宋体_GB2312" w:hAnsi="宋体_GB2312" w:eastAsia="宋体_GB2312"/>
        </w:rPr>
        <w:t>2.4.5.2</w:t>
      </w:r>
      <w:r>
        <w:rPr>
          <w:rFonts w:hint="eastAsia" w:ascii="宋体_GB2312" w:hAnsi="宋体_GB2312" w:eastAsia="宋体_GB2312"/>
        </w:rPr>
        <w:t>可分离力</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可分离力试验要求如下</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试验方法：按</w:t>
      </w:r>
      <w:r>
        <w:rPr>
          <w:rFonts w:ascii="宋体_GB2312" w:hAnsi="宋体_GB2312" w:eastAsia="宋体_GB2312"/>
          <w:sz w:val="24"/>
          <w:szCs w:val="24"/>
        </w:rPr>
        <w:t>JB/T 10696.7</w:t>
      </w:r>
      <w:r>
        <w:rPr>
          <w:rFonts w:hint="eastAsia" w:ascii="宋体_GB2312" w:hAnsi="宋体_GB2312" w:eastAsia="宋体_GB2312"/>
          <w:sz w:val="24"/>
          <w:szCs w:val="24"/>
        </w:rPr>
        <w:t>《电线电缆机械和理化性能试验方法第</w:t>
      </w:r>
      <w:r>
        <w:rPr>
          <w:rFonts w:ascii="宋体_GB2312" w:hAnsi="宋体_GB2312" w:eastAsia="宋体_GB2312"/>
          <w:sz w:val="24"/>
          <w:szCs w:val="24"/>
        </w:rPr>
        <w:t>7</w:t>
      </w:r>
      <w:r>
        <w:rPr>
          <w:rFonts w:hint="eastAsia" w:ascii="宋体_GB2312" w:hAnsi="宋体_GB2312" w:eastAsia="宋体_GB2312"/>
          <w:sz w:val="24"/>
          <w:szCs w:val="24"/>
        </w:rPr>
        <w:t>部分：抗撕试验》规定的试验设备和方法进行；</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样品数量：直接从成品光缆上取样，取至少</w:t>
      </w:r>
      <w:r>
        <w:rPr>
          <w:rFonts w:ascii="宋体_GB2312" w:hAnsi="宋体_GB2312" w:eastAsia="宋体_GB2312"/>
          <w:sz w:val="24"/>
          <w:szCs w:val="24"/>
        </w:rPr>
        <w:t>5</w:t>
      </w:r>
      <w:r>
        <w:rPr>
          <w:rFonts w:hint="eastAsia" w:ascii="宋体_GB2312" w:hAnsi="宋体_GB2312" w:eastAsia="宋体_GB2312"/>
          <w:sz w:val="24"/>
          <w:szCs w:val="24"/>
        </w:rPr>
        <w:t>个试样；</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试样长度：</w:t>
      </w:r>
      <w:r>
        <w:rPr>
          <w:rFonts w:ascii="宋体_GB2312" w:hAnsi="宋体_GB2312" w:eastAsia="宋体_GB2312"/>
          <w:sz w:val="24"/>
          <w:szCs w:val="24"/>
        </w:rPr>
        <w:t>500mm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试验步骤：先用刀片或合适的工具将样品从光缆分离口处撕开一小段，然后将撕开的部分分别夹持到拉力机的两个夹具上，以</w:t>
      </w:r>
      <w:r>
        <w:rPr>
          <w:rFonts w:ascii="宋体_GB2312" w:hAnsi="宋体_GB2312" w:eastAsia="宋体_GB2312"/>
          <w:sz w:val="24"/>
          <w:szCs w:val="24"/>
        </w:rPr>
        <w:t>500mm/min</w:t>
      </w:r>
      <w:r>
        <w:rPr>
          <w:rFonts w:hint="eastAsia" w:ascii="宋体_GB2312" w:hAnsi="宋体_GB2312" w:eastAsia="宋体_GB2312"/>
          <w:sz w:val="24"/>
          <w:szCs w:val="24"/>
        </w:rPr>
        <w:t>的拉伸速率进行撕裂试验；</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撕裂长度：</w:t>
      </w:r>
      <w:r>
        <w:rPr>
          <w:rFonts w:ascii="宋体_GB2312" w:hAnsi="宋体_GB2312" w:eastAsia="宋体_GB2312"/>
          <w:sz w:val="24"/>
          <w:szCs w:val="24"/>
        </w:rPr>
        <w:t>200mm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合格判据：记录每个试样的平均撕裂力值，取全部试样的算术平均值作为最后的测试结果。测试结果满足</w:t>
      </w:r>
      <w:r>
        <w:rPr>
          <w:rFonts w:ascii="宋体_GB2312" w:hAnsi="宋体_GB2312" w:eastAsia="宋体_GB2312"/>
          <w:sz w:val="24"/>
          <w:szCs w:val="24"/>
        </w:rPr>
        <w:t>2.3.2.2</w:t>
      </w:r>
      <w:r>
        <w:rPr>
          <w:rFonts w:hint="eastAsia" w:ascii="宋体_GB2312" w:hAnsi="宋体_GB2312" w:eastAsia="宋体_GB2312"/>
          <w:sz w:val="24"/>
          <w:szCs w:val="24"/>
        </w:rPr>
        <w:t>可分离性的要求时判为合格。</w:t>
      </w:r>
    </w:p>
    <w:p>
      <w:pPr>
        <w:pStyle w:val="5"/>
        <w:spacing w:after="12"/>
        <w:rPr>
          <w:rFonts w:ascii="宋体_GB2312" w:hAnsi="宋体_GB2312" w:eastAsia="宋体_GB2312"/>
        </w:rPr>
      </w:pPr>
      <w:r>
        <w:rPr>
          <w:rFonts w:ascii="宋体_GB2312" w:hAnsi="宋体_GB2312" w:eastAsia="宋体_GB2312"/>
        </w:rPr>
        <w:t>2.4.5.3</w:t>
      </w:r>
      <w:r>
        <w:rPr>
          <w:rFonts w:hint="eastAsia" w:ascii="宋体_GB2312" w:hAnsi="宋体_GB2312" w:eastAsia="宋体_GB2312"/>
        </w:rPr>
        <w:t>拉伸</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室内蝶形光缆和自承式蝶形光缆</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室内蝶形光缆和自承式蝶形光缆的拉伸试验要求如下：</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E1</w:t>
      </w:r>
      <w:r>
        <w:rPr>
          <w:rFonts w:hint="eastAsia" w:ascii="宋体_GB2312" w:hAnsi="宋体_GB2312" w:eastAsia="宋体_GB2312"/>
          <w:sz w:val="24"/>
          <w:szCs w:val="24"/>
        </w:rPr>
        <w:t>，其中对自承式光缆进行试验时，盘绕在卡盘上的部分应先将吊线与蝶形部分进行分离，然后将吊线部分缠绕在卡盘上进行试验，但在有效试验段</w:t>
      </w:r>
      <w:r>
        <w:rPr>
          <w:rFonts w:ascii="宋体_GB2312" w:hAnsi="宋体_GB2312" w:eastAsia="宋体_GB2312"/>
          <w:sz w:val="24"/>
          <w:szCs w:val="24"/>
        </w:rPr>
        <w:t xml:space="preserve"> (</w:t>
      </w:r>
      <w:r>
        <w:rPr>
          <w:rFonts w:hint="eastAsia" w:ascii="宋体_GB2312" w:hAnsi="宋体_GB2312" w:eastAsia="宋体_GB2312"/>
          <w:sz w:val="24"/>
          <w:szCs w:val="24"/>
        </w:rPr>
        <w:t>即两个卡盘之间的部分</w:t>
      </w:r>
      <w:r>
        <w:rPr>
          <w:rFonts w:ascii="宋体_GB2312" w:hAnsi="宋体_GB2312" w:eastAsia="宋体_GB2312"/>
          <w:sz w:val="24"/>
          <w:szCs w:val="24"/>
        </w:rPr>
        <w:t>)</w:t>
      </w:r>
      <w:r>
        <w:rPr>
          <w:rFonts w:hint="eastAsia" w:ascii="宋体_GB2312" w:hAnsi="宋体_GB2312" w:eastAsia="宋体_GB2312"/>
          <w:sz w:val="24"/>
          <w:szCs w:val="24"/>
        </w:rPr>
        <w:t>光缆应保持结构的完整性</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卡盘直径：约</w:t>
      </w:r>
      <w:r>
        <w:rPr>
          <w:rFonts w:ascii="宋体_GB2312" w:hAnsi="宋体_GB2312" w:eastAsia="宋体_GB2312"/>
          <w:sz w:val="24"/>
          <w:szCs w:val="24"/>
        </w:rPr>
        <w:t>250mm；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保持时间：1</w:t>
      </w:r>
      <w:r>
        <w:rPr>
          <w:rFonts w:ascii="宋体_GB2312" w:hAnsi="宋体_GB2312" w:eastAsia="宋体_GB2312"/>
          <w:sz w:val="24"/>
          <w:szCs w:val="24"/>
        </w:rPr>
        <w:t xml:space="preserve">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拉伸速率：</w:t>
      </w:r>
      <w:r>
        <w:rPr>
          <w:rFonts w:ascii="宋体_GB2312" w:hAnsi="宋体_GB2312" w:eastAsia="宋体_GB2312"/>
          <w:sz w:val="24"/>
          <w:szCs w:val="24"/>
        </w:rPr>
        <w:t xml:space="preserve">100mm/min；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拉伸负载：见表</w:t>
      </w:r>
      <w:r>
        <w:rPr>
          <w:rFonts w:ascii="宋体_GB2312" w:hAnsi="宋体_GB2312" w:eastAsia="宋体_GB2312"/>
          <w:sz w:val="24"/>
          <w:szCs w:val="24"/>
        </w:rPr>
        <w:t>4</w:t>
      </w:r>
      <w:r>
        <w:rPr>
          <w:rFonts w:hint="eastAsia" w:ascii="宋体_GB2312" w:hAnsi="宋体_GB2312" w:eastAsia="宋体_GB2312"/>
          <w:sz w:val="24"/>
          <w:szCs w:val="24"/>
        </w:rPr>
        <w:t>的规定</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受试长度：不小于</w:t>
      </w:r>
      <w:r>
        <w:rPr>
          <w:rFonts w:ascii="宋体_GB2312" w:hAnsi="宋体_GB2312" w:eastAsia="宋体_GB2312"/>
          <w:sz w:val="24"/>
          <w:szCs w:val="24"/>
        </w:rPr>
        <w:t xml:space="preserve"> 50m；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验收要求：在长期允许拉力下光纤应变应不大于</w:t>
      </w:r>
      <w:r>
        <w:rPr>
          <w:rFonts w:ascii="宋体_GB2312" w:hAnsi="宋体_GB2312" w:eastAsia="宋体_GB2312"/>
          <w:sz w:val="24"/>
          <w:szCs w:val="24"/>
        </w:rPr>
        <w:t>0.2%</w:t>
      </w:r>
      <w:r>
        <w:rPr>
          <w:rFonts w:hint="eastAsia" w:ascii="宋体_GB2312" w:hAnsi="宋体_GB2312" w:eastAsia="宋体_GB2312"/>
          <w:sz w:val="24"/>
          <w:szCs w:val="24"/>
        </w:rPr>
        <w:t>，光纤应无明显附加衰减</w:t>
      </w:r>
      <w:r>
        <w:rPr>
          <w:rFonts w:ascii="宋体_GB2312" w:hAnsi="宋体_GB2312" w:eastAsia="宋体_GB2312"/>
          <w:sz w:val="24"/>
          <w:szCs w:val="24"/>
        </w:rPr>
        <w:t>；</w:t>
      </w:r>
      <w:r>
        <w:rPr>
          <w:rFonts w:hint="eastAsia" w:ascii="宋体_GB2312" w:hAnsi="宋体_GB2312" w:eastAsia="宋体_GB2312"/>
          <w:sz w:val="24"/>
          <w:szCs w:val="24"/>
        </w:rPr>
        <w:t>在短暂拉力下光纤应变应不大于</w:t>
      </w:r>
      <w:r>
        <w:rPr>
          <w:rFonts w:ascii="宋体_GB2312" w:hAnsi="宋体_GB2312" w:eastAsia="宋体_GB2312"/>
          <w:sz w:val="24"/>
          <w:szCs w:val="24"/>
        </w:rPr>
        <w:t xml:space="preserve"> 0.4%</w:t>
      </w:r>
      <w:r>
        <w:rPr>
          <w:rFonts w:hint="eastAsia" w:ascii="宋体_GB2312" w:hAnsi="宋体_GB2312" w:eastAsia="宋体_GB2312"/>
          <w:sz w:val="24"/>
          <w:szCs w:val="24"/>
        </w:rPr>
        <w:t>，应无明显残余附加衰减，护套应无目视可见的开裂。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管道用蝶形光缆</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管道用蝶形光缆的拉伸试验要求如下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E1；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卡盘直径</w:t>
      </w:r>
      <w:r>
        <w:rPr>
          <w:rFonts w:ascii="宋体_GB2312" w:hAnsi="宋体_GB2312" w:eastAsia="宋体_GB2312"/>
          <w:sz w:val="24"/>
          <w:szCs w:val="24"/>
        </w:rPr>
        <w:t>：</w:t>
      </w:r>
      <w:r>
        <w:rPr>
          <w:rFonts w:hint="eastAsia" w:ascii="宋体_GB2312" w:hAnsi="宋体_GB2312" w:eastAsia="宋体_GB2312"/>
          <w:sz w:val="24"/>
          <w:szCs w:val="24"/>
        </w:rPr>
        <w:t>不小于</w:t>
      </w:r>
      <w:r>
        <w:rPr>
          <w:rFonts w:ascii="宋体_GB2312" w:hAnsi="宋体_GB2312" w:eastAsia="宋体_GB2312"/>
          <w:sz w:val="24"/>
          <w:szCs w:val="24"/>
        </w:rPr>
        <w:t>30D</w:t>
      </w:r>
      <w:r>
        <w:rPr>
          <w:rFonts w:hint="eastAsia" w:ascii="宋体_GB2312" w:hAnsi="宋体_GB2312" w:eastAsia="宋体_GB2312"/>
          <w:sz w:val="24"/>
          <w:szCs w:val="24"/>
        </w:rPr>
        <w:t>，但不得大于</w:t>
      </w:r>
      <w:r>
        <w:rPr>
          <w:rFonts w:ascii="宋体_GB2312" w:hAnsi="宋体_GB2312" w:eastAsia="宋体_GB2312"/>
          <w:sz w:val="24"/>
          <w:szCs w:val="24"/>
        </w:rPr>
        <w:t xml:space="preserve">560mm； </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保持时间</w:t>
      </w:r>
      <w:r>
        <w:rPr>
          <w:rFonts w:ascii="宋体_GB2312" w:hAnsi="宋体_GB2312" w:eastAsia="宋体_GB2312"/>
          <w:sz w:val="24"/>
          <w:szCs w:val="24"/>
        </w:rPr>
        <w:t xml:space="preserve">：1min；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拉伸速率</w:t>
      </w:r>
      <w:r>
        <w:rPr>
          <w:rFonts w:ascii="宋体_GB2312" w:hAnsi="宋体_GB2312" w:eastAsia="宋体_GB2312"/>
          <w:sz w:val="24"/>
          <w:szCs w:val="24"/>
        </w:rPr>
        <w:t xml:space="preserve">：100mm/min；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拉伸负载</w:t>
      </w:r>
      <w:r>
        <w:rPr>
          <w:rFonts w:ascii="宋体_GB2312" w:hAnsi="宋体_GB2312" w:eastAsia="宋体_GB2312"/>
          <w:sz w:val="24"/>
          <w:szCs w:val="24"/>
        </w:rPr>
        <w:t>：</w:t>
      </w:r>
      <w:r>
        <w:rPr>
          <w:rFonts w:hint="eastAsia" w:ascii="宋体_GB2312" w:hAnsi="宋体_GB2312" w:eastAsia="宋体_GB2312"/>
          <w:sz w:val="24"/>
          <w:szCs w:val="24"/>
        </w:rPr>
        <w:t>见表</w:t>
      </w:r>
      <w:r>
        <w:rPr>
          <w:rFonts w:ascii="宋体_GB2312" w:hAnsi="宋体_GB2312" w:eastAsia="宋体_GB2312"/>
          <w:sz w:val="24"/>
          <w:szCs w:val="24"/>
        </w:rPr>
        <w:t>4</w:t>
      </w:r>
      <w:r>
        <w:rPr>
          <w:rFonts w:hint="eastAsia" w:ascii="宋体_GB2312" w:hAnsi="宋体_GB2312" w:eastAsia="宋体_GB2312"/>
          <w:sz w:val="24"/>
          <w:szCs w:val="24"/>
        </w:rPr>
        <w:t>的规定</w:t>
      </w:r>
      <w:r>
        <w:rPr>
          <w:rFonts w:ascii="宋体_GB2312" w:hAnsi="宋体_GB2312" w:eastAsia="宋体_GB2312"/>
          <w:sz w:val="24"/>
          <w:szCs w:val="24"/>
        </w:rPr>
        <w:t xml:space="preserve"> ；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受试长度</w:t>
      </w:r>
      <w:r>
        <w:rPr>
          <w:rFonts w:ascii="宋体_GB2312" w:hAnsi="宋体_GB2312" w:eastAsia="宋体_GB2312"/>
          <w:sz w:val="24"/>
          <w:szCs w:val="24"/>
        </w:rPr>
        <w:t>：</w:t>
      </w:r>
      <w:r>
        <w:rPr>
          <w:rFonts w:hint="eastAsia" w:ascii="宋体_GB2312" w:hAnsi="宋体_GB2312" w:eastAsia="宋体_GB2312"/>
          <w:sz w:val="24"/>
          <w:szCs w:val="24"/>
        </w:rPr>
        <w:t>不小于</w:t>
      </w:r>
      <w:r>
        <w:rPr>
          <w:rFonts w:ascii="宋体_GB2312" w:hAnsi="宋体_GB2312" w:eastAsia="宋体_GB2312"/>
          <w:sz w:val="24"/>
          <w:szCs w:val="24"/>
        </w:rPr>
        <w:t xml:space="preserve">50m；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在长期允许拉力下光纤应变应不大于</w:t>
      </w:r>
      <w:r>
        <w:rPr>
          <w:rFonts w:ascii="宋体_GB2312" w:hAnsi="宋体_GB2312" w:eastAsia="宋体_GB2312"/>
          <w:sz w:val="24"/>
          <w:szCs w:val="24"/>
        </w:rPr>
        <w:t>0.2%</w:t>
      </w:r>
      <w:r>
        <w:rPr>
          <w:rFonts w:hint="eastAsia" w:ascii="宋体_GB2312" w:hAnsi="宋体_GB2312" w:eastAsia="宋体_GB2312"/>
          <w:sz w:val="24"/>
          <w:szCs w:val="24"/>
        </w:rPr>
        <w:t>，光纤应无明显附加衰减</w:t>
      </w:r>
      <w:r>
        <w:rPr>
          <w:rFonts w:ascii="宋体_GB2312" w:hAnsi="宋体_GB2312" w:eastAsia="宋体_GB2312"/>
          <w:sz w:val="24"/>
          <w:szCs w:val="24"/>
        </w:rPr>
        <w:t>；</w:t>
      </w:r>
      <w:r>
        <w:rPr>
          <w:rFonts w:hint="eastAsia" w:ascii="宋体_GB2312" w:hAnsi="宋体_GB2312" w:eastAsia="宋体_GB2312"/>
          <w:sz w:val="24"/>
          <w:szCs w:val="24"/>
        </w:rPr>
        <w:t>在短暂拉力下光纤应变应不大于</w:t>
      </w:r>
      <w:r>
        <w:rPr>
          <w:rFonts w:ascii="宋体_GB2312" w:hAnsi="宋体_GB2312" w:eastAsia="宋体_GB2312"/>
          <w:sz w:val="24"/>
          <w:szCs w:val="24"/>
        </w:rPr>
        <w:t>0.4%</w:t>
      </w:r>
      <w:r>
        <w:rPr>
          <w:rFonts w:hint="eastAsia" w:ascii="宋体_GB2312" w:hAnsi="宋体_GB2312" w:eastAsia="宋体_GB2312"/>
          <w:sz w:val="24"/>
          <w:szCs w:val="24"/>
        </w:rPr>
        <w:t>，应无明显残余附加衰减，护套应无目视可见的开裂。</w:t>
      </w:r>
    </w:p>
    <w:p>
      <w:pPr>
        <w:pStyle w:val="5"/>
        <w:spacing w:after="12"/>
        <w:rPr>
          <w:rFonts w:ascii="宋体_GB2312" w:hAnsi="宋体_GB2312" w:eastAsia="宋体_GB2312"/>
        </w:rPr>
      </w:pPr>
      <w:r>
        <w:rPr>
          <w:rFonts w:ascii="宋体_GB2312" w:hAnsi="宋体_GB2312" w:eastAsia="宋体_GB2312"/>
        </w:rPr>
        <w:t>2.4.5.4</w:t>
      </w:r>
      <w:r>
        <w:rPr>
          <w:rFonts w:hint="eastAsia" w:ascii="宋体_GB2312" w:hAnsi="宋体_GB2312" w:eastAsia="宋体_GB2312"/>
        </w:rPr>
        <w:t>压扁</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压扁试验要求如下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E3；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压扁负载</w:t>
      </w:r>
      <w:r>
        <w:rPr>
          <w:rFonts w:ascii="宋体_GB2312" w:hAnsi="宋体_GB2312" w:eastAsia="宋体_GB2312"/>
          <w:sz w:val="24"/>
          <w:szCs w:val="24"/>
        </w:rPr>
        <w:t>：</w:t>
      </w:r>
      <w:r>
        <w:rPr>
          <w:rFonts w:hint="eastAsia" w:ascii="宋体_GB2312" w:hAnsi="宋体_GB2312" w:eastAsia="宋体_GB2312"/>
          <w:sz w:val="24"/>
          <w:szCs w:val="24"/>
        </w:rPr>
        <w:t>见表</w:t>
      </w:r>
      <w:r>
        <w:rPr>
          <w:rFonts w:ascii="宋体_GB2312" w:hAnsi="宋体_GB2312" w:eastAsia="宋体_GB2312"/>
          <w:sz w:val="24"/>
          <w:szCs w:val="24"/>
        </w:rPr>
        <w:t>4</w:t>
      </w:r>
      <w:r>
        <w:rPr>
          <w:rFonts w:hint="eastAsia" w:ascii="宋体_GB2312" w:hAnsi="宋体_GB2312" w:eastAsia="宋体_GB2312"/>
          <w:sz w:val="24"/>
          <w:szCs w:val="24"/>
        </w:rPr>
        <w:t>的规定</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受力面</w:t>
      </w:r>
      <w:r>
        <w:rPr>
          <w:rFonts w:ascii="宋体_GB2312" w:hAnsi="宋体_GB2312" w:eastAsia="宋体_GB2312"/>
          <w:sz w:val="24"/>
          <w:szCs w:val="24"/>
        </w:rPr>
        <w:t>：</w:t>
      </w:r>
      <w:r>
        <w:rPr>
          <w:rFonts w:hint="eastAsia" w:ascii="宋体_GB2312" w:hAnsi="宋体_GB2312" w:eastAsia="宋体_GB2312"/>
          <w:sz w:val="24"/>
          <w:szCs w:val="24"/>
        </w:rPr>
        <w:t>室内蝶形光缆和自承式光缆受力面应是扁平面；管道用蝶形光缆的受力面应是任意面</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持续时间</w:t>
      </w:r>
      <w:r>
        <w:rPr>
          <w:rFonts w:ascii="宋体_GB2312" w:hAnsi="宋体_GB2312" w:eastAsia="宋体_GB2312"/>
          <w:sz w:val="24"/>
          <w:szCs w:val="24"/>
        </w:rPr>
        <w:t>：</w:t>
      </w:r>
      <w:r>
        <w:rPr>
          <w:rFonts w:hint="eastAsia" w:ascii="宋体_GB2312" w:hAnsi="宋体_GB2312" w:eastAsia="宋体_GB2312"/>
          <w:sz w:val="24"/>
          <w:szCs w:val="24"/>
        </w:rPr>
        <w:t>在长期和短期压力下各持续</w:t>
      </w:r>
      <w:r>
        <w:rPr>
          <w:rFonts w:ascii="宋体_GB2312" w:hAnsi="宋体_GB2312" w:eastAsia="宋体_GB2312"/>
          <w:sz w:val="24"/>
          <w:szCs w:val="24"/>
        </w:rPr>
        <w:t xml:space="preserve">1min；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点间隔</w:t>
      </w:r>
      <w:r>
        <w:rPr>
          <w:rFonts w:ascii="宋体_GB2312" w:hAnsi="宋体_GB2312" w:eastAsia="宋体_GB2312"/>
          <w:sz w:val="24"/>
          <w:szCs w:val="24"/>
        </w:rPr>
        <w:t xml:space="preserve">：500mm；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试验次数</w:t>
      </w:r>
      <w:r>
        <w:rPr>
          <w:rFonts w:ascii="宋体_GB2312" w:hAnsi="宋体_GB2312" w:eastAsia="宋体_GB2312"/>
          <w:sz w:val="24"/>
          <w:szCs w:val="24"/>
        </w:rPr>
        <w:t>：3</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在允许的长期压扁力下光纤应无明显附加衰减</w:t>
      </w:r>
      <w:r>
        <w:rPr>
          <w:rFonts w:ascii="宋体_GB2312" w:hAnsi="宋体_GB2312" w:eastAsia="宋体_GB2312"/>
          <w:sz w:val="24"/>
          <w:szCs w:val="24"/>
        </w:rPr>
        <w:t>；</w:t>
      </w:r>
      <w:r>
        <w:rPr>
          <w:rFonts w:hint="eastAsia" w:ascii="宋体_GB2312" w:hAnsi="宋体_GB2312" w:eastAsia="宋体_GB2312"/>
          <w:sz w:val="24"/>
          <w:szCs w:val="24"/>
        </w:rPr>
        <w:t>在允许的短暂压扁力下光纤的附加衰减在</w:t>
      </w:r>
      <w:r>
        <w:rPr>
          <w:rFonts w:ascii="宋体_GB2312" w:hAnsi="宋体_GB2312" w:eastAsia="宋体_GB2312"/>
          <w:sz w:val="24"/>
          <w:szCs w:val="24"/>
        </w:rPr>
        <w:t>1550nm</w:t>
      </w:r>
      <w:r>
        <w:rPr>
          <w:rFonts w:hint="eastAsia" w:ascii="宋体_GB2312" w:hAnsi="宋体_GB2312" w:eastAsia="宋体_GB2312"/>
          <w:sz w:val="24"/>
          <w:szCs w:val="24"/>
        </w:rPr>
        <w:t>处应不大于</w:t>
      </w:r>
      <w:r>
        <w:rPr>
          <w:rFonts w:ascii="宋体_GB2312" w:hAnsi="宋体_GB2312" w:eastAsia="宋体_GB2312"/>
          <w:sz w:val="24"/>
          <w:szCs w:val="24"/>
        </w:rPr>
        <w:t>0.4dB；</w:t>
      </w:r>
      <w:r>
        <w:rPr>
          <w:rFonts w:hint="eastAsia" w:ascii="宋体_GB2312" w:hAnsi="宋体_GB2312" w:eastAsia="宋体_GB2312"/>
          <w:sz w:val="24"/>
          <w:szCs w:val="24"/>
        </w:rPr>
        <w:t>护套应不开裂。</w:t>
      </w:r>
    </w:p>
    <w:p>
      <w:pPr>
        <w:pStyle w:val="5"/>
        <w:spacing w:after="12"/>
        <w:rPr>
          <w:rFonts w:ascii="宋体_GB2312" w:hAnsi="宋体_GB2312" w:eastAsia="宋体_GB2312"/>
        </w:rPr>
      </w:pPr>
      <w:r>
        <w:rPr>
          <w:rFonts w:ascii="宋体_GB2312" w:hAnsi="宋体_GB2312" w:eastAsia="宋体_GB2312"/>
        </w:rPr>
        <w:t>2.4.5.5</w:t>
      </w:r>
      <w:r>
        <w:rPr>
          <w:rFonts w:hint="eastAsia" w:ascii="宋体_GB2312" w:hAnsi="宋体_GB2312" w:eastAsia="宋体_GB2312"/>
        </w:rPr>
        <w:t>冲击</w:t>
      </w:r>
      <w:r>
        <w:rPr>
          <w:rFonts w:ascii="宋体_GB2312" w:hAnsi="宋体_GB2312" w:eastAsia="宋体_GB2312"/>
        </w:rPr>
        <w:t xml:space="preserve"> (</w:t>
      </w:r>
      <w:r>
        <w:rPr>
          <w:rFonts w:hint="eastAsia" w:ascii="宋体_GB2312" w:hAnsi="宋体_GB2312" w:eastAsia="宋体_GB2312"/>
        </w:rPr>
        <w:t>仅对室内蝶形光缆</w:t>
      </w:r>
      <w:r>
        <w:rPr>
          <w:rFonts w:ascii="宋体_GB2312" w:hAnsi="宋体_GB2312" w:eastAsia="宋体_GB2312"/>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冲击试验要求如下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E4；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冲击面半径</w:t>
      </w:r>
      <w:r>
        <w:rPr>
          <w:rFonts w:ascii="宋体_GB2312" w:hAnsi="宋体_GB2312" w:eastAsia="宋体_GB2312"/>
          <w:sz w:val="24"/>
          <w:szCs w:val="24"/>
        </w:rPr>
        <w:t xml:space="preserve">：12.5mm；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冲锤重量</w:t>
      </w:r>
      <w:r>
        <w:rPr>
          <w:rFonts w:ascii="宋体_GB2312" w:hAnsi="宋体_GB2312" w:eastAsia="宋体_GB2312"/>
          <w:sz w:val="24"/>
          <w:szCs w:val="24"/>
        </w:rPr>
        <w:t xml:space="preserve">：1N；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冲锤落高</w:t>
      </w:r>
      <w:r>
        <w:rPr>
          <w:rFonts w:ascii="宋体_GB2312" w:hAnsi="宋体_GB2312" w:eastAsia="宋体_GB2312"/>
          <w:sz w:val="24"/>
          <w:szCs w:val="24"/>
        </w:rPr>
        <w:t xml:space="preserve">：1m；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受力面</w:t>
      </w:r>
      <w:r>
        <w:rPr>
          <w:rFonts w:ascii="宋体_GB2312" w:hAnsi="宋体_GB2312" w:eastAsia="宋体_GB2312"/>
          <w:sz w:val="24"/>
          <w:szCs w:val="24"/>
        </w:rPr>
        <w:t>：</w:t>
      </w:r>
      <w:r>
        <w:rPr>
          <w:rFonts w:hint="eastAsia" w:ascii="宋体_GB2312" w:hAnsi="宋体_GB2312" w:eastAsia="宋体_GB2312"/>
          <w:sz w:val="24"/>
          <w:szCs w:val="24"/>
        </w:rPr>
        <w:t>光缆扁平方向</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冲击次数</w:t>
      </w:r>
      <w:r>
        <w:rPr>
          <w:rFonts w:ascii="宋体_GB2312" w:hAnsi="宋体_GB2312" w:eastAsia="宋体_GB2312"/>
          <w:sz w:val="24"/>
          <w:szCs w:val="24"/>
        </w:rPr>
        <w:t>：</w:t>
      </w:r>
      <w:r>
        <w:rPr>
          <w:rFonts w:hint="eastAsia" w:ascii="宋体_GB2312" w:hAnsi="宋体_GB2312" w:eastAsia="宋体_GB2312"/>
          <w:sz w:val="24"/>
          <w:szCs w:val="24"/>
        </w:rPr>
        <w:t>至少</w:t>
      </w:r>
      <w:r>
        <w:rPr>
          <w:rFonts w:ascii="宋体_GB2312" w:hAnsi="宋体_GB2312" w:eastAsia="宋体_GB2312"/>
          <w:sz w:val="24"/>
          <w:szCs w:val="24"/>
        </w:rPr>
        <w:t>3</w:t>
      </w:r>
      <w:r>
        <w:rPr>
          <w:rFonts w:hint="eastAsia" w:ascii="宋体_GB2312" w:hAnsi="宋体_GB2312" w:eastAsia="宋体_GB2312"/>
          <w:sz w:val="24"/>
          <w:szCs w:val="24"/>
        </w:rPr>
        <w:t>次，每次冲击点间的间距至少</w:t>
      </w:r>
      <w:r>
        <w:rPr>
          <w:rFonts w:ascii="宋体_GB2312" w:hAnsi="宋体_GB2312" w:eastAsia="宋体_GB2312"/>
          <w:sz w:val="24"/>
          <w:szCs w:val="24"/>
        </w:rPr>
        <w:t>500mm</w:t>
      </w:r>
      <w:r>
        <w:rPr>
          <w:rFonts w:hint="eastAsia" w:ascii="宋体_GB2312" w:hAnsi="宋体_GB2312" w:eastAsia="宋体_GB2312"/>
          <w:sz w:val="24"/>
          <w:szCs w:val="24"/>
        </w:rPr>
        <w:t>，每个点冲击</w:t>
      </w:r>
      <w:r>
        <w:rPr>
          <w:rFonts w:ascii="宋体_GB2312" w:hAnsi="宋体_GB2312" w:eastAsia="宋体_GB2312"/>
          <w:sz w:val="24"/>
          <w:szCs w:val="24"/>
        </w:rPr>
        <w:t>1</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护套应无目视可见的任何损伤和开裂</w:t>
      </w:r>
      <w:r>
        <w:rPr>
          <w:rFonts w:ascii="宋体_GB2312" w:hAnsi="宋体_GB2312" w:eastAsia="宋体_GB2312"/>
          <w:sz w:val="24"/>
          <w:szCs w:val="24"/>
        </w:rPr>
        <w:t>；</w:t>
      </w:r>
      <w:r>
        <w:rPr>
          <w:rFonts w:hint="eastAsia" w:ascii="宋体_GB2312" w:hAnsi="宋体_GB2312" w:eastAsia="宋体_GB2312"/>
          <w:sz w:val="24"/>
          <w:szCs w:val="24"/>
        </w:rPr>
        <w:t>试验后，任一根光纤的残余附加衰减在</w:t>
      </w:r>
      <w:r>
        <w:rPr>
          <w:rFonts w:ascii="宋体_GB2312" w:hAnsi="宋体_GB2312" w:eastAsia="宋体_GB2312"/>
          <w:sz w:val="24"/>
          <w:szCs w:val="24"/>
        </w:rPr>
        <w:t>1550nm</w:t>
      </w:r>
      <w:r>
        <w:rPr>
          <w:rFonts w:hint="eastAsia" w:ascii="宋体_GB2312" w:hAnsi="宋体_GB2312" w:eastAsia="宋体_GB2312"/>
          <w:sz w:val="24"/>
          <w:szCs w:val="24"/>
        </w:rPr>
        <w:t>处应不大于</w:t>
      </w:r>
      <w:r>
        <w:rPr>
          <w:rFonts w:ascii="宋体_GB2312" w:hAnsi="宋体_GB2312" w:eastAsia="宋体_GB2312"/>
          <w:sz w:val="24"/>
          <w:szCs w:val="24"/>
        </w:rPr>
        <w:t>0.4dB</w:t>
      </w:r>
      <w:r>
        <w:rPr>
          <w:rFonts w:hint="eastAsia" w:ascii="宋体_GB2312" w:hAnsi="宋体_GB2312" w:eastAsia="宋体_GB2312"/>
          <w:sz w:val="24"/>
          <w:szCs w:val="24"/>
        </w:rPr>
        <w:t>。</w:t>
      </w:r>
    </w:p>
    <w:p>
      <w:pPr>
        <w:pStyle w:val="5"/>
        <w:spacing w:after="12"/>
        <w:rPr>
          <w:rFonts w:ascii="宋体_GB2312" w:hAnsi="宋体_GB2312" w:eastAsia="宋体_GB2312"/>
        </w:rPr>
      </w:pPr>
      <w:r>
        <w:rPr>
          <w:rFonts w:ascii="宋体_GB2312" w:hAnsi="宋体_GB2312" w:eastAsia="宋体_GB2312"/>
        </w:rPr>
        <w:t>2.4.5.6</w:t>
      </w:r>
      <w:r>
        <w:rPr>
          <w:rFonts w:hint="eastAsia" w:ascii="宋体_GB2312" w:hAnsi="宋体_GB2312" w:eastAsia="宋体_GB2312"/>
        </w:rPr>
        <w:t>反复弯曲</w:t>
      </w:r>
      <w:r>
        <w:rPr>
          <w:rFonts w:ascii="宋体_GB2312" w:hAnsi="宋体_GB2312" w:eastAsia="宋体_GB2312"/>
        </w:rPr>
        <w:t xml:space="preserve"> (</w:t>
      </w:r>
      <w:r>
        <w:rPr>
          <w:rFonts w:hint="eastAsia" w:ascii="宋体_GB2312" w:hAnsi="宋体_GB2312" w:eastAsia="宋体_GB2312"/>
        </w:rPr>
        <w:t>仅对室内蝶形光缆</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反复弯曲试验要求如下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E6；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弯曲半径</w:t>
      </w:r>
      <w:r>
        <w:rPr>
          <w:rFonts w:ascii="宋体_GB2312" w:hAnsi="宋体_GB2312" w:eastAsia="宋体_GB2312"/>
          <w:sz w:val="24"/>
          <w:szCs w:val="24"/>
        </w:rPr>
        <w:t xml:space="preserve">：30H；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循环次数</w:t>
      </w:r>
      <w:r>
        <w:rPr>
          <w:rFonts w:ascii="宋体_GB2312" w:hAnsi="宋体_GB2312" w:eastAsia="宋体_GB2312"/>
          <w:sz w:val="24"/>
          <w:szCs w:val="24"/>
        </w:rPr>
        <w:t>：300</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负载</w:t>
      </w:r>
      <w:r>
        <w:rPr>
          <w:rFonts w:ascii="宋体_GB2312" w:hAnsi="宋体_GB2312" w:eastAsia="宋体_GB2312"/>
          <w:sz w:val="24"/>
          <w:szCs w:val="24"/>
        </w:rPr>
        <w:t xml:space="preserve">：20N；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护套应无目视可见的任何损伤和开裂</w:t>
      </w:r>
      <w:r>
        <w:rPr>
          <w:rFonts w:ascii="宋体_GB2312" w:hAnsi="宋体_GB2312" w:eastAsia="宋体_GB2312"/>
          <w:sz w:val="24"/>
          <w:szCs w:val="24"/>
        </w:rPr>
        <w:t>；</w:t>
      </w:r>
      <w:r>
        <w:rPr>
          <w:rFonts w:hint="eastAsia" w:ascii="宋体_GB2312" w:hAnsi="宋体_GB2312" w:eastAsia="宋体_GB2312"/>
          <w:sz w:val="24"/>
          <w:szCs w:val="24"/>
        </w:rPr>
        <w:t>试验后，光纤的残余附加衰减在</w:t>
      </w:r>
      <w:r>
        <w:rPr>
          <w:rFonts w:ascii="宋体_GB2312" w:hAnsi="宋体_GB2312" w:eastAsia="宋体_GB2312"/>
          <w:sz w:val="24"/>
          <w:szCs w:val="24"/>
        </w:rPr>
        <w:t xml:space="preserve"> 1550nm</w:t>
      </w:r>
      <w:r>
        <w:rPr>
          <w:rFonts w:hint="eastAsia" w:ascii="宋体_GB2312" w:hAnsi="宋体_GB2312" w:eastAsia="宋体_GB2312"/>
          <w:sz w:val="24"/>
          <w:szCs w:val="24"/>
        </w:rPr>
        <w:t>处应不大于</w:t>
      </w:r>
      <w:r>
        <w:rPr>
          <w:rFonts w:ascii="宋体_GB2312" w:hAnsi="宋体_GB2312" w:eastAsia="宋体_GB2312"/>
          <w:sz w:val="24"/>
          <w:szCs w:val="24"/>
        </w:rPr>
        <w:t>0.4dB</w:t>
      </w:r>
      <w:r>
        <w:rPr>
          <w:rFonts w:hint="eastAsia" w:ascii="宋体_GB2312" w:hAnsi="宋体_GB2312" w:eastAsia="宋体_GB2312"/>
          <w:sz w:val="24"/>
          <w:szCs w:val="24"/>
        </w:rPr>
        <w:t>。</w:t>
      </w:r>
    </w:p>
    <w:p>
      <w:pPr>
        <w:pStyle w:val="5"/>
        <w:spacing w:after="12"/>
        <w:rPr>
          <w:rFonts w:ascii="宋体_GB2312" w:hAnsi="宋体_GB2312" w:eastAsia="宋体_GB2312"/>
        </w:rPr>
      </w:pPr>
      <w:r>
        <w:rPr>
          <w:rFonts w:ascii="宋体_GB2312" w:hAnsi="宋体_GB2312" w:eastAsia="宋体_GB2312"/>
        </w:rPr>
        <w:t>2.4.5.7</w:t>
      </w:r>
      <w:r>
        <w:rPr>
          <w:rFonts w:hint="eastAsia" w:ascii="宋体_GB2312" w:hAnsi="宋体_GB2312" w:eastAsia="宋体_GB2312"/>
        </w:rPr>
        <w:t>扭转</w:t>
      </w:r>
      <w:r>
        <w:rPr>
          <w:rFonts w:ascii="宋体_GB2312" w:hAnsi="宋体_GB2312" w:eastAsia="宋体_GB2312"/>
        </w:rPr>
        <w:t xml:space="preserve"> (</w:t>
      </w:r>
      <w:r>
        <w:rPr>
          <w:rFonts w:hint="eastAsia" w:ascii="宋体_GB2312" w:hAnsi="宋体_GB2312" w:eastAsia="宋体_GB2312"/>
        </w:rPr>
        <w:t>仅对室内蝶形光缆</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扭转试验要求如下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E7；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受扭长度</w:t>
      </w:r>
      <w:r>
        <w:rPr>
          <w:rFonts w:ascii="宋体_GB2312" w:hAnsi="宋体_GB2312" w:eastAsia="宋体_GB2312"/>
          <w:sz w:val="24"/>
          <w:szCs w:val="24"/>
        </w:rPr>
        <w:t xml:space="preserve">：1m；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扭转次数</w:t>
      </w:r>
      <w:r>
        <w:rPr>
          <w:rFonts w:ascii="宋体_GB2312" w:hAnsi="宋体_GB2312" w:eastAsia="宋体_GB2312"/>
          <w:sz w:val="24"/>
          <w:szCs w:val="24"/>
        </w:rPr>
        <w:t>：20</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扭转角度</w:t>
      </w:r>
      <w:r>
        <w:rPr>
          <w:rFonts w:ascii="宋体_GB2312" w:hAnsi="宋体_GB2312" w:eastAsia="宋体_GB2312"/>
          <w:sz w:val="24"/>
          <w:szCs w:val="24"/>
        </w:rPr>
        <w:t>：</w:t>
      </w:r>
      <w:r>
        <w:rPr>
          <w:rFonts w:hint="eastAsia" w:ascii="宋体_GB2312" w:hAnsi="宋体_GB2312" w:eastAsia="宋体_GB2312"/>
          <w:sz w:val="24"/>
          <w:szCs w:val="24"/>
        </w:rPr>
        <w:t>±</w:t>
      </w:r>
      <w:r>
        <w:rPr>
          <w:rFonts w:ascii="宋体_GB2312" w:hAnsi="宋体_GB2312" w:eastAsia="宋体_GB2312"/>
          <w:sz w:val="24"/>
          <w:szCs w:val="24"/>
        </w:rPr>
        <w:t>180</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张力负载</w:t>
      </w:r>
      <w:r>
        <w:rPr>
          <w:rFonts w:ascii="宋体_GB2312" w:hAnsi="宋体_GB2312" w:eastAsia="宋体_GB2312"/>
          <w:sz w:val="24"/>
          <w:szCs w:val="24"/>
        </w:rPr>
        <w:t xml:space="preserve">：20N；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护套应无目视可见的任何损伤和开裂</w:t>
      </w:r>
      <w:r>
        <w:rPr>
          <w:rFonts w:ascii="宋体_GB2312" w:hAnsi="宋体_GB2312" w:eastAsia="宋体_GB2312"/>
          <w:sz w:val="24"/>
          <w:szCs w:val="24"/>
        </w:rPr>
        <w:t>；</w:t>
      </w:r>
      <w:r>
        <w:rPr>
          <w:rFonts w:hint="eastAsia" w:ascii="宋体_GB2312" w:hAnsi="宋体_GB2312" w:eastAsia="宋体_GB2312"/>
          <w:sz w:val="24"/>
          <w:szCs w:val="24"/>
        </w:rPr>
        <w:t>试验后，光纤的残余附加衰减在</w:t>
      </w:r>
      <w:r>
        <w:rPr>
          <w:rFonts w:ascii="宋体_GB2312" w:hAnsi="宋体_GB2312" w:eastAsia="宋体_GB2312"/>
          <w:sz w:val="24"/>
          <w:szCs w:val="24"/>
        </w:rPr>
        <w:t xml:space="preserve"> 1550nm</w:t>
      </w:r>
      <w:r>
        <w:rPr>
          <w:rFonts w:hint="eastAsia" w:ascii="宋体_GB2312" w:hAnsi="宋体_GB2312" w:eastAsia="宋体_GB2312"/>
          <w:sz w:val="24"/>
          <w:szCs w:val="24"/>
        </w:rPr>
        <w:t>处应不大于</w:t>
      </w:r>
      <w:r>
        <w:rPr>
          <w:rFonts w:ascii="宋体_GB2312" w:hAnsi="宋体_GB2312" w:eastAsia="宋体_GB2312"/>
          <w:sz w:val="24"/>
          <w:szCs w:val="24"/>
        </w:rPr>
        <w:t>0.4dB</w:t>
      </w:r>
      <w:r>
        <w:rPr>
          <w:rFonts w:hint="eastAsia" w:ascii="宋体_GB2312" w:hAnsi="宋体_GB2312" w:eastAsia="宋体_GB2312"/>
          <w:sz w:val="24"/>
          <w:szCs w:val="24"/>
        </w:rPr>
        <w:t>。</w:t>
      </w:r>
    </w:p>
    <w:p>
      <w:pPr>
        <w:pStyle w:val="5"/>
        <w:spacing w:after="12"/>
        <w:rPr>
          <w:rFonts w:ascii="宋体_GB2312" w:hAnsi="宋体_GB2312" w:eastAsia="宋体_GB2312"/>
        </w:rPr>
      </w:pPr>
      <w:r>
        <w:rPr>
          <w:rFonts w:ascii="宋体_GB2312" w:hAnsi="宋体_GB2312" w:eastAsia="宋体_GB2312"/>
        </w:rPr>
        <w:t>2.4.5.8</w:t>
      </w:r>
      <w:r>
        <w:rPr>
          <w:rFonts w:hint="eastAsia" w:ascii="宋体_GB2312" w:hAnsi="宋体_GB2312" w:eastAsia="宋体_GB2312"/>
        </w:rPr>
        <w:t>弯折</w:t>
      </w:r>
      <w:r>
        <w:rPr>
          <w:rFonts w:ascii="宋体_GB2312" w:hAnsi="宋体_GB2312" w:eastAsia="宋体_GB2312"/>
        </w:rPr>
        <w:t xml:space="preserve"> (</w:t>
      </w:r>
      <w:r>
        <w:rPr>
          <w:rFonts w:hint="eastAsia" w:ascii="宋体_GB2312" w:hAnsi="宋体_GB2312" w:eastAsia="宋体_GB2312"/>
        </w:rPr>
        <w:t>仅对室内蝶形光缆</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弯折试验要求如下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E10；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最小环直径</w:t>
      </w:r>
      <w:r>
        <w:rPr>
          <w:rFonts w:ascii="宋体_GB2312" w:hAnsi="宋体_GB2312" w:eastAsia="宋体_GB2312"/>
          <w:sz w:val="24"/>
          <w:szCs w:val="24"/>
        </w:rPr>
        <w:t>：</w:t>
      </w:r>
      <w:r>
        <w:rPr>
          <w:rFonts w:hint="eastAsia" w:ascii="宋体_GB2312" w:hAnsi="宋体_GB2312" w:eastAsia="宋体_GB2312"/>
          <w:sz w:val="24"/>
          <w:szCs w:val="24"/>
        </w:rPr>
        <w:t>光缆静态弯曲半径的两倍</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施力方向</w:t>
      </w:r>
      <w:r>
        <w:rPr>
          <w:rFonts w:ascii="宋体_GB2312" w:hAnsi="宋体_GB2312" w:eastAsia="宋体_GB2312"/>
          <w:sz w:val="24"/>
          <w:szCs w:val="24"/>
        </w:rPr>
        <w:t>：</w:t>
      </w:r>
      <w:r>
        <w:rPr>
          <w:rFonts w:hint="eastAsia" w:ascii="宋体_GB2312" w:hAnsi="宋体_GB2312" w:eastAsia="宋体_GB2312"/>
          <w:sz w:val="24"/>
          <w:szCs w:val="24"/>
        </w:rPr>
        <w:t>光缆扁平方向</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光缆应不发生弯折。</w:t>
      </w:r>
    </w:p>
    <w:p>
      <w:pPr>
        <w:pStyle w:val="4"/>
        <w:spacing w:after="12"/>
        <w:rPr>
          <w:rFonts w:ascii="宋体_GB2312" w:hAnsi="宋体_GB2312" w:eastAsia="宋体_GB2312"/>
        </w:rPr>
      </w:pPr>
      <w:bookmarkStart w:id="54" w:name="_Toc54084407"/>
      <w:bookmarkStart w:id="55" w:name="_Toc12242"/>
      <w:r>
        <w:rPr>
          <w:rFonts w:ascii="宋体_GB2312" w:hAnsi="宋体_GB2312" w:eastAsia="宋体_GB2312"/>
        </w:rPr>
        <w:t>2.4.6</w:t>
      </w:r>
      <w:r>
        <w:rPr>
          <w:rFonts w:hint="eastAsia" w:ascii="宋体_GB2312" w:hAnsi="宋体_GB2312" w:eastAsia="宋体_GB2312"/>
        </w:rPr>
        <w:t>环境性能试验方法</w:t>
      </w:r>
      <w:bookmarkEnd w:id="54"/>
      <w:bookmarkEnd w:id="55"/>
      <w:r>
        <w:rPr>
          <w:rFonts w:ascii="宋体_GB2312" w:hAnsi="宋体_GB2312" w:eastAsia="宋体_GB2312"/>
        </w:rPr>
        <w:t xml:space="preserve"> </w:t>
      </w:r>
    </w:p>
    <w:p>
      <w:pPr>
        <w:pStyle w:val="5"/>
        <w:spacing w:after="12"/>
        <w:rPr>
          <w:rFonts w:ascii="宋体_GB2312" w:hAnsi="宋体_GB2312" w:eastAsia="宋体_GB2312"/>
        </w:rPr>
      </w:pPr>
      <w:r>
        <w:rPr>
          <w:rFonts w:ascii="宋体_GB2312" w:hAnsi="宋体_GB2312" w:eastAsia="宋体_GB2312"/>
        </w:rPr>
        <w:t>2.4.6.1</w:t>
      </w:r>
      <w:r>
        <w:rPr>
          <w:rFonts w:hint="eastAsia" w:ascii="宋体_GB2312" w:hAnsi="宋体_GB2312" w:eastAsia="宋体_GB2312"/>
        </w:rPr>
        <w:t>总则</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下列规定的各试验方法及其试验条件用于验证光缆的环境性能，其试验结果符合规定的合格判据时，判为合格。</w:t>
      </w:r>
    </w:p>
    <w:p>
      <w:pPr>
        <w:pStyle w:val="5"/>
        <w:spacing w:after="12"/>
        <w:rPr>
          <w:rFonts w:ascii="宋体_GB2312" w:hAnsi="宋体_GB2312" w:eastAsia="宋体_GB2312"/>
        </w:rPr>
      </w:pPr>
      <w:r>
        <w:rPr>
          <w:rFonts w:ascii="宋体_GB2312" w:hAnsi="宋体_GB2312" w:eastAsia="宋体_GB2312"/>
        </w:rPr>
        <w:t>2.4.6.2</w:t>
      </w:r>
      <w:r>
        <w:rPr>
          <w:rFonts w:hint="eastAsia" w:ascii="宋体_GB2312" w:hAnsi="宋体_GB2312" w:eastAsia="宋体_GB2312"/>
        </w:rPr>
        <w:t>温度循环试验</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温度循环试验要求如下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：GB/T 7424.2-2008</w:t>
      </w:r>
      <w:r>
        <w:rPr>
          <w:rFonts w:hint="eastAsia" w:ascii="宋体_GB2312" w:hAnsi="宋体_GB2312" w:eastAsia="宋体_GB2312"/>
          <w:sz w:val="24"/>
          <w:szCs w:val="24"/>
        </w:rPr>
        <w:t>中方法</w:t>
      </w:r>
      <w:r>
        <w:rPr>
          <w:rFonts w:ascii="宋体_GB2312" w:hAnsi="宋体_GB2312" w:eastAsia="宋体_GB2312"/>
          <w:sz w:val="24"/>
          <w:szCs w:val="24"/>
        </w:rPr>
        <w:t xml:space="preserve"> F1</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试样长度</w:t>
      </w:r>
      <w:r>
        <w:rPr>
          <w:rFonts w:ascii="宋体_GB2312" w:hAnsi="宋体_GB2312" w:eastAsia="宋体_GB2312"/>
          <w:sz w:val="24"/>
          <w:szCs w:val="24"/>
        </w:rPr>
        <w:t>：</w:t>
      </w:r>
      <w:r>
        <w:rPr>
          <w:rFonts w:hint="eastAsia" w:ascii="宋体_GB2312" w:hAnsi="宋体_GB2312" w:eastAsia="宋体_GB2312"/>
          <w:sz w:val="24"/>
          <w:szCs w:val="24"/>
        </w:rPr>
        <w:t>应足以获得衰减测量所需的精度，宜不小于</w:t>
      </w:r>
      <w:r>
        <w:rPr>
          <w:rFonts w:ascii="宋体_GB2312" w:hAnsi="宋体_GB2312" w:eastAsia="宋体_GB2312"/>
          <w:sz w:val="24"/>
          <w:szCs w:val="24"/>
        </w:rPr>
        <w:t xml:space="preserve">1km；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温度范围</w:t>
      </w:r>
      <w:r>
        <w:rPr>
          <w:rFonts w:ascii="宋体_GB2312" w:hAnsi="宋体_GB2312" w:eastAsia="宋体_GB2312"/>
          <w:sz w:val="24"/>
          <w:szCs w:val="24"/>
        </w:rPr>
        <w:t>：</w:t>
      </w:r>
      <w:r>
        <w:rPr>
          <w:rFonts w:hint="eastAsia" w:ascii="宋体_GB2312" w:hAnsi="宋体_GB2312" w:eastAsia="宋体_GB2312"/>
          <w:sz w:val="24"/>
          <w:szCs w:val="24"/>
        </w:rPr>
        <w:t>试验温度范围的低限</w:t>
      </w:r>
      <w:r>
        <w:rPr>
          <w:rFonts w:ascii="宋体_GB2312" w:hAnsi="宋体_GB2312" w:eastAsia="宋体_GB2312"/>
          <w:sz w:val="24"/>
          <w:szCs w:val="24"/>
        </w:rPr>
        <w:t>T</w:t>
      </w:r>
      <w:r>
        <w:rPr>
          <w:rFonts w:ascii="宋体_GB2312" w:hAnsi="宋体_GB2312" w:eastAsia="宋体_GB2312"/>
          <w:sz w:val="28"/>
          <w:szCs w:val="24"/>
          <w:vertAlign w:val="subscript"/>
        </w:rPr>
        <w:t>A</w:t>
      </w:r>
      <w:r>
        <w:rPr>
          <w:rFonts w:hint="eastAsia" w:ascii="宋体_GB2312" w:hAnsi="宋体_GB2312" w:eastAsia="宋体_GB2312"/>
          <w:sz w:val="24"/>
          <w:szCs w:val="24"/>
        </w:rPr>
        <w:t>和高限</w:t>
      </w:r>
      <w:r>
        <w:rPr>
          <w:rFonts w:ascii="宋体_GB2312" w:hAnsi="宋体_GB2312" w:eastAsia="宋体_GB2312"/>
          <w:sz w:val="24"/>
          <w:szCs w:val="24"/>
        </w:rPr>
        <w:t>T</w:t>
      </w:r>
      <w:r>
        <w:rPr>
          <w:rFonts w:ascii="宋体_GB2312" w:hAnsi="宋体_GB2312" w:eastAsia="宋体_GB2312"/>
          <w:sz w:val="28"/>
          <w:szCs w:val="24"/>
          <w:vertAlign w:val="subscript"/>
        </w:rPr>
        <w:t>B</w:t>
      </w:r>
      <w:r>
        <w:rPr>
          <w:rFonts w:hint="eastAsia" w:ascii="宋体_GB2312" w:hAnsi="宋体_GB2312" w:eastAsia="宋体_GB2312"/>
          <w:sz w:val="24"/>
          <w:szCs w:val="24"/>
        </w:rPr>
        <w:t>应符合表</w:t>
      </w:r>
      <w:r>
        <w:rPr>
          <w:rFonts w:ascii="宋体_GB2312" w:hAnsi="宋体_GB2312" w:eastAsia="宋体_GB2312"/>
          <w:sz w:val="24"/>
          <w:szCs w:val="24"/>
        </w:rPr>
        <w:t>6</w:t>
      </w:r>
      <w:r>
        <w:rPr>
          <w:rFonts w:hint="eastAsia" w:ascii="宋体_GB2312" w:hAnsi="宋体_GB2312" w:eastAsia="宋体_GB2312"/>
          <w:sz w:val="24"/>
          <w:szCs w:val="24"/>
        </w:rPr>
        <w:t>规定</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保温时间</w:t>
      </w:r>
      <w:r>
        <w:rPr>
          <w:rFonts w:ascii="宋体_GB2312" w:hAnsi="宋体_GB2312" w:eastAsia="宋体_GB2312"/>
          <w:sz w:val="24"/>
          <w:szCs w:val="24"/>
        </w:rPr>
        <w:t>：</w:t>
      </w:r>
      <w:r>
        <w:rPr>
          <w:rFonts w:hint="eastAsia" w:ascii="宋体_GB2312" w:hAnsi="宋体_GB2312" w:eastAsia="宋体_GB2312"/>
          <w:sz w:val="24"/>
          <w:szCs w:val="24"/>
        </w:rPr>
        <w:t>宜不小于</w:t>
      </w:r>
      <w:r>
        <w:rPr>
          <w:rFonts w:ascii="宋体_GB2312" w:hAnsi="宋体_GB2312" w:eastAsia="宋体_GB2312"/>
          <w:sz w:val="24"/>
          <w:szCs w:val="24"/>
        </w:rPr>
        <w:t xml:space="preserve">8h；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循环次数</w:t>
      </w:r>
      <w:r>
        <w:rPr>
          <w:rFonts w:ascii="宋体_GB2312" w:hAnsi="宋体_GB2312" w:eastAsia="宋体_GB2312"/>
          <w:sz w:val="24"/>
          <w:szCs w:val="24"/>
        </w:rPr>
        <w:t>：2</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衰减监测</w:t>
      </w:r>
      <w:r>
        <w:rPr>
          <w:rFonts w:ascii="宋体_GB2312" w:hAnsi="宋体_GB2312" w:eastAsia="宋体_GB2312"/>
          <w:sz w:val="24"/>
          <w:szCs w:val="24"/>
        </w:rPr>
        <w:t>：</w:t>
      </w:r>
      <w:r>
        <w:rPr>
          <w:rFonts w:hint="eastAsia" w:ascii="宋体_GB2312" w:hAnsi="宋体_GB2312" w:eastAsia="宋体_GB2312"/>
          <w:sz w:val="24"/>
          <w:szCs w:val="24"/>
        </w:rPr>
        <w:t>宜按</w:t>
      </w:r>
      <w:r>
        <w:rPr>
          <w:rFonts w:ascii="宋体_GB2312" w:hAnsi="宋体_GB2312" w:eastAsia="宋体_GB2312"/>
          <w:sz w:val="24"/>
          <w:szCs w:val="24"/>
        </w:rPr>
        <w:t>YD/T 629.2</w:t>
      </w:r>
      <w:r>
        <w:rPr>
          <w:rFonts w:hint="eastAsia" w:ascii="宋体_GB2312" w:hAnsi="宋体_GB2312" w:eastAsia="宋体_GB2312"/>
          <w:sz w:val="24"/>
          <w:szCs w:val="24"/>
        </w:rPr>
        <w:t>《光纤传输衰减变化的监测方法</w:t>
      </w:r>
      <w:r>
        <w:rPr>
          <w:rFonts w:ascii="宋体_GB2312" w:hAnsi="宋体_GB2312" w:eastAsia="宋体_GB2312"/>
          <w:sz w:val="24"/>
          <w:szCs w:val="24"/>
        </w:rPr>
        <w:t xml:space="preserve"> </w:t>
      </w:r>
      <w:r>
        <w:rPr>
          <w:rFonts w:hint="eastAsia" w:ascii="宋体_GB2312" w:hAnsi="宋体_GB2312" w:eastAsia="宋体_GB2312"/>
          <w:sz w:val="24"/>
          <w:szCs w:val="24"/>
        </w:rPr>
        <w:t>后向散射监测法》规定。在试验期间，监测仪表的重复性引起的监测结果的不确定度应优于</w:t>
      </w:r>
      <w:r>
        <w:rPr>
          <w:rFonts w:ascii="宋体_GB2312" w:hAnsi="宋体_GB2312" w:eastAsia="宋体_GB2312"/>
          <w:sz w:val="24"/>
          <w:szCs w:val="24"/>
        </w:rPr>
        <w:t>0.02dB/km</w:t>
      </w:r>
      <w:r>
        <w:rPr>
          <w:rFonts w:hint="eastAsia" w:ascii="宋体_GB2312" w:hAnsi="宋体_GB2312" w:eastAsia="宋体_GB2312"/>
          <w:sz w:val="24"/>
          <w:szCs w:val="24"/>
        </w:rPr>
        <w:t>。试验中光纤衰减变化量的绝对值不超过</w:t>
      </w:r>
      <w:r>
        <w:rPr>
          <w:rFonts w:ascii="宋体_GB2312" w:hAnsi="宋体_GB2312" w:eastAsia="宋体_GB2312"/>
          <w:sz w:val="24"/>
          <w:szCs w:val="24"/>
        </w:rPr>
        <w:t>0.02dB/km</w:t>
      </w:r>
      <w:r>
        <w:rPr>
          <w:rFonts w:hint="eastAsia" w:ascii="宋体_GB2312" w:hAnsi="宋体_GB2312" w:eastAsia="宋体_GB2312"/>
          <w:sz w:val="24"/>
          <w:szCs w:val="24"/>
        </w:rPr>
        <w:t>时，可判为衰减无明显变化。允许衰减有某数值的变化时，应理解为该数值已包括不确定度在内。单模光纤的衰减变化监测应在</w:t>
      </w:r>
      <w:r>
        <w:rPr>
          <w:rFonts w:ascii="宋体_GB2312" w:hAnsi="宋体_GB2312" w:eastAsia="宋体_GB2312"/>
          <w:sz w:val="24"/>
          <w:szCs w:val="24"/>
        </w:rPr>
        <w:t>1550nm</w:t>
      </w:r>
      <w:r>
        <w:rPr>
          <w:rFonts w:hint="eastAsia" w:ascii="宋体_GB2312" w:hAnsi="宋体_GB2312" w:eastAsia="宋体_GB2312"/>
          <w:sz w:val="24"/>
          <w:szCs w:val="24"/>
        </w:rPr>
        <w:t>波长上进行</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光纤的温度附加衰减值应满足表</w:t>
      </w:r>
      <w:r>
        <w:rPr>
          <w:rFonts w:ascii="宋体_GB2312" w:hAnsi="宋体_GB2312" w:eastAsia="宋体_GB2312"/>
          <w:sz w:val="24"/>
          <w:szCs w:val="24"/>
        </w:rPr>
        <w:t>6</w:t>
      </w:r>
      <w:r>
        <w:rPr>
          <w:rFonts w:hint="eastAsia" w:ascii="宋体_GB2312" w:hAnsi="宋体_GB2312" w:eastAsia="宋体_GB2312"/>
          <w:sz w:val="24"/>
          <w:szCs w:val="24"/>
        </w:rPr>
        <w:t>的要求。</w:t>
      </w:r>
      <w:r>
        <w:rPr>
          <w:rFonts w:ascii="宋体_GB2312" w:hAnsi="宋体_GB2312" w:eastAsia="宋体_GB2312"/>
          <w:sz w:val="24"/>
          <w:szCs w:val="24"/>
        </w:rPr>
        <w:t xml:space="preserve"> </w:t>
      </w:r>
    </w:p>
    <w:p>
      <w:pPr>
        <w:pStyle w:val="5"/>
        <w:spacing w:after="12"/>
        <w:rPr>
          <w:rFonts w:ascii="宋体_GB2312" w:hAnsi="宋体_GB2312" w:eastAsia="宋体_GB2312"/>
        </w:rPr>
      </w:pPr>
      <w:r>
        <w:rPr>
          <w:rFonts w:ascii="宋体_GB2312" w:hAnsi="宋体_GB2312" w:eastAsia="宋体_GB2312"/>
        </w:rPr>
        <w:t>2.4.6.3</w:t>
      </w:r>
      <w:r>
        <w:rPr>
          <w:rFonts w:hint="eastAsia" w:ascii="宋体_GB2312" w:hAnsi="宋体_GB2312" w:eastAsia="宋体_GB2312"/>
        </w:rPr>
        <w:t>燃烧性能</w:t>
      </w:r>
      <w:r>
        <w:rPr>
          <w:rFonts w:ascii="宋体_GB2312" w:hAnsi="宋体_GB2312" w:eastAsia="宋体_GB2312"/>
        </w:rPr>
        <w:t xml:space="preserve"> (</w:t>
      </w:r>
      <w:r>
        <w:rPr>
          <w:rFonts w:hint="eastAsia" w:ascii="宋体_GB2312" w:hAnsi="宋体_GB2312" w:eastAsia="宋体_GB2312"/>
        </w:rPr>
        <w:t>仅对室内蝶形光缆</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燃烧性能试验要求如下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阻燃性</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单根垂直燃烧应按</w:t>
      </w:r>
      <w:r>
        <w:rPr>
          <w:rFonts w:ascii="宋体_GB2312" w:hAnsi="宋体_GB2312" w:eastAsia="宋体_GB2312"/>
          <w:sz w:val="24"/>
          <w:szCs w:val="24"/>
        </w:rPr>
        <w:t>GB/T 18380.12-2008</w:t>
      </w:r>
      <w:r>
        <w:rPr>
          <w:rFonts w:hint="eastAsia" w:ascii="宋体_GB2312" w:hAnsi="宋体_GB2312" w:eastAsia="宋体_GB2312"/>
          <w:sz w:val="24"/>
          <w:szCs w:val="24"/>
        </w:rPr>
        <w:t>《电缆和光缆在火焰条件下的燃烧试验</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12</w:t>
      </w:r>
      <w:r>
        <w:rPr>
          <w:rFonts w:hint="eastAsia" w:ascii="宋体_GB2312" w:hAnsi="宋体_GB2312" w:eastAsia="宋体_GB2312"/>
          <w:sz w:val="24"/>
          <w:szCs w:val="24"/>
        </w:rPr>
        <w:t>部分：单根绝缘电线电缆火焰垂直蔓延试验</w:t>
      </w:r>
      <w:r>
        <w:rPr>
          <w:rFonts w:ascii="宋体_GB2312" w:hAnsi="宋体_GB2312" w:eastAsia="宋体_GB2312"/>
          <w:sz w:val="24"/>
          <w:szCs w:val="24"/>
        </w:rPr>
        <w:t xml:space="preserve"> 1kW</w:t>
      </w:r>
      <w:r>
        <w:rPr>
          <w:rFonts w:hint="eastAsia" w:ascii="宋体_GB2312" w:hAnsi="宋体_GB2312" w:eastAsia="宋体_GB2312"/>
          <w:sz w:val="24"/>
          <w:szCs w:val="24"/>
        </w:rPr>
        <w:t>预混合型火焰试验方法》的规定进行试验</w:t>
      </w:r>
      <w:r>
        <w:rPr>
          <w:rFonts w:ascii="宋体_GB2312" w:hAnsi="宋体_GB2312" w:eastAsia="宋体_GB2312"/>
          <w:sz w:val="24"/>
          <w:szCs w:val="24"/>
        </w:rPr>
        <w:t>；C</w:t>
      </w:r>
      <w:r>
        <w:rPr>
          <w:rFonts w:hint="eastAsia" w:ascii="宋体_GB2312" w:hAnsi="宋体_GB2312" w:eastAsia="宋体_GB2312"/>
          <w:sz w:val="24"/>
          <w:szCs w:val="24"/>
        </w:rPr>
        <w:t>类成束垂直燃烧应按</w:t>
      </w:r>
      <w:r>
        <w:rPr>
          <w:rFonts w:ascii="宋体_GB2312" w:hAnsi="宋体_GB2312" w:eastAsia="宋体_GB2312"/>
          <w:sz w:val="24"/>
          <w:szCs w:val="24"/>
        </w:rPr>
        <w:t>GB/T 18380.35-2008</w:t>
      </w:r>
      <w:r>
        <w:rPr>
          <w:rFonts w:hint="eastAsia" w:ascii="宋体_GB2312" w:hAnsi="宋体_GB2312" w:eastAsia="宋体_GB2312"/>
          <w:sz w:val="24"/>
          <w:szCs w:val="24"/>
        </w:rPr>
        <w:t>《电缆和光缆在火焰条件下的燃烧试验</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35</w:t>
      </w:r>
      <w:r>
        <w:rPr>
          <w:rFonts w:hint="eastAsia" w:ascii="宋体_GB2312" w:hAnsi="宋体_GB2312" w:eastAsia="宋体_GB2312"/>
          <w:sz w:val="24"/>
          <w:szCs w:val="24"/>
        </w:rPr>
        <w:t>部分：垂直安装的成束电线电缆火焰垂直蔓延试验</w:t>
      </w:r>
      <w:r>
        <w:rPr>
          <w:rFonts w:ascii="宋体_GB2312" w:hAnsi="宋体_GB2312" w:eastAsia="宋体_GB2312"/>
          <w:sz w:val="24"/>
          <w:szCs w:val="24"/>
        </w:rPr>
        <w:t xml:space="preserve"> C</w:t>
      </w:r>
      <w:r>
        <w:rPr>
          <w:rFonts w:hint="eastAsia" w:ascii="宋体_GB2312" w:hAnsi="宋体_GB2312" w:eastAsia="宋体_GB2312"/>
          <w:sz w:val="24"/>
          <w:szCs w:val="24"/>
        </w:rPr>
        <w:t>类》的规定进行试验</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烟密度</w:t>
      </w:r>
      <w:r>
        <w:rPr>
          <w:rFonts w:ascii="宋体_GB2312" w:hAnsi="宋体_GB2312" w:eastAsia="宋体_GB2312"/>
          <w:sz w:val="24"/>
          <w:szCs w:val="24"/>
        </w:rPr>
        <w:t>：</w:t>
      </w:r>
      <w:r>
        <w:rPr>
          <w:rFonts w:hint="eastAsia" w:ascii="宋体_GB2312" w:hAnsi="宋体_GB2312" w:eastAsia="宋体_GB2312"/>
          <w:sz w:val="24"/>
          <w:szCs w:val="24"/>
        </w:rPr>
        <w:t>按</w:t>
      </w:r>
      <w:r>
        <w:rPr>
          <w:rFonts w:ascii="宋体_GB2312" w:hAnsi="宋体_GB2312" w:eastAsia="宋体_GB2312"/>
          <w:sz w:val="24"/>
          <w:szCs w:val="24"/>
        </w:rPr>
        <w:t>GB/T 17651.2</w:t>
      </w:r>
      <w:r>
        <w:rPr>
          <w:rFonts w:hint="eastAsia" w:ascii="宋体_GB2312" w:hAnsi="宋体_GB2312" w:eastAsia="宋体_GB2312"/>
          <w:sz w:val="24"/>
          <w:szCs w:val="24"/>
        </w:rPr>
        <w:t>《电缆或光缆在特定条件下燃烧的烟密度测定</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2</w:t>
      </w:r>
      <w:r>
        <w:rPr>
          <w:rFonts w:hint="eastAsia" w:ascii="宋体_GB2312" w:hAnsi="宋体_GB2312" w:eastAsia="宋体_GB2312"/>
          <w:sz w:val="24"/>
          <w:szCs w:val="24"/>
        </w:rPr>
        <w:t>部分</w:t>
      </w:r>
      <w:r>
        <w:rPr>
          <w:rFonts w:ascii="宋体_GB2312" w:hAnsi="宋体_GB2312" w:eastAsia="宋体_GB2312"/>
          <w:sz w:val="24"/>
          <w:szCs w:val="24"/>
        </w:rPr>
        <w:t>：</w:t>
      </w:r>
      <w:r>
        <w:rPr>
          <w:rFonts w:hint="eastAsia" w:ascii="宋体_GB2312" w:hAnsi="宋体_GB2312" w:eastAsia="宋体_GB2312"/>
          <w:sz w:val="24"/>
          <w:szCs w:val="24"/>
        </w:rPr>
        <w:t>试验步骤和要求》规定进行试验</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腐蚀性</w:t>
      </w:r>
      <w:r>
        <w:rPr>
          <w:rFonts w:ascii="宋体_GB2312" w:hAnsi="宋体_GB2312" w:eastAsia="宋体_GB2312"/>
          <w:sz w:val="24"/>
          <w:szCs w:val="24"/>
        </w:rPr>
        <w:t>：</w:t>
      </w:r>
      <w:r>
        <w:rPr>
          <w:rFonts w:hint="eastAsia" w:ascii="宋体_GB2312" w:hAnsi="宋体_GB2312" w:eastAsia="宋体_GB2312"/>
          <w:sz w:val="24"/>
          <w:szCs w:val="24"/>
        </w:rPr>
        <w:t>按</w:t>
      </w:r>
      <w:r>
        <w:rPr>
          <w:rFonts w:ascii="宋体_GB2312" w:hAnsi="宋体_GB2312" w:eastAsia="宋体_GB2312"/>
          <w:sz w:val="24"/>
          <w:szCs w:val="24"/>
        </w:rPr>
        <w:t>GB/T 17650.2-1998</w:t>
      </w:r>
      <w:r>
        <w:rPr>
          <w:rFonts w:hint="eastAsia" w:ascii="宋体_GB2312" w:hAnsi="宋体_GB2312" w:eastAsia="宋体_GB2312"/>
          <w:sz w:val="24"/>
          <w:szCs w:val="24"/>
        </w:rPr>
        <w:t>《取自电缆或光缆的材料燃烧时释出气体的试验方法</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2</w:t>
      </w:r>
      <w:r>
        <w:rPr>
          <w:rFonts w:hint="eastAsia" w:ascii="宋体_GB2312" w:hAnsi="宋体_GB2312" w:eastAsia="宋体_GB2312"/>
          <w:sz w:val="24"/>
          <w:szCs w:val="24"/>
        </w:rPr>
        <w:t>部分</w:t>
      </w:r>
      <w:r>
        <w:rPr>
          <w:rFonts w:ascii="宋体_GB2312" w:hAnsi="宋体_GB2312" w:eastAsia="宋体_GB2312"/>
          <w:sz w:val="24"/>
          <w:szCs w:val="24"/>
        </w:rPr>
        <w:t xml:space="preserve">： </w:t>
      </w:r>
      <w:r>
        <w:rPr>
          <w:rFonts w:hint="eastAsia" w:ascii="宋体_GB2312" w:hAnsi="宋体_GB2312" w:eastAsia="宋体_GB2312"/>
          <w:sz w:val="24"/>
          <w:szCs w:val="24"/>
        </w:rPr>
        <w:t>用测量</w:t>
      </w:r>
      <w:r>
        <w:rPr>
          <w:rFonts w:ascii="宋体_GB2312" w:hAnsi="宋体_GB2312" w:eastAsia="宋体_GB2312"/>
          <w:sz w:val="24"/>
          <w:szCs w:val="24"/>
        </w:rPr>
        <w:t>pH</w:t>
      </w:r>
      <w:r>
        <w:rPr>
          <w:rFonts w:hint="eastAsia" w:ascii="宋体_GB2312" w:hAnsi="宋体_GB2312" w:eastAsia="宋体_GB2312"/>
          <w:sz w:val="24"/>
          <w:szCs w:val="24"/>
        </w:rPr>
        <w:t>值和电导率来测定气体的酸度》规定进行试验</w:t>
      </w:r>
      <w:r>
        <w:rPr>
          <w:rFonts w:ascii="宋体_GB2312" w:hAnsi="宋体_GB2312" w:eastAsia="宋体_GB2312"/>
          <w:sz w:val="24"/>
          <w:szCs w:val="24"/>
        </w:rPr>
        <w:t xml:space="preserve"> </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pStyle w:val="5"/>
        <w:spacing w:after="12"/>
        <w:rPr>
          <w:rFonts w:ascii="宋体_GB2312" w:hAnsi="宋体_GB2312" w:eastAsia="宋体_GB2312"/>
        </w:rPr>
      </w:pPr>
      <w:r>
        <w:rPr>
          <w:rFonts w:ascii="宋体_GB2312" w:hAnsi="宋体_GB2312" w:eastAsia="宋体_GB2312"/>
        </w:rPr>
        <w:t>2.4.6.4</w:t>
      </w:r>
      <w:r>
        <w:rPr>
          <w:rFonts w:hint="eastAsia" w:ascii="宋体_GB2312" w:hAnsi="宋体_GB2312" w:eastAsia="宋体_GB2312"/>
        </w:rPr>
        <w:t>低温下卷绕试验</w:t>
      </w:r>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低温下卷绕试验要求如下</w:t>
      </w:r>
      <w:r>
        <w:rPr>
          <w:rFonts w:ascii="宋体_GB2312" w:hAnsi="宋体_GB2312" w:eastAsia="宋体_GB2312"/>
          <w:sz w:val="24"/>
          <w:szCs w:val="24"/>
        </w:rPr>
        <w:t xml:space="preserve"> ：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试验方法</w:t>
      </w:r>
      <w:r>
        <w:rPr>
          <w:rFonts w:ascii="宋体_GB2312" w:hAnsi="宋体_GB2312" w:eastAsia="宋体_GB2312"/>
          <w:sz w:val="24"/>
          <w:szCs w:val="24"/>
        </w:rPr>
        <w:t>：</w:t>
      </w:r>
      <w:r>
        <w:rPr>
          <w:rFonts w:hint="eastAsia" w:ascii="宋体_GB2312" w:hAnsi="宋体_GB2312" w:eastAsia="宋体_GB2312"/>
          <w:sz w:val="24"/>
          <w:szCs w:val="24"/>
        </w:rPr>
        <w:t>参见</w:t>
      </w:r>
      <w:r>
        <w:rPr>
          <w:rFonts w:ascii="宋体_GB2312" w:hAnsi="宋体_GB2312" w:eastAsia="宋体_GB2312"/>
          <w:sz w:val="24"/>
          <w:szCs w:val="24"/>
        </w:rPr>
        <w:t xml:space="preserve"> GB/T 7424.2-2008</w:t>
      </w:r>
      <w:r>
        <w:rPr>
          <w:rFonts w:hint="eastAsia" w:ascii="宋体_GB2312" w:hAnsi="宋体_GB2312" w:eastAsia="宋体_GB2312"/>
          <w:sz w:val="24"/>
          <w:szCs w:val="24"/>
        </w:rPr>
        <w:t>方法</w:t>
      </w:r>
      <w:r>
        <w:rPr>
          <w:rFonts w:ascii="宋体_GB2312" w:hAnsi="宋体_GB2312" w:eastAsia="宋体_GB2312"/>
          <w:sz w:val="24"/>
          <w:szCs w:val="24"/>
        </w:rPr>
        <w:t xml:space="preserve"> E11A</w:t>
      </w:r>
      <w:r>
        <w:rPr>
          <w:rFonts w:hint="eastAsia" w:ascii="宋体_GB2312" w:hAnsi="宋体_GB2312" w:eastAsia="宋体_GB2312"/>
          <w:sz w:val="24"/>
          <w:szCs w:val="24"/>
        </w:rPr>
        <w:t>和</w:t>
      </w:r>
      <w:r>
        <w:rPr>
          <w:rFonts w:ascii="宋体_GB2312" w:hAnsi="宋体_GB2312" w:eastAsia="宋体_GB2312"/>
          <w:sz w:val="24"/>
          <w:szCs w:val="24"/>
        </w:rPr>
        <w:t xml:space="preserve"> GB/T 2951.14-2008；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样品长度</w:t>
      </w:r>
      <w:r>
        <w:rPr>
          <w:rFonts w:ascii="宋体_GB2312" w:hAnsi="宋体_GB2312" w:eastAsia="宋体_GB2312"/>
          <w:sz w:val="24"/>
          <w:szCs w:val="24"/>
        </w:rPr>
        <w:t>：</w:t>
      </w:r>
      <w:r>
        <w:rPr>
          <w:rFonts w:hint="eastAsia" w:ascii="宋体_GB2312" w:hAnsi="宋体_GB2312" w:eastAsia="宋体_GB2312"/>
          <w:sz w:val="24"/>
          <w:szCs w:val="24"/>
        </w:rPr>
        <w:t>几米短段</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芯轴直径</w:t>
      </w:r>
      <w:r>
        <w:rPr>
          <w:rFonts w:ascii="宋体_GB2312" w:hAnsi="宋体_GB2312" w:eastAsia="宋体_GB2312"/>
          <w:sz w:val="24"/>
          <w:szCs w:val="24"/>
        </w:rPr>
        <w:t>：</w:t>
      </w:r>
      <w:r>
        <w:rPr>
          <w:rFonts w:hint="eastAsia" w:ascii="宋体_GB2312" w:hAnsi="宋体_GB2312" w:eastAsia="宋体_GB2312"/>
          <w:sz w:val="24"/>
          <w:szCs w:val="24"/>
        </w:rPr>
        <w:t>光缆静态允许弯曲半径的</w:t>
      </w:r>
      <w:r>
        <w:rPr>
          <w:rFonts w:ascii="宋体_GB2312" w:hAnsi="宋体_GB2312" w:eastAsia="宋体_GB2312"/>
          <w:sz w:val="24"/>
          <w:szCs w:val="24"/>
        </w:rPr>
        <w:t>2</w:t>
      </w:r>
      <w:r>
        <w:rPr>
          <w:rFonts w:hint="eastAsia" w:ascii="宋体_GB2312" w:hAnsi="宋体_GB2312" w:eastAsia="宋体_GB2312"/>
          <w:sz w:val="24"/>
          <w:szCs w:val="24"/>
        </w:rPr>
        <w:t>倍，光缆的静态允许弯曲半径见表</w:t>
      </w:r>
      <w:r>
        <w:rPr>
          <w:rFonts w:ascii="宋体_GB2312" w:hAnsi="宋体_GB2312" w:eastAsia="宋体_GB2312"/>
          <w:sz w:val="24"/>
          <w:szCs w:val="24"/>
        </w:rPr>
        <w:t xml:space="preserve">5；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试验温度</w:t>
      </w:r>
      <w:r>
        <w:rPr>
          <w:rFonts w:ascii="宋体_GB2312" w:hAnsi="宋体_GB2312" w:eastAsia="宋体_GB2312"/>
          <w:sz w:val="24"/>
          <w:szCs w:val="24"/>
        </w:rPr>
        <w:t>：</w:t>
      </w:r>
      <w:r>
        <w:rPr>
          <w:rFonts w:hint="eastAsia" w:ascii="宋体_GB2312" w:hAnsi="宋体_GB2312" w:eastAsia="宋体_GB2312"/>
          <w:sz w:val="24"/>
          <w:szCs w:val="24"/>
        </w:rPr>
        <w:t>­</w:t>
      </w:r>
      <w:r>
        <w:rPr>
          <w:rFonts w:ascii="宋体_GB2312" w:hAnsi="宋体_GB2312" w:eastAsia="宋体_GB2312"/>
          <w:sz w:val="24"/>
          <w:szCs w:val="24"/>
        </w:rPr>
        <w:t>20</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保持时间</w:t>
      </w:r>
      <w:r>
        <w:rPr>
          <w:rFonts w:ascii="宋体_GB2312" w:hAnsi="宋体_GB2312" w:eastAsia="宋体_GB2312"/>
          <w:sz w:val="24"/>
          <w:szCs w:val="24"/>
        </w:rPr>
        <w:t>：</w:t>
      </w:r>
      <w:r>
        <w:rPr>
          <w:rFonts w:hint="eastAsia" w:ascii="宋体_GB2312" w:hAnsi="宋体_GB2312" w:eastAsia="宋体_GB2312"/>
          <w:sz w:val="24"/>
          <w:szCs w:val="24"/>
        </w:rPr>
        <w:t>不少于</w:t>
      </w:r>
      <w:r>
        <w:rPr>
          <w:rFonts w:ascii="宋体_GB2312" w:hAnsi="宋体_GB2312" w:eastAsia="宋体_GB2312"/>
          <w:sz w:val="24"/>
          <w:szCs w:val="24"/>
        </w:rPr>
        <w:t>4h</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卷绕圈数</w:t>
      </w:r>
      <w:r>
        <w:rPr>
          <w:rFonts w:ascii="宋体_GB2312" w:hAnsi="宋体_GB2312" w:eastAsia="宋体_GB2312"/>
          <w:sz w:val="24"/>
          <w:szCs w:val="24"/>
        </w:rPr>
        <w:t>：4</w:t>
      </w:r>
      <w:r>
        <w:rPr>
          <w:rFonts w:hint="eastAsia" w:ascii="宋体_GB2312" w:hAnsi="宋体_GB2312" w:eastAsia="宋体_GB2312"/>
          <w:sz w:val="24"/>
          <w:szCs w:val="24"/>
        </w:rPr>
        <w:t>圈</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循环次数</w:t>
      </w:r>
      <w:r>
        <w:rPr>
          <w:rFonts w:ascii="宋体_GB2312" w:hAnsi="宋体_GB2312" w:eastAsia="宋体_GB2312"/>
          <w:sz w:val="24"/>
          <w:szCs w:val="24"/>
        </w:rPr>
        <w:t>：1</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h)</w:t>
      </w:r>
      <w:r>
        <w:rPr>
          <w:rFonts w:hint="eastAsia" w:ascii="宋体_GB2312" w:hAnsi="宋体_GB2312" w:eastAsia="宋体_GB2312"/>
          <w:sz w:val="24"/>
          <w:szCs w:val="24"/>
        </w:rPr>
        <w:t>验收要求</w:t>
      </w:r>
      <w:r>
        <w:rPr>
          <w:rFonts w:ascii="宋体_GB2312" w:hAnsi="宋体_GB2312" w:eastAsia="宋体_GB2312"/>
          <w:sz w:val="24"/>
          <w:szCs w:val="24"/>
        </w:rPr>
        <w:t>：</w:t>
      </w:r>
      <w:r>
        <w:rPr>
          <w:rFonts w:hint="eastAsia" w:ascii="宋体_GB2312" w:hAnsi="宋体_GB2312" w:eastAsia="宋体_GB2312"/>
          <w:sz w:val="24"/>
          <w:szCs w:val="24"/>
        </w:rPr>
        <w:t>试验完毕后，光纤应不断裂，护套应无目视可见的开裂。</w:t>
      </w:r>
    </w:p>
    <w:p>
      <w:pPr>
        <w:pStyle w:val="2"/>
        <w:spacing w:before="0" w:after="0" w:line="276" w:lineRule="auto"/>
        <w:rPr>
          <w:rFonts w:ascii="宋体_GB2312" w:hAnsi="宋体_GB2312" w:eastAsia="宋体_GB2312"/>
          <w:sz w:val="24"/>
          <w:szCs w:val="24"/>
        </w:rPr>
      </w:pPr>
      <w:bookmarkStart w:id="56" w:name="_Toc4593"/>
      <w:bookmarkStart w:id="57" w:name="_Toc54084408"/>
      <w:r>
        <w:rPr>
          <w:rFonts w:ascii="宋体_GB2312" w:hAnsi="宋体_GB2312" w:eastAsia="宋体_GB2312"/>
          <w:sz w:val="24"/>
          <w:szCs w:val="24"/>
        </w:rPr>
        <w:t>2.5</w:t>
      </w:r>
      <w:r>
        <w:rPr>
          <w:rFonts w:hint="eastAsia" w:ascii="宋体_GB2312" w:hAnsi="宋体_GB2312" w:eastAsia="宋体_GB2312"/>
          <w:sz w:val="24"/>
          <w:szCs w:val="24"/>
        </w:rPr>
        <w:t>光缆标志</w:t>
      </w:r>
      <w:bookmarkEnd w:id="56"/>
      <w:bookmarkEnd w:id="57"/>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2.5.1光缆应在护套表面沿长度方向作永久性标志，标志应不影响光缆的任何性能。相邻标志的起始点间的间隔距离应不大于1m。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2.5.2光缆护套表面应印有：</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(1) </w:t>
      </w:r>
      <w:r>
        <w:rPr>
          <w:rFonts w:hint="eastAsia" w:ascii="宋体_GB2312" w:hAnsi="宋体_GB2312" w:eastAsia="宋体_GB2312"/>
          <w:sz w:val="24"/>
          <w:szCs w:val="24"/>
        </w:rPr>
        <w:t>计米长度（</w:t>
      </w:r>
      <w:r>
        <w:rPr>
          <w:rFonts w:ascii="宋体_GB2312" w:hAnsi="宋体_GB2312" w:eastAsia="宋体_GB2312"/>
          <w:sz w:val="24"/>
          <w:szCs w:val="24"/>
        </w:rPr>
        <w:t>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(2) </w:t>
      </w:r>
      <w:r>
        <w:rPr>
          <w:rFonts w:hint="eastAsia" w:ascii="宋体_GB2312" w:hAnsi="宋体_GB2312" w:eastAsia="宋体_GB2312"/>
          <w:sz w:val="24"/>
          <w:szCs w:val="24"/>
        </w:rPr>
        <w:t>光纤品牌及光缆型号</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(3) </w:t>
      </w:r>
      <w:r>
        <w:rPr>
          <w:rFonts w:hint="eastAsia" w:ascii="宋体_GB2312" w:hAnsi="宋体_GB2312" w:eastAsia="宋体_GB2312"/>
          <w:sz w:val="24"/>
          <w:szCs w:val="24"/>
        </w:rPr>
        <w:t>中国联通或者</w:t>
      </w:r>
      <w:r>
        <w:rPr>
          <w:rFonts w:ascii="宋体_GB2312" w:hAnsi="宋体_GB2312" w:eastAsia="宋体_GB2312"/>
          <w:sz w:val="24"/>
          <w:szCs w:val="24"/>
        </w:rPr>
        <w:t>CHINA UNICOM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(4) </w:t>
      </w:r>
      <w:r>
        <w:rPr>
          <w:rFonts w:hint="eastAsia" w:ascii="宋体_GB2312" w:hAnsi="宋体_GB2312" w:eastAsia="宋体_GB2312"/>
          <w:sz w:val="24"/>
          <w:szCs w:val="24"/>
        </w:rPr>
        <w:t>制造厂家（英文名缩写）</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(5) </w:t>
      </w:r>
      <w:r>
        <w:rPr>
          <w:rFonts w:hint="eastAsia" w:ascii="宋体_GB2312" w:hAnsi="宋体_GB2312" w:eastAsia="宋体_GB2312"/>
          <w:sz w:val="24"/>
          <w:szCs w:val="24"/>
        </w:rPr>
        <w:t>产地（精确到地市，全拼音）</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(6) </w:t>
      </w:r>
      <w:r>
        <w:rPr>
          <w:rFonts w:hint="eastAsia" w:ascii="宋体_GB2312" w:hAnsi="宋体_GB2312" w:eastAsia="宋体_GB2312"/>
          <w:sz w:val="24"/>
          <w:szCs w:val="24"/>
        </w:rPr>
        <w:t>制造年月</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以上标志在光缆的寿命期间内必须是永久和清晰的，并与护套粘附牢固，经过磨损试验后应仍可辨认。标志中计米长度的偏差应在0-1.0%范围内，以保证真实长度不小于计米长度。</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2.5.3产品型号编制方法为：</w:t>
      </w:r>
    </w:p>
    <w:p>
      <w:pPr>
        <w:pStyle w:val="70"/>
        <w:widowControl/>
        <w:autoSpaceDE w:val="0"/>
        <w:autoSpaceDN w:val="0"/>
        <w:spacing w:line="276" w:lineRule="auto"/>
        <w:jc w:val="center"/>
        <w:textAlignment w:val="bottom"/>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 xml:space="preserve">9  </w:t>
      </w:r>
      <w:r>
        <w:rPr>
          <w:rFonts w:hint="eastAsia" w:ascii="宋体_GB2312" w:hAnsi="宋体_GB2312" w:eastAsia="宋体_GB2312"/>
          <w:sz w:val="24"/>
          <w:szCs w:val="24"/>
        </w:rPr>
        <w:t>产品</w:t>
      </w:r>
      <w:r>
        <w:rPr>
          <w:rFonts w:ascii="宋体_GB2312" w:hAnsi="宋体_GB2312" w:eastAsia="宋体_GB2312"/>
          <w:sz w:val="24"/>
          <w:szCs w:val="24"/>
        </w:rPr>
        <w:t>型号编制方法表</w:t>
      </w:r>
    </w:p>
    <w:tbl>
      <w:tblPr>
        <w:tblStyle w:val="50"/>
        <w:tblW w:w="9629" w:type="dxa"/>
        <w:tblInd w:w="108" w:type="dxa"/>
        <w:tblLayout w:type="fixed"/>
        <w:tblCellMar>
          <w:top w:w="0" w:type="dxa"/>
          <w:left w:w="108" w:type="dxa"/>
          <w:bottom w:w="0" w:type="dxa"/>
          <w:right w:w="108" w:type="dxa"/>
        </w:tblCellMar>
      </w:tblPr>
      <w:tblGrid>
        <w:gridCol w:w="1276"/>
        <w:gridCol w:w="7179"/>
        <w:gridCol w:w="1174"/>
      </w:tblGrid>
      <w:tr>
        <w:tblPrEx>
          <w:tblCellMar>
            <w:top w:w="0" w:type="dxa"/>
            <w:left w:w="108" w:type="dxa"/>
            <w:bottom w:w="0" w:type="dxa"/>
            <w:right w:w="108" w:type="dxa"/>
          </w:tblCellMar>
        </w:tblPrEx>
        <w:trPr>
          <w:trHeight w:val="308" w:hRule="atLeast"/>
        </w:trPr>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rPr>
            </w:pPr>
            <w:r>
              <w:rPr>
                <w:rFonts w:hint="eastAsia" w:ascii="宋体_GB2312" w:hAnsi="宋体_GB2312" w:eastAsia="宋体_GB2312" w:cs="宋体"/>
                <w:szCs w:val="24"/>
              </w:rPr>
              <w:t>结构型式</w:t>
            </w:r>
          </w:p>
        </w:tc>
        <w:tc>
          <w:tcPr>
            <w:tcW w:w="717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rPr>
            </w:pPr>
            <w:r>
              <w:rPr>
                <w:rFonts w:hint="eastAsia" w:ascii="宋体_GB2312" w:hAnsi="宋体_GB2312" w:eastAsia="宋体_GB2312" w:cs="宋体"/>
                <w:szCs w:val="24"/>
              </w:rPr>
              <w:t>名称</w:t>
            </w:r>
          </w:p>
        </w:tc>
        <w:tc>
          <w:tcPr>
            <w:tcW w:w="1174"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76" w:lineRule="auto"/>
              <w:jc w:val="center"/>
              <w:textAlignment w:val="auto"/>
              <w:rPr>
                <w:rFonts w:ascii="宋体_GB2312" w:hAnsi="宋体_GB2312" w:eastAsia="宋体_GB2312" w:cs="宋体"/>
                <w:szCs w:val="24"/>
              </w:rPr>
            </w:pPr>
            <w:r>
              <w:rPr>
                <w:rFonts w:hint="eastAsia" w:ascii="宋体_GB2312" w:hAnsi="宋体_GB2312" w:eastAsia="宋体_GB2312" w:cs="宋体"/>
                <w:szCs w:val="24"/>
              </w:rPr>
              <w:t>适用范围</w:t>
            </w: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cs="宋体"/>
                <w:szCs w:val="24"/>
              </w:rPr>
              <w:t>GJXV</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金属加强件、聚氯乙烯护套、通信用室内蝶形光缆</w:t>
            </w:r>
          </w:p>
        </w:tc>
        <w:tc>
          <w:tcPr>
            <w:tcW w:w="1174" w:type="dxa"/>
            <w:vMerge w:val="restart"/>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szCs w:val="24"/>
              </w:rPr>
              <w:t>室内</w:t>
            </w:r>
            <w:r>
              <w:rPr>
                <w:rFonts w:hint="eastAsia" w:ascii="宋体_GB2312" w:hAnsi="宋体_GB2312" w:eastAsia="宋体_GB2312" w:cs="宋体"/>
                <w:szCs w:val="24"/>
              </w:rPr>
              <w:t>引入用</w:t>
            </w: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cs="宋体"/>
                <w:szCs w:val="24"/>
              </w:rPr>
              <w:t>GJXH</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金属加强件、低烟无卤阻燃聚烯烃护套、通信用室内蝶形光缆</w:t>
            </w:r>
          </w:p>
        </w:tc>
        <w:tc>
          <w:tcPr>
            <w:tcW w:w="1174"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rPr>
            </w:pP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cs="宋体"/>
                <w:szCs w:val="24"/>
              </w:rPr>
              <w:t>GJXFH</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szCs w:val="24"/>
              </w:rPr>
              <w:t>非金属</w:t>
            </w:r>
            <w:r>
              <w:rPr>
                <w:rFonts w:hint="eastAsia" w:ascii="宋体_GB2312" w:hAnsi="宋体_GB2312" w:eastAsia="宋体_GB2312" w:cs="宋体"/>
                <w:szCs w:val="24"/>
              </w:rPr>
              <w:t>加强件、低烟无卤阻燃聚烯烃护套、通信用室内蝶形光缆</w:t>
            </w:r>
          </w:p>
        </w:tc>
        <w:tc>
          <w:tcPr>
            <w:tcW w:w="1174"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rPr>
            </w:pP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szCs w:val="24"/>
              </w:rPr>
              <w:t>GJYXCH</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金属增强构件、金属加强件、低烟无卤阻燃聚烯烃护套、通信用自承式蝶形光缆</w:t>
            </w:r>
          </w:p>
        </w:tc>
        <w:tc>
          <w:tcPr>
            <w:tcW w:w="1174" w:type="dxa"/>
            <w:vMerge w:val="restart"/>
            <w:tcBorders>
              <w:top w:val="nil"/>
              <w:left w:val="nil"/>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室外架空</w:t>
            </w:r>
            <w:r>
              <w:rPr>
                <w:rFonts w:hint="eastAsia" w:ascii="宋体_GB2312" w:hAnsi="宋体_GB2312" w:eastAsia="宋体_GB2312"/>
                <w:szCs w:val="24"/>
              </w:rPr>
              <w:t>引入</w:t>
            </w:r>
            <w:r>
              <w:rPr>
                <w:rFonts w:hint="eastAsia" w:ascii="宋体_GB2312" w:hAnsi="宋体_GB2312" w:eastAsia="宋体_GB2312" w:cs="宋体"/>
                <w:szCs w:val="24"/>
              </w:rPr>
              <w:t>用</w:t>
            </w: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szCs w:val="24"/>
              </w:rPr>
            </w:pPr>
            <w:r>
              <w:rPr>
                <w:rFonts w:ascii="宋体_GB2312" w:hAnsi="宋体_GB2312" w:eastAsia="宋体_GB2312"/>
                <w:szCs w:val="24"/>
              </w:rPr>
              <w:t>GJYXFCH</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金属增强构件、非金属加强件、低烟无卤阻燃聚烯烃护套、通信用自承式蝶形光缆</w:t>
            </w:r>
          </w:p>
        </w:tc>
        <w:tc>
          <w:tcPr>
            <w:tcW w:w="1174" w:type="dxa"/>
            <w:vMerge w:val="continue"/>
            <w:tcBorders>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szCs w:val="24"/>
              </w:rPr>
              <w:t>GJYXH03</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金属加强件、低烟无卤阻燃聚烯烃护套，聚乙烯外护套、通信用管道用蝶形光缆</w:t>
            </w:r>
          </w:p>
        </w:tc>
        <w:tc>
          <w:tcPr>
            <w:tcW w:w="1174" w:type="dxa"/>
            <w:vMerge w:val="restart"/>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室外管道引入用</w:t>
            </w: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szCs w:val="24"/>
              </w:rPr>
              <w:t>GJYXFH03</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非金属加强件、低烟无卤阻燃聚烯烃护套，聚乙烯外护套、通信用管道用引入蝶形光缆</w:t>
            </w:r>
          </w:p>
        </w:tc>
        <w:tc>
          <w:tcPr>
            <w:tcW w:w="1174"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rPr>
            </w:pPr>
          </w:p>
        </w:tc>
      </w:tr>
      <w:tr>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ascii="宋体_GB2312" w:hAnsi="宋体_GB2312" w:eastAsia="宋体_GB2312"/>
                <w:szCs w:val="24"/>
              </w:rPr>
              <w:t>GJYXFHA</w:t>
            </w:r>
          </w:p>
        </w:tc>
        <w:tc>
          <w:tcPr>
            <w:tcW w:w="7179" w:type="dxa"/>
            <w:tcBorders>
              <w:top w:val="nil"/>
              <w:left w:val="nil"/>
              <w:bottom w:val="single" w:color="auto" w:sz="4" w:space="0"/>
              <w:right w:val="single" w:color="auto" w:sz="4" w:space="0"/>
            </w:tcBorders>
            <w:shd w:val="clear" w:color="auto" w:fill="auto"/>
            <w:vAlign w:val="center"/>
          </w:tcPr>
          <w:p>
            <w:pPr>
              <w:spacing w:before="120" w:beforeLines="50" w:line="300" w:lineRule="auto"/>
              <w:rPr>
                <w:rFonts w:ascii="宋体_GB2312" w:hAnsi="宋体_GB2312" w:eastAsia="宋体_GB2312" w:cs="宋体"/>
                <w:szCs w:val="24"/>
              </w:rPr>
            </w:pPr>
            <w:r>
              <w:rPr>
                <w:rFonts w:hint="eastAsia" w:ascii="宋体_GB2312" w:hAnsi="宋体_GB2312" w:eastAsia="宋体_GB2312" w:cs="宋体"/>
                <w:szCs w:val="24"/>
              </w:rPr>
              <w:t>非金属加强件、低烟无卤阻燃聚烯烃护套，铝一聚乙烯粘接外护套、通信用管道用蝶形光缆</w:t>
            </w:r>
          </w:p>
        </w:tc>
        <w:tc>
          <w:tcPr>
            <w:tcW w:w="1174" w:type="dxa"/>
            <w:vMerge w:val="continue"/>
            <w:tcBorders>
              <w:top w:val="nil"/>
              <w:left w:val="single" w:color="auto" w:sz="4" w:space="0"/>
              <w:bottom w:val="single" w:color="auto" w:sz="4" w:space="0"/>
              <w:right w:val="single" w:color="auto" w:sz="4" w:space="0"/>
            </w:tcBorders>
            <w:vAlign w:val="center"/>
          </w:tcPr>
          <w:p>
            <w:pPr>
              <w:widowControl/>
              <w:adjustRightInd/>
              <w:spacing w:line="276" w:lineRule="auto"/>
              <w:jc w:val="left"/>
              <w:textAlignment w:val="auto"/>
              <w:rPr>
                <w:rFonts w:ascii="宋体_GB2312" w:hAnsi="宋体_GB2312" w:eastAsia="宋体_GB2312" w:cs="宋体"/>
                <w:szCs w:val="24"/>
              </w:rPr>
            </w:pPr>
          </w:p>
        </w:tc>
      </w:tr>
    </w:tbl>
    <w:p>
      <w:pPr>
        <w:pStyle w:val="70"/>
        <w:widowControl/>
        <w:autoSpaceDE w:val="0"/>
        <w:autoSpaceDN w:val="0"/>
        <w:spacing w:line="276" w:lineRule="auto"/>
        <w:textAlignment w:val="bottom"/>
        <w:rPr>
          <w:rFonts w:ascii="宋体_GB2312" w:hAnsi="宋体_GB2312" w:eastAsia="宋体_GB2312"/>
          <w:sz w:val="24"/>
          <w:szCs w:val="24"/>
        </w:rPr>
      </w:pP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2.5.4加工订货时应标明光缆产品标记, </w:t>
      </w:r>
      <w:r>
        <w:rPr>
          <w:rFonts w:hint="eastAsia" w:ascii="宋体_GB2312" w:hAnsi="宋体_GB2312" w:eastAsia="宋体_GB2312"/>
          <w:sz w:val="24"/>
          <w:szCs w:val="24"/>
        </w:rPr>
        <w:t>它由光缆的型号组成。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例如：非金属加强件、</w:t>
      </w:r>
      <w:r>
        <w:rPr>
          <w:rFonts w:hint="eastAsia" w:ascii="宋体_GB2312" w:hAnsi="宋体_GB2312" w:eastAsia="宋体_GB2312" w:cs="Times New Roman"/>
          <w:sz w:val="24"/>
          <w:szCs w:val="24"/>
        </w:rPr>
        <w:t>低烟无卤阻燃聚烯烃护套</w:t>
      </w:r>
      <w:r>
        <w:rPr>
          <w:rFonts w:hint="eastAsia" w:ascii="宋体_GB2312" w:hAnsi="宋体_GB2312" w:eastAsia="宋体_GB2312"/>
          <w:sz w:val="24"/>
          <w:szCs w:val="24"/>
        </w:rPr>
        <w:t>、蝶形光缆，包含</w:t>
      </w:r>
      <w:r>
        <w:rPr>
          <w:rFonts w:ascii="宋体_GB2312" w:hAnsi="宋体_GB2312" w:eastAsia="宋体_GB2312"/>
          <w:sz w:val="24"/>
          <w:szCs w:val="24"/>
        </w:rPr>
        <w:t>1</w:t>
      </w:r>
      <w:r>
        <w:rPr>
          <w:rFonts w:hint="eastAsia" w:ascii="宋体_GB2312" w:hAnsi="宋体_GB2312" w:eastAsia="宋体_GB2312"/>
          <w:sz w:val="24"/>
          <w:szCs w:val="24"/>
        </w:rPr>
        <w:t>根</w:t>
      </w:r>
      <w:r>
        <w:rPr>
          <w:rFonts w:ascii="宋体_GB2312" w:hAnsi="宋体_GB2312" w:eastAsia="宋体_GB2312"/>
          <w:sz w:val="24"/>
          <w:szCs w:val="24"/>
        </w:rPr>
        <w:t>B6.a2类光纤，则产品的标记为：GJXFH 1B6a2</w:t>
      </w:r>
    </w:p>
    <w:p>
      <w:pPr>
        <w:spacing w:before="120" w:beforeLines="50" w:line="300" w:lineRule="auto"/>
        <w:ind w:firstLine="480" w:firstLineChars="200"/>
        <w:rPr>
          <w:rFonts w:ascii="宋体_GB2312" w:hAnsi="宋体_GB2312" w:eastAsia="宋体_GB2312"/>
          <w:kern w:val="2"/>
          <w:sz w:val="24"/>
          <w:szCs w:val="24"/>
        </w:rPr>
      </w:pPr>
    </w:p>
    <w:bookmarkEnd w:id="12"/>
    <w:bookmarkEnd w:id="13"/>
    <w:p>
      <w:pPr>
        <w:pStyle w:val="2"/>
        <w:spacing w:before="0" w:after="0" w:line="276" w:lineRule="auto"/>
        <w:rPr>
          <w:rFonts w:ascii="宋体_GB2312" w:hAnsi="宋体_GB2312" w:eastAsia="宋体_GB2312"/>
          <w:sz w:val="24"/>
          <w:szCs w:val="24"/>
        </w:rPr>
      </w:pPr>
      <w:bookmarkStart w:id="58" w:name="_Toc19390"/>
      <w:bookmarkStart w:id="59" w:name="_Toc54084409"/>
      <w:r>
        <w:rPr>
          <w:rFonts w:ascii="宋体_GB2312" w:hAnsi="宋体_GB2312" w:eastAsia="宋体_GB2312"/>
          <w:sz w:val="24"/>
          <w:szCs w:val="24"/>
        </w:rPr>
        <w:t>2.6</w:t>
      </w:r>
      <w:r>
        <w:rPr>
          <w:rFonts w:hint="eastAsia" w:ascii="宋体_GB2312" w:hAnsi="宋体_GB2312" w:eastAsia="宋体_GB2312"/>
          <w:sz w:val="24"/>
          <w:szCs w:val="24"/>
        </w:rPr>
        <w:t>其它性能和要求</w:t>
      </w:r>
      <w:bookmarkEnd w:id="58"/>
      <w:bookmarkEnd w:id="5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本</w:t>
      </w:r>
      <w:r>
        <w:rPr>
          <w:rFonts w:ascii="宋体_GB2312" w:hAnsi="宋体_GB2312" w:eastAsia="宋体_GB2312"/>
          <w:sz w:val="24"/>
          <w:szCs w:val="24"/>
        </w:rPr>
        <w:t>技术规范书中</w:t>
      </w:r>
      <w:r>
        <w:rPr>
          <w:rFonts w:hint="eastAsia" w:ascii="宋体_GB2312" w:hAnsi="宋体_GB2312" w:eastAsia="宋体_GB2312"/>
          <w:sz w:val="24"/>
          <w:szCs w:val="24"/>
        </w:rPr>
        <w:t>未</w:t>
      </w:r>
      <w:r>
        <w:rPr>
          <w:rFonts w:ascii="宋体_GB2312" w:hAnsi="宋体_GB2312" w:eastAsia="宋体_GB2312"/>
          <w:sz w:val="24"/>
          <w:szCs w:val="24"/>
        </w:rPr>
        <w:t>规定的</w:t>
      </w:r>
      <w:r>
        <w:rPr>
          <w:rFonts w:hint="eastAsia" w:ascii="宋体_GB2312" w:hAnsi="宋体_GB2312" w:eastAsia="宋体_GB2312"/>
          <w:sz w:val="24"/>
          <w:szCs w:val="24"/>
        </w:rPr>
        <w:t>其它</w:t>
      </w:r>
      <w:r>
        <w:rPr>
          <w:rFonts w:ascii="宋体_GB2312" w:hAnsi="宋体_GB2312" w:eastAsia="宋体_GB2312"/>
          <w:sz w:val="24"/>
          <w:szCs w:val="24"/>
        </w:rPr>
        <w:t>技术指标，应满足YD/T 1997.1-2014</w:t>
      </w:r>
      <w:r>
        <w:rPr>
          <w:rFonts w:hint="eastAsia" w:ascii="宋体_GB2312" w:hAnsi="宋体_GB2312" w:eastAsia="宋体_GB2312"/>
          <w:sz w:val="24"/>
          <w:szCs w:val="24"/>
        </w:rPr>
        <w:t>《通信用引入光缆</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部分</w:t>
      </w:r>
      <w:r>
        <w:rPr>
          <w:rFonts w:ascii="宋体_GB2312" w:hAnsi="宋体_GB2312" w:eastAsia="宋体_GB2312"/>
          <w:sz w:val="24"/>
          <w:szCs w:val="24"/>
        </w:rPr>
        <w:t xml:space="preserve">： </w:t>
      </w:r>
      <w:r>
        <w:rPr>
          <w:rFonts w:hint="eastAsia" w:ascii="宋体_GB2312" w:hAnsi="宋体_GB2312" w:eastAsia="宋体_GB2312"/>
          <w:sz w:val="24"/>
          <w:szCs w:val="24"/>
        </w:rPr>
        <w:t>蝶形光缆》</w:t>
      </w:r>
      <w:r>
        <w:rPr>
          <w:rFonts w:ascii="宋体_GB2312" w:hAnsi="宋体_GB2312" w:eastAsia="宋体_GB2312"/>
          <w:sz w:val="24"/>
          <w:szCs w:val="24"/>
        </w:rPr>
        <w:t>和YD/T 1954-2013《接入网用弯曲损耗不敏感单模光纤特性》中的</w:t>
      </w:r>
      <w:r>
        <w:rPr>
          <w:rFonts w:hint="eastAsia" w:ascii="宋体_GB2312" w:hAnsi="宋体_GB2312" w:eastAsia="宋体_GB2312"/>
          <w:sz w:val="24"/>
          <w:szCs w:val="24"/>
        </w:rPr>
        <w:t>规定</w:t>
      </w:r>
      <w:r>
        <w:rPr>
          <w:rFonts w:ascii="宋体_GB2312" w:hAnsi="宋体_GB2312" w:eastAsia="宋体_GB2312"/>
          <w:sz w:val="24"/>
          <w:szCs w:val="24"/>
        </w:rPr>
        <w:t>要求。</w:t>
      </w:r>
    </w:p>
    <w:p>
      <w:pPr>
        <w:pStyle w:val="70"/>
        <w:widowControl/>
        <w:autoSpaceDE w:val="0"/>
        <w:autoSpaceDN w:val="0"/>
        <w:spacing w:line="276" w:lineRule="auto"/>
        <w:ind w:firstLine="480" w:firstLineChars="200"/>
        <w:textAlignment w:val="bottom"/>
        <w:rPr>
          <w:rFonts w:ascii="宋体_GB2312" w:hAnsi="宋体_GB2312" w:eastAsia="宋体_GB2312"/>
          <w:sz w:val="24"/>
          <w:szCs w:val="24"/>
        </w:rPr>
      </w:pPr>
    </w:p>
    <w:p>
      <w:pPr>
        <w:pStyle w:val="2"/>
        <w:spacing w:before="0" w:after="0" w:line="276" w:lineRule="auto"/>
        <w:rPr>
          <w:rFonts w:ascii="宋体_GB2312" w:hAnsi="宋体_GB2312" w:eastAsia="宋体_GB2312"/>
          <w:sz w:val="24"/>
          <w:szCs w:val="24"/>
        </w:rPr>
      </w:pPr>
      <w:bookmarkStart w:id="60" w:name="_Toc19721"/>
      <w:bookmarkStart w:id="61" w:name="_Toc54084410"/>
      <w:bookmarkStart w:id="62" w:name="_Toc161966692"/>
      <w:r>
        <w:rPr>
          <w:rFonts w:ascii="宋体_GB2312" w:hAnsi="宋体_GB2312" w:eastAsia="宋体_GB2312"/>
          <w:sz w:val="24"/>
          <w:szCs w:val="24"/>
        </w:rPr>
        <w:t xml:space="preserve">3 </w:t>
      </w:r>
      <w:r>
        <w:rPr>
          <w:rFonts w:hint="eastAsia" w:ascii="宋体_GB2312" w:hAnsi="宋体_GB2312" w:eastAsia="宋体_GB2312"/>
          <w:sz w:val="24"/>
          <w:szCs w:val="24"/>
        </w:rPr>
        <w:t>预制</w:t>
      </w:r>
      <w:r>
        <w:rPr>
          <w:rFonts w:ascii="宋体_GB2312" w:hAnsi="宋体_GB2312" w:eastAsia="宋体_GB2312"/>
          <w:sz w:val="24"/>
          <w:szCs w:val="24"/>
        </w:rPr>
        <w:t>成端</w:t>
      </w:r>
      <w:r>
        <w:rPr>
          <w:rFonts w:hint="eastAsia" w:ascii="宋体_GB2312" w:hAnsi="宋体_GB2312" w:eastAsia="宋体_GB2312"/>
          <w:sz w:val="24"/>
          <w:szCs w:val="24"/>
        </w:rPr>
        <w:t>蝶形光缆主要技术要求和指标</w:t>
      </w:r>
      <w:bookmarkEnd w:id="60"/>
      <w:bookmarkEnd w:id="61"/>
    </w:p>
    <w:p>
      <w:pPr>
        <w:pStyle w:val="2"/>
        <w:spacing w:before="0" w:after="0" w:line="276" w:lineRule="auto"/>
        <w:rPr>
          <w:rFonts w:ascii="宋体_GB2312" w:hAnsi="宋体_GB2312" w:eastAsia="宋体_GB2312"/>
          <w:sz w:val="24"/>
          <w:szCs w:val="24"/>
        </w:rPr>
      </w:pPr>
      <w:bookmarkStart w:id="63" w:name="_Toc3970"/>
      <w:bookmarkStart w:id="64" w:name="_Toc54084411"/>
      <w:bookmarkStart w:id="65" w:name="_Toc326160309"/>
      <w:r>
        <w:rPr>
          <w:rFonts w:ascii="宋体_GB2312" w:hAnsi="宋体_GB2312" w:eastAsia="宋体_GB2312"/>
          <w:sz w:val="24"/>
          <w:szCs w:val="24"/>
        </w:rPr>
        <w:t>3.1</w:t>
      </w:r>
      <w:r>
        <w:rPr>
          <w:rFonts w:hint="eastAsia" w:ascii="宋体_GB2312" w:hAnsi="宋体_GB2312" w:eastAsia="宋体_GB2312"/>
          <w:sz w:val="24"/>
          <w:szCs w:val="24"/>
        </w:rPr>
        <w:t>环境要求</w:t>
      </w:r>
      <w:bookmarkEnd w:id="63"/>
      <w:bookmarkEnd w:id="64"/>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预制成端型蝶形光缆的环境要求如下：</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工作温度：</w:t>
      </w:r>
      <w:r>
        <w:rPr>
          <w:rFonts w:ascii="宋体_GB2312" w:hAnsi="宋体_GB2312" w:eastAsia="宋体_GB2312"/>
          <w:sz w:val="24"/>
          <w:szCs w:val="24"/>
        </w:rPr>
        <w:t>-40℃～+70℃。</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贮存温度：</w:t>
      </w:r>
      <w:r>
        <w:rPr>
          <w:rFonts w:ascii="宋体_GB2312" w:hAnsi="宋体_GB2312" w:eastAsia="宋体_GB2312"/>
          <w:sz w:val="24"/>
          <w:szCs w:val="24"/>
        </w:rPr>
        <w:t>-40℃～+70℃。</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相对湿度：≤</w:t>
      </w:r>
      <w:r>
        <w:rPr>
          <w:rFonts w:ascii="宋体_GB2312" w:hAnsi="宋体_GB2312" w:eastAsia="宋体_GB2312"/>
          <w:sz w:val="24"/>
          <w:szCs w:val="24"/>
        </w:rPr>
        <w:t>95％（+30℃时）。</w:t>
      </w:r>
    </w:p>
    <w:p>
      <w:pPr>
        <w:pStyle w:val="2"/>
        <w:spacing w:before="0" w:after="0" w:line="276" w:lineRule="auto"/>
        <w:rPr>
          <w:rFonts w:ascii="宋体_GB2312" w:hAnsi="宋体_GB2312" w:eastAsia="宋体_GB2312"/>
          <w:sz w:val="24"/>
          <w:szCs w:val="24"/>
        </w:rPr>
      </w:pPr>
      <w:bookmarkStart w:id="66" w:name="_Toc15800"/>
      <w:bookmarkStart w:id="67" w:name="_Toc54084412"/>
      <w:r>
        <w:rPr>
          <w:rFonts w:ascii="宋体_GB2312" w:hAnsi="宋体_GB2312" w:eastAsia="宋体_GB2312"/>
          <w:sz w:val="24"/>
          <w:szCs w:val="24"/>
        </w:rPr>
        <w:t>3.2</w:t>
      </w:r>
      <w:r>
        <w:rPr>
          <w:rFonts w:hint="eastAsia" w:ascii="宋体_GB2312" w:hAnsi="宋体_GB2312" w:eastAsia="宋体_GB2312"/>
          <w:sz w:val="24"/>
          <w:szCs w:val="24"/>
        </w:rPr>
        <w:t>材料与结构</w:t>
      </w:r>
      <w:bookmarkEnd w:id="66"/>
      <w:bookmarkEnd w:id="67"/>
    </w:p>
    <w:p>
      <w:pPr>
        <w:pStyle w:val="4"/>
        <w:spacing w:after="12"/>
        <w:rPr>
          <w:rFonts w:ascii="宋体_GB2312" w:hAnsi="宋体_GB2312" w:eastAsia="宋体_GB2312"/>
        </w:rPr>
      </w:pPr>
      <w:bookmarkStart w:id="68" w:name="_Toc14373"/>
      <w:bookmarkStart w:id="69" w:name="_Toc54084413"/>
      <w:r>
        <w:rPr>
          <w:rFonts w:ascii="宋体_GB2312" w:hAnsi="宋体_GB2312" w:eastAsia="宋体_GB2312"/>
        </w:rPr>
        <w:t>3.2.1</w:t>
      </w:r>
      <w:r>
        <w:rPr>
          <w:rFonts w:hint="eastAsia" w:ascii="宋体_GB2312" w:hAnsi="宋体_GB2312" w:eastAsia="宋体_GB2312"/>
        </w:rPr>
        <w:t>光缆</w:t>
      </w:r>
      <w:bookmarkEnd w:id="68"/>
      <w:bookmarkEnd w:id="6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组件用的蝶形光缆应符合</w:t>
      </w:r>
      <w:r>
        <w:rPr>
          <w:rFonts w:ascii="宋体_GB2312" w:hAnsi="宋体_GB2312" w:eastAsia="宋体_GB2312"/>
          <w:sz w:val="24"/>
          <w:szCs w:val="24"/>
        </w:rPr>
        <w:t>YD/T 1997.1-2014</w:t>
      </w:r>
      <w:r>
        <w:rPr>
          <w:rFonts w:hint="eastAsia" w:ascii="宋体_GB2312" w:hAnsi="宋体_GB2312" w:eastAsia="宋体_GB2312"/>
          <w:sz w:val="24"/>
          <w:szCs w:val="24"/>
        </w:rPr>
        <w:t>《通信用引入光缆</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部分</w:t>
      </w:r>
      <w:r>
        <w:rPr>
          <w:rFonts w:ascii="宋体_GB2312" w:hAnsi="宋体_GB2312" w:eastAsia="宋体_GB2312"/>
          <w:sz w:val="24"/>
          <w:szCs w:val="24"/>
        </w:rPr>
        <w:t xml:space="preserve">： </w:t>
      </w:r>
      <w:r>
        <w:rPr>
          <w:rFonts w:hint="eastAsia" w:ascii="宋体_GB2312" w:hAnsi="宋体_GB2312" w:eastAsia="宋体_GB2312"/>
          <w:sz w:val="24"/>
          <w:szCs w:val="24"/>
        </w:rPr>
        <w:t>蝶形光缆》和本技术规范书的要求，光缆结构包括室内布线型和架空引入型。</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光缆护套颜色为白色或黑色，也可以是用户所需的其它颜色。用于室外的组件宜为黑色。</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光缆中</w:t>
      </w:r>
      <w:r>
        <w:rPr>
          <w:rFonts w:ascii="宋体_GB2312" w:hAnsi="宋体_GB2312" w:eastAsia="宋体_GB2312"/>
          <w:sz w:val="24"/>
          <w:szCs w:val="24"/>
        </w:rPr>
        <w:t>B6</w:t>
      </w:r>
      <w:r>
        <w:rPr>
          <w:rFonts w:hint="eastAsia" w:ascii="宋体_GB2312" w:hAnsi="宋体_GB2312" w:eastAsia="宋体_GB2312"/>
          <w:sz w:val="24"/>
          <w:szCs w:val="24"/>
        </w:rPr>
        <w:t>型单模光纤性能应符合</w:t>
      </w:r>
      <w:r>
        <w:rPr>
          <w:rFonts w:ascii="宋体_GB2312" w:hAnsi="宋体_GB2312" w:eastAsia="宋体_GB2312"/>
          <w:sz w:val="24"/>
          <w:szCs w:val="24"/>
        </w:rPr>
        <w:t>YD/T 1954-2013《接入网用弯曲损耗不敏感单模光纤特性》</w:t>
      </w:r>
      <w:r>
        <w:rPr>
          <w:rFonts w:hint="eastAsia" w:ascii="宋体_GB2312" w:hAnsi="宋体_GB2312" w:eastAsia="宋体_GB2312"/>
          <w:sz w:val="24"/>
          <w:szCs w:val="24"/>
        </w:rPr>
        <w:t>的要求。</w:t>
      </w:r>
    </w:p>
    <w:p>
      <w:pPr>
        <w:pStyle w:val="4"/>
        <w:spacing w:after="12"/>
        <w:rPr>
          <w:rFonts w:ascii="宋体_GB2312" w:hAnsi="宋体_GB2312" w:eastAsia="宋体_GB2312"/>
        </w:rPr>
      </w:pPr>
      <w:bookmarkStart w:id="70" w:name="_Toc18403"/>
      <w:bookmarkStart w:id="71" w:name="_Toc54084414"/>
      <w:r>
        <w:rPr>
          <w:rFonts w:ascii="宋体_GB2312" w:hAnsi="宋体_GB2312" w:eastAsia="宋体_GB2312"/>
        </w:rPr>
        <w:t>3.2.2</w:t>
      </w:r>
      <w:r>
        <w:rPr>
          <w:rFonts w:hint="eastAsia" w:ascii="宋体_GB2312" w:hAnsi="宋体_GB2312" w:eastAsia="宋体_GB2312"/>
        </w:rPr>
        <w:t>连接器</w:t>
      </w:r>
      <w:bookmarkEnd w:id="70"/>
      <w:bookmarkEnd w:id="7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成端在组件上的</w:t>
      </w:r>
      <w:r>
        <w:rPr>
          <w:rFonts w:ascii="宋体_GB2312" w:hAnsi="宋体_GB2312" w:eastAsia="宋体_GB2312"/>
          <w:sz w:val="24"/>
          <w:szCs w:val="24"/>
        </w:rPr>
        <w:t>SC</w:t>
      </w:r>
      <w:r>
        <w:rPr>
          <w:rFonts w:hint="eastAsia" w:ascii="宋体_GB2312" w:hAnsi="宋体_GB2312" w:eastAsia="宋体_GB2312"/>
          <w:sz w:val="24"/>
          <w:szCs w:val="24"/>
        </w:rPr>
        <w:t>型连接器插头的连接结构尺寸应符合</w:t>
      </w:r>
      <w:r>
        <w:rPr>
          <w:rFonts w:ascii="宋体_GB2312" w:hAnsi="宋体_GB2312" w:eastAsia="宋体_GB2312"/>
          <w:sz w:val="24"/>
          <w:szCs w:val="24"/>
        </w:rPr>
        <w:t>YD/T 1272.3-2015</w:t>
      </w:r>
      <w:r>
        <w:rPr>
          <w:rFonts w:hint="eastAsia" w:ascii="宋体_GB2312" w:hAnsi="宋体_GB2312" w:eastAsia="宋体_GB2312"/>
          <w:sz w:val="24"/>
          <w:szCs w:val="24"/>
        </w:rPr>
        <w:t>《光纤活动连接器</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3</w:t>
      </w:r>
      <w:r>
        <w:rPr>
          <w:rFonts w:hint="eastAsia" w:ascii="宋体_GB2312" w:hAnsi="宋体_GB2312" w:eastAsia="宋体_GB2312"/>
          <w:sz w:val="24"/>
          <w:szCs w:val="24"/>
        </w:rPr>
        <w:t>部分：</w:t>
      </w:r>
      <w:r>
        <w:rPr>
          <w:rFonts w:ascii="宋体_GB2312" w:hAnsi="宋体_GB2312" w:eastAsia="宋体_GB2312"/>
          <w:sz w:val="24"/>
          <w:szCs w:val="24"/>
        </w:rPr>
        <w:t>SC</w:t>
      </w:r>
      <w:r>
        <w:rPr>
          <w:rFonts w:hint="eastAsia" w:ascii="宋体_GB2312" w:hAnsi="宋体_GB2312" w:eastAsia="宋体_GB2312"/>
          <w:sz w:val="24"/>
          <w:szCs w:val="24"/>
        </w:rPr>
        <w:t>型》的规定。</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成端在组件上的</w:t>
      </w:r>
      <w:r>
        <w:rPr>
          <w:rFonts w:ascii="宋体_GB2312" w:hAnsi="宋体_GB2312" w:eastAsia="宋体_GB2312"/>
          <w:sz w:val="24"/>
          <w:szCs w:val="24"/>
        </w:rPr>
        <w:t>FC</w:t>
      </w:r>
      <w:r>
        <w:rPr>
          <w:rFonts w:hint="eastAsia" w:ascii="宋体_GB2312" w:hAnsi="宋体_GB2312" w:eastAsia="宋体_GB2312"/>
          <w:sz w:val="24"/>
          <w:szCs w:val="24"/>
        </w:rPr>
        <w:t>型连接器插头的连接结构尺寸应符合</w:t>
      </w:r>
      <w:r>
        <w:rPr>
          <w:rFonts w:ascii="宋体_GB2312" w:hAnsi="宋体_GB2312" w:eastAsia="宋体_GB2312"/>
          <w:sz w:val="24"/>
          <w:szCs w:val="24"/>
        </w:rPr>
        <w:t>YD/T 1272.4-2018</w:t>
      </w:r>
      <w:r>
        <w:rPr>
          <w:rFonts w:hint="eastAsia" w:ascii="宋体_GB2312" w:hAnsi="宋体_GB2312" w:eastAsia="宋体_GB2312"/>
          <w:sz w:val="24"/>
          <w:szCs w:val="24"/>
        </w:rPr>
        <w:t>《光纤活动连接器</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4</w:t>
      </w:r>
      <w:r>
        <w:rPr>
          <w:rFonts w:hint="eastAsia" w:ascii="宋体_GB2312" w:hAnsi="宋体_GB2312" w:eastAsia="宋体_GB2312"/>
          <w:sz w:val="24"/>
          <w:szCs w:val="24"/>
        </w:rPr>
        <w:t>部分：</w:t>
      </w:r>
      <w:r>
        <w:rPr>
          <w:rFonts w:ascii="宋体_GB2312" w:hAnsi="宋体_GB2312" w:eastAsia="宋体_GB2312"/>
          <w:sz w:val="24"/>
          <w:szCs w:val="24"/>
        </w:rPr>
        <w:t>FC</w:t>
      </w:r>
      <w:r>
        <w:rPr>
          <w:rFonts w:hint="eastAsia" w:ascii="宋体_GB2312" w:hAnsi="宋体_GB2312" w:eastAsia="宋体_GB2312"/>
          <w:sz w:val="24"/>
          <w:szCs w:val="24"/>
        </w:rPr>
        <w:t>型》的规定。</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成端在组件上的</w:t>
      </w:r>
      <w:r>
        <w:rPr>
          <w:rFonts w:ascii="宋体_GB2312" w:hAnsi="宋体_GB2312" w:eastAsia="宋体_GB2312"/>
          <w:sz w:val="24"/>
          <w:szCs w:val="24"/>
        </w:rPr>
        <w:t>LC</w:t>
      </w:r>
      <w:r>
        <w:rPr>
          <w:rFonts w:hint="eastAsia" w:ascii="宋体_GB2312" w:hAnsi="宋体_GB2312" w:eastAsia="宋体_GB2312"/>
          <w:sz w:val="24"/>
          <w:szCs w:val="24"/>
        </w:rPr>
        <w:t>型连接器插头的连接结构尺寸应符合</w:t>
      </w:r>
      <w:r>
        <w:rPr>
          <w:rFonts w:ascii="宋体_GB2312" w:hAnsi="宋体_GB2312" w:eastAsia="宋体_GB2312"/>
          <w:sz w:val="24"/>
          <w:szCs w:val="24"/>
        </w:rPr>
        <w:t>YD/T 1272.1-2018</w:t>
      </w:r>
      <w:r>
        <w:rPr>
          <w:rFonts w:hint="eastAsia" w:ascii="宋体_GB2312" w:hAnsi="宋体_GB2312" w:eastAsia="宋体_GB2312"/>
          <w:sz w:val="24"/>
          <w:szCs w:val="24"/>
        </w:rPr>
        <w:t>《光纤活动连接器</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部分：</w:t>
      </w:r>
      <w:r>
        <w:rPr>
          <w:rFonts w:ascii="宋体_GB2312" w:hAnsi="宋体_GB2312" w:eastAsia="宋体_GB2312"/>
          <w:sz w:val="24"/>
          <w:szCs w:val="24"/>
        </w:rPr>
        <w:t>LC</w:t>
      </w:r>
      <w:r>
        <w:rPr>
          <w:rFonts w:hint="eastAsia" w:ascii="宋体_GB2312" w:hAnsi="宋体_GB2312" w:eastAsia="宋体_GB2312"/>
          <w:sz w:val="24"/>
          <w:szCs w:val="24"/>
        </w:rPr>
        <w:t>型》的规定。</w:t>
      </w:r>
      <w:r>
        <w:rPr>
          <w:rFonts w:ascii="宋体_GB2312" w:hAnsi="宋体_GB2312" w:eastAsia="宋体_GB2312"/>
          <w:sz w:val="24"/>
          <w:szCs w:val="24"/>
        </w:rPr>
        <w:t xml:space="preserve"> </w:t>
      </w:r>
    </w:p>
    <w:p>
      <w:pPr>
        <w:pStyle w:val="4"/>
        <w:spacing w:after="12"/>
        <w:rPr>
          <w:rFonts w:ascii="宋体_GB2312" w:hAnsi="宋体_GB2312" w:eastAsia="宋体_GB2312"/>
        </w:rPr>
      </w:pPr>
      <w:bookmarkStart w:id="72" w:name="_Toc54084415"/>
      <w:bookmarkStart w:id="73" w:name="_Toc12549"/>
      <w:r>
        <w:rPr>
          <w:rFonts w:ascii="宋体_GB2312" w:hAnsi="宋体_GB2312" w:eastAsia="宋体_GB2312"/>
        </w:rPr>
        <w:t xml:space="preserve">3.2.3 </w:t>
      </w:r>
      <w:r>
        <w:rPr>
          <w:rFonts w:hint="eastAsia" w:ascii="宋体_GB2312" w:hAnsi="宋体_GB2312" w:eastAsia="宋体_GB2312"/>
        </w:rPr>
        <w:t>组件结构</w:t>
      </w:r>
      <w:bookmarkEnd w:id="72"/>
      <w:bookmarkEnd w:id="73"/>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）预制成端型蝶形光缆是指在工厂内预先制作连接器插头的蝶形光缆，由蝶形光缆和光纤活动连接器插头组成。按照结构分类可以分为：单端预制成端型和双端预置成端型，单端预成端型每芯只有</w:t>
      </w:r>
      <w:r>
        <w:rPr>
          <w:rFonts w:ascii="宋体_GB2312" w:hAnsi="宋体_GB2312" w:eastAsia="宋体_GB2312"/>
          <w:sz w:val="24"/>
          <w:szCs w:val="24"/>
        </w:rPr>
        <w:t>1个连接器插头，且都在光缆同一端，如1芯光缆1个插头、2芯光缆2个插头、4芯光缆4个插头；双端预成端型每芯各2个连接器插头，分别在光缆两端，如1芯光缆2个插头、2芯光缆4个插头、4芯光缆8个插头。结构示意图如图1</w:t>
      </w:r>
      <w:r>
        <w:rPr>
          <w:rFonts w:hint="eastAsia" w:ascii="宋体_GB2312" w:hAnsi="宋体_GB2312" w:eastAsia="宋体_GB2312"/>
          <w:sz w:val="24"/>
          <w:szCs w:val="24"/>
        </w:rPr>
        <w:t>、图</w:t>
      </w:r>
      <w:r>
        <w:rPr>
          <w:rFonts w:ascii="宋体_GB2312" w:hAnsi="宋体_GB2312" w:eastAsia="宋体_GB2312"/>
          <w:sz w:val="24"/>
          <w:szCs w:val="24"/>
        </w:rPr>
        <w:t>2</w:t>
      </w:r>
      <w:r>
        <w:rPr>
          <w:rFonts w:hint="eastAsia" w:ascii="宋体_GB2312" w:hAnsi="宋体_GB2312" w:eastAsia="宋体_GB2312"/>
          <w:sz w:val="24"/>
          <w:szCs w:val="24"/>
        </w:rPr>
        <w:t>所示。</w:t>
      </w:r>
    </w:p>
    <w:bookmarkEnd w:id="65"/>
    <w:p>
      <w:pPr>
        <w:pStyle w:val="36"/>
        <w:spacing w:after="12" w:line="276" w:lineRule="auto"/>
        <w:ind w:firstLine="480"/>
        <w:rPr>
          <w:rFonts w:ascii="宋体_GB2312" w:hAnsi="宋体_GB2312" w:eastAsia="宋体_GB2312"/>
          <w:sz w:val="24"/>
          <w:szCs w:val="24"/>
        </w:rPr>
      </w:pPr>
    </w:p>
    <w:p>
      <w:pPr>
        <w:pStyle w:val="36"/>
        <w:spacing w:after="12" w:line="276" w:lineRule="auto"/>
        <w:ind w:firstLine="480"/>
        <w:rPr>
          <w:rFonts w:ascii="宋体_GB2312" w:hAnsi="宋体_GB2312" w:eastAsia="宋体_GB2312"/>
          <w:sz w:val="24"/>
          <w:szCs w:val="24"/>
        </w:rPr>
      </w:pPr>
      <w:r>
        <w:rPr>
          <w:rFonts w:ascii="宋体_GB2312" w:hAnsi="宋体_GB2312" w:eastAsia="宋体_GB2312"/>
          <w:sz w:val="24"/>
          <w:szCs w:val="24"/>
        </w:rPr>
        <mc:AlternateContent>
          <mc:Choice Requires="wpg">
            <w:drawing>
              <wp:anchor distT="0" distB="0" distL="114300" distR="114300" simplePos="0" relativeHeight="251657216" behindDoc="0" locked="0" layoutInCell="1" allowOverlap="1">
                <wp:simplePos x="0" y="0"/>
                <wp:positionH relativeFrom="column">
                  <wp:posOffset>1845945</wp:posOffset>
                </wp:positionH>
                <wp:positionV relativeFrom="paragraph">
                  <wp:posOffset>42545</wp:posOffset>
                </wp:positionV>
                <wp:extent cx="2621280" cy="396240"/>
                <wp:effectExtent l="0" t="0" r="0" b="0"/>
                <wp:wrapNone/>
                <wp:docPr id="35" name="Group 1400"/>
                <wp:cNvGraphicFramePr/>
                <a:graphic xmlns:a="http://schemas.openxmlformats.org/drawingml/2006/main">
                  <a:graphicData uri="http://schemas.microsoft.com/office/word/2010/wordprocessingGroup">
                    <wpg:wgp>
                      <wpg:cNvGrpSpPr/>
                      <wpg:grpSpPr>
                        <a:xfrm>
                          <a:off x="0" y="0"/>
                          <a:ext cx="2621280" cy="396240"/>
                          <a:chOff x="4325" y="14381"/>
                          <a:chExt cx="4128" cy="624"/>
                        </a:xfrm>
                      </wpg:grpSpPr>
                      <wpg:grpSp>
                        <wpg:cNvPr id="36" name="Group 1401"/>
                        <wpg:cNvGrpSpPr/>
                        <wpg:grpSpPr>
                          <a:xfrm>
                            <a:off x="7370" y="14381"/>
                            <a:ext cx="420" cy="312"/>
                            <a:chOff x="5192" y="3219"/>
                            <a:chExt cx="2789" cy="614"/>
                          </a:xfrm>
                        </wpg:grpSpPr>
                        <wps:wsp>
                          <wps:cNvPr id="37" name="AutoShape 1402"/>
                          <wps:cNvCnPr>
                            <a:cxnSpLocks noChangeShapeType="1"/>
                          </wps:cNvCnPr>
                          <wps:spPr bwMode="auto">
                            <a:xfrm>
                              <a:off x="7980" y="3449"/>
                              <a:ext cx="1" cy="138"/>
                            </a:xfrm>
                            <a:prstGeom prst="straightConnector1">
                              <a:avLst/>
                            </a:prstGeom>
                            <a:noFill/>
                            <a:ln w="9525">
                              <a:solidFill>
                                <a:srgbClr val="000000"/>
                              </a:solidFill>
                              <a:round/>
                            </a:ln>
                          </wps:spPr>
                          <wps:bodyPr/>
                        </wps:wsp>
                        <wps:wsp>
                          <wps:cNvPr id="38" name="AutoShape 1403"/>
                          <wps:cNvCnPr>
                            <a:cxnSpLocks noChangeShapeType="1"/>
                          </wps:cNvCnPr>
                          <wps:spPr bwMode="auto">
                            <a:xfrm flipH="1">
                              <a:off x="7877" y="3597"/>
                              <a:ext cx="103" cy="68"/>
                            </a:xfrm>
                            <a:prstGeom prst="straightConnector1">
                              <a:avLst/>
                            </a:prstGeom>
                            <a:noFill/>
                            <a:ln w="9525">
                              <a:solidFill>
                                <a:srgbClr val="000000"/>
                              </a:solidFill>
                              <a:round/>
                            </a:ln>
                          </wps:spPr>
                          <wps:bodyPr/>
                        </wps:wsp>
                        <wps:wsp>
                          <wps:cNvPr id="39" name="AutoShape 1404"/>
                          <wps:cNvCnPr>
                            <a:cxnSpLocks noChangeShapeType="1"/>
                          </wps:cNvCnPr>
                          <wps:spPr bwMode="auto">
                            <a:xfrm flipH="1" flipV="1">
                              <a:off x="7857" y="3387"/>
                              <a:ext cx="123" cy="62"/>
                            </a:xfrm>
                            <a:prstGeom prst="straightConnector1">
                              <a:avLst/>
                            </a:prstGeom>
                            <a:noFill/>
                            <a:ln w="9525">
                              <a:solidFill>
                                <a:srgbClr val="000000"/>
                              </a:solidFill>
                              <a:round/>
                            </a:ln>
                          </wps:spPr>
                          <wps:bodyPr/>
                        </wps:wsp>
                        <wps:wsp>
                          <wps:cNvPr id="40" name="AutoShape 1405"/>
                          <wps:cNvCnPr>
                            <a:cxnSpLocks noChangeShapeType="1"/>
                          </wps:cNvCnPr>
                          <wps:spPr bwMode="auto">
                            <a:xfrm>
                              <a:off x="7365" y="3388"/>
                              <a:ext cx="492" cy="0"/>
                            </a:xfrm>
                            <a:prstGeom prst="straightConnector1">
                              <a:avLst/>
                            </a:prstGeom>
                            <a:noFill/>
                            <a:ln w="9525">
                              <a:solidFill>
                                <a:srgbClr val="000000"/>
                              </a:solidFill>
                              <a:round/>
                            </a:ln>
                          </wps:spPr>
                          <wps:bodyPr/>
                        </wps:wsp>
                        <wps:wsp>
                          <wps:cNvPr id="41" name="AutoShape 1406"/>
                          <wps:cNvCnPr>
                            <a:cxnSpLocks noChangeShapeType="1"/>
                          </wps:cNvCnPr>
                          <wps:spPr bwMode="auto">
                            <a:xfrm>
                              <a:off x="7384" y="3665"/>
                              <a:ext cx="493" cy="0"/>
                            </a:xfrm>
                            <a:prstGeom prst="straightConnector1">
                              <a:avLst/>
                            </a:prstGeom>
                            <a:noFill/>
                            <a:ln w="9525">
                              <a:solidFill>
                                <a:srgbClr val="000000"/>
                              </a:solidFill>
                              <a:round/>
                            </a:ln>
                          </wps:spPr>
                          <wps:bodyPr/>
                        </wps:wsp>
                        <wps:wsp>
                          <wps:cNvPr id="42" name="Rectangle 1407"/>
                          <wps:cNvSpPr>
                            <a:spLocks noChangeArrowheads="1"/>
                          </wps:cNvSpPr>
                          <wps:spPr bwMode="auto">
                            <a:xfrm>
                              <a:off x="5192" y="3219"/>
                              <a:ext cx="2171" cy="614"/>
                            </a:xfrm>
                            <a:prstGeom prst="rect">
                              <a:avLst/>
                            </a:prstGeom>
                            <a:noFill/>
                            <a:ln w="9525">
                              <a:solidFill>
                                <a:srgbClr val="000000"/>
                              </a:solidFill>
                              <a:miter lim="800000"/>
                            </a:ln>
                          </wps:spPr>
                          <wps:bodyPr rot="0" vert="horz" wrap="square" lIns="91440" tIns="45720" rIns="91440" bIns="45720" anchor="t" anchorCtr="0" upright="1">
                            <a:noAutofit/>
                          </wps:bodyPr>
                        </wps:wsp>
                      </wpg:grpSp>
                      <wps:wsp>
                        <wps:cNvPr id="43" name="Line 1408"/>
                        <wps:cNvCnPr>
                          <a:cxnSpLocks noChangeShapeType="1"/>
                        </wps:cNvCnPr>
                        <wps:spPr bwMode="auto">
                          <a:xfrm flipH="1">
                            <a:off x="4325" y="14537"/>
                            <a:ext cx="3045" cy="0"/>
                          </a:xfrm>
                          <a:prstGeom prst="line">
                            <a:avLst/>
                          </a:prstGeom>
                          <a:noFill/>
                          <a:ln w="38100">
                            <a:solidFill>
                              <a:srgbClr val="000000"/>
                            </a:solidFill>
                            <a:round/>
                          </a:ln>
                        </wps:spPr>
                        <wps:bodyPr/>
                      </wps:wsp>
                      <wps:wsp>
                        <wps:cNvPr id="44" name="Text Box 1409"/>
                        <wps:cNvSpPr txBox="1">
                          <a:spLocks noChangeArrowheads="1"/>
                        </wps:cNvSpPr>
                        <wps:spPr bwMode="auto">
                          <a:xfrm>
                            <a:off x="5165" y="14693"/>
                            <a:ext cx="1260" cy="312"/>
                          </a:xfrm>
                          <a:prstGeom prst="rect">
                            <a:avLst/>
                          </a:prstGeom>
                          <a:noFill/>
                          <a:ln>
                            <a:noFill/>
                          </a:ln>
                        </wps:spPr>
                        <wps:txbx>
                          <w:txbxContent>
                            <w:p>
                              <w:pPr>
                                <w:spacing w:after="12"/>
                                <w:rPr>
                                  <w:sz w:val="18"/>
                                  <w:szCs w:val="18"/>
                                </w:rPr>
                              </w:pPr>
                              <w:r>
                                <w:rPr>
                                  <w:rFonts w:hint="eastAsia"/>
                                  <w:sz w:val="18"/>
                                  <w:szCs w:val="18"/>
                                </w:rPr>
                                <w:t>蝶形光缆</w:t>
                              </w:r>
                            </w:p>
                          </w:txbxContent>
                        </wps:txbx>
                        <wps:bodyPr rot="0" vert="horz" wrap="square" lIns="0" tIns="0" rIns="0" bIns="0" anchor="t" anchorCtr="0" upright="1">
                          <a:noAutofit/>
                        </wps:bodyPr>
                      </wps:wsp>
                      <wps:wsp>
                        <wps:cNvPr id="45" name="Text Box 1410"/>
                        <wps:cNvSpPr txBox="1">
                          <a:spLocks noChangeArrowheads="1"/>
                        </wps:cNvSpPr>
                        <wps:spPr bwMode="auto">
                          <a:xfrm>
                            <a:off x="6983" y="14693"/>
                            <a:ext cx="1470" cy="312"/>
                          </a:xfrm>
                          <a:prstGeom prst="rect">
                            <a:avLst/>
                          </a:prstGeom>
                          <a:noFill/>
                          <a:ln>
                            <a:noFill/>
                          </a:ln>
                        </wps:spPr>
                        <wps:txbx>
                          <w:txbxContent>
                            <w:p>
                              <w:pPr>
                                <w:spacing w:after="12"/>
                                <w:rPr>
                                  <w:sz w:val="18"/>
                                  <w:szCs w:val="18"/>
                                </w:rPr>
                              </w:pPr>
                              <w:r>
                                <w:rPr>
                                  <w:rFonts w:ascii="宋体" w:hAnsi="宋体"/>
                                  <w:sz w:val="18"/>
                                  <w:szCs w:val="18"/>
                                </w:rPr>
                                <w:t>光纤连接器</w:t>
                              </w:r>
                              <w:r>
                                <w:rPr>
                                  <w:rFonts w:hint="eastAsia"/>
                                  <w:sz w:val="18"/>
                                  <w:szCs w:val="18"/>
                                </w:rPr>
                                <w:t>插头</w:t>
                              </w:r>
                            </w:p>
                          </w:txbxContent>
                        </wps:txbx>
                        <wps:bodyPr rot="0" vert="horz" wrap="square" lIns="0" tIns="0" rIns="0" bIns="0" anchor="t" anchorCtr="0" upright="1">
                          <a:noAutofit/>
                        </wps:bodyPr>
                      </wps:wsp>
                    </wpg:wgp>
                  </a:graphicData>
                </a:graphic>
              </wp:anchor>
            </w:drawing>
          </mc:Choice>
          <mc:Fallback>
            <w:pict>
              <v:group id="Group 1400" o:spid="_x0000_s1026" o:spt="203" style="position:absolute;left:0pt;margin-left:145.35pt;margin-top:3.35pt;height:31.2pt;width:206.4pt;z-index:251657216;mso-width-relative:page;mso-height-relative:page;" coordorigin="4325,14381" coordsize="4128,624" o:gfxdata="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">
                <o:lock v:ext="edit" aspectratio="f"/>
                <v:group id="Group 1401" o:spid="_x0000_s1026" o:spt="203" style="position:absolute;left:7370;top:14381;height:312;width:420;" coordorigin="5192,3219" coordsize="2789,614"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shape id="AutoShape 1402" o:spid="_x0000_s1026" o:spt="32" type="#_x0000_t32" style="position:absolute;left:7980;top:3449;height:138;width:1;" filled="f" stroked="t" coordsize="21600,21600" o:gfxdata="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UEn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AutoShape 1403" o:spid="_x0000_s1026" o:spt="32" type="#_x0000_t32" style="position:absolute;left:7877;top:3597;flip:x;height:68;width:103;" filled="f" stroked="t" coordsize="21600,21600" o:gfxdata="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akgj7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AutoShape 1404" o:spid="_x0000_s1026" o:spt="32" type="#_x0000_t32" style="position:absolute;left:7857;top:3387;flip:x y;height:62;width:123;" filled="f" stroked="t" coordsize="21600,21600" o:gfxdata="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7BuAm/&#10;AAAA2wAAAA8AAAAAAAAAAQAgAAAAIgAAAGRycy9kb3ducmV2LnhtbFBLAQIUABQAAAAIAIdO4kAz&#10;LwWeOwAAADkAAAAQAAAAAAAAAAEAIAAAAA4BAABkcnMvc2hhcGV4bWwueG1sUEsFBgAAAAAGAAYA&#10;WwEAALgDAAAAAA==&#10;">
                    <v:fill on="f" focussize="0,0"/>
                    <v:stroke color="#000000" joinstyle="round"/>
                    <v:imagedata o:title=""/>
                    <o:lock v:ext="edit" aspectratio="f"/>
                  </v:shape>
                  <v:shape id="AutoShape 1405" o:spid="_x0000_s1026" o:spt="32" type="#_x0000_t32" style="position:absolute;left:7365;top:3388;height:0;width:492;" filled="f" stroked="t" coordsize="21600,21600" o:gfxdata="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l9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AutoShape 1406" o:spid="_x0000_s1026" o:spt="32" type="#_x0000_t32" style="position:absolute;left:7384;top:3665;height:0;width:493;" filled="f" stroked="t" coordsize="21600,21600" o:gfxdata="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3XOa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rect id="Rectangle 1407" o:spid="_x0000_s1026" o:spt="1" style="position:absolute;left:5192;top:3219;height:614;width:2171;" filled="f" stroked="t" coordsize="21600,21600" o:gfxdata="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wz6u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rect>
                </v:group>
                <v:line id="Line 1408" o:spid="_x0000_s1026" o:spt="20" style="position:absolute;left:4325;top:14537;flip:x;height:0;width:3045;" filled="f" stroked="t" coordsize="21600,21600" o:gfxdata="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qhmLsAAADb&#10;AAAADwAAAAAAAAABACAAAAAiAAAAZHJzL2Rvd25yZXYueG1sUEsBAhQAFAAAAAgAh07iQDMvBZ47&#10;AAAAOQAAABAAAAAAAAAAAQAgAAAACgEAAGRycy9zaGFwZXhtbC54bWxQSwUGAAAAAAYABgBbAQAA&#10;tAMAAAAA&#10;">
                  <v:fill on="f" focussize="0,0"/>
                  <v:stroke weight="3pt" color="#000000" joinstyle="round"/>
                  <v:imagedata o:title=""/>
                  <o:lock v:ext="edit" aspectratio="f"/>
                </v:line>
                <v:shape id="Text Box 1409" o:spid="_x0000_s1026" o:spt="202" type="#_x0000_t202" style="position:absolute;left:5165;top:14693;height:312;width:1260;" filled="f" stroked="f" coordsize="21600,21600" o:gfxdata="UEsDBAoAAAAAAIdO4kAAAAAAAAAAAAAAAAAEAAAAZHJzL1BLAwQUAAAACACHTuJAZoLYpr4AAADb&#10;AAAADwAAAGRycy9kb3ducmV2LnhtbEWPzWrDMBCE74W+g9hCb42UE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LYp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12"/>
                          <w:rPr>
                            <w:sz w:val="18"/>
                            <w:szCs w:val="18"/>
                          </w:rPr>
                        </w:pPr>
                        <w:r>
                          <w:rPr>
                            <w:rFonts w:hint="eastAsia"/>
                            <w:sz w:val="18"/>
                            <w:szCs w:val="18"/>
                          </w:rPr>
                          <w:t>蝶形光缆</w:t>
                        </w:r>
                      </w:p>
                    </w:txbxContent>
                  </v:textbox>
                </v:shape>
                <v:shape id="Text Box 1410" o:spid="_x0000_s1026" o:spt="202" type="#_x0000_t202" style="position:absolute;left:6983;top:14693;height:312;width:1470;"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12"/>
                          <w:rPr>
                            <w:sz w:val="18"/>
                            <w:szCs w:val="18"/>
                          </w:rPr>
                        </w:pPr>
                        <w:r>
                          <w:rPr>
                            <w:rFonts w:ascii="宋体" w:hAnsi="宋体"/>
                            <w:sz w:val="18"/>
                            <w:szCs w:val="18"/>
                          </w:rPr>
                          <w:t>光纤连接器</w:t>
                        </w:r>
                        <w:r>
                          <w:rPr>
                            <w:rFonts w:hint="eastAsia"/>
                            <w:sz w:val="18"/>
                            <w:szCs w:val="18"/>
                          </w:rPr>
                          <w:t>插头</w:t>
                        </w:r>
                      </w:p>
                    </w:txbxContent>
                  </v:textbox>
                </v:shape>
              </v:group>
            </w:pict>
          </mc:Fallback>
        </mc:AlternateContent>
      </w:r>
    </w:p>
    <w:p>
      <w:pPr>
        <w:pStyle w:val="36"/>
        <w:spacing w:after="12" w:line="276" w:lineRule="auto"/>
        <w:ind w:firstLine="480"/>
        <w:rPr>
          <w:rFonts w:ascii="宋体_GB2312" w:hAnsi="宋体_GB2312" w:eastAsia="宋体_GB2312"/>
          <w:sz w:val="24"/>
          <w:szCs w:val="24"/>
        </w:rPr>
      </w:pPr>
    </w:p>
    <w:p>
      <w:pPr>
        <w:pStyle w:val="36"/>
        <w:tabs>
          <w:tab w:val="left" w:pos="3331"/>
          <w:tab w:val="clear" w:pos="4201"/>
          <w:tab w:val="clear" w:pos="9298"/>
        </w:tabs>
        <w:spacing w:after="12" w:line="276" w:lineRule="auto"/>
        <w:ind w:firstLine="480"/>
        <w:jc w:val="center"/>
        <w:rPr>
          <w:rFonts w:ascii="宋体_GB2312" w:hAnsi="宋体_GB2312" w:eastAsia="宋体_GB2312"/>
          <w:sz w:val="24"/>
          <w:szCs w:val="24"/>
        </w:rPr>
      </w:pPr>
    </w:p>
    <w:p>
      <w:pPr>
        <w:pStyle w:val="170"/>
        <w:spacing w:before="120" w:after="120" w:line="276" w:lineRule="auto"/>
        <w:rPr>
          <w:rFonts w:ascii="宋体_GB2312" w:hAnsi="宋体_GB2312" w:eastAsia="宋体_GB2312"/>
        </w:rPr>
      </w:pPr>
      <w:r>
        <w:rPr>
          <w:rFonts w:hint="eastAsia" w:ascii="宋体_GB2312" w:hAnsi="宋体_GB2312" w:eastAsia="宋体_GB2312"/>
        </w:rPr>
        <w:t>单端预制成端型蝶形光缆结构示意图</w:t>
      </w:r>
    </w:p>
    <w:p>
      <w:pPr>
        <w:pStyle w:val="36"/>
        <w:spacing w:after="12" w:line="276" w:lineRule="auto"/>
        <w:ind w:firstLine="480"/>
        <w:rPr>
          <w:rFonts w:ascii="宋体_GB2312" w:hAnsi="宋体_GB2312" w:eastAsia="宋体_GB2312"/>
          <w:sz w:val="24"/>
          <w:szCs w:val="24"/>
        </w:rPr>
      </w:pPr>
    </w:p>
    <w:p>
      <w:pPr>
        <w:pStyle w:val="36"/>
        <w:spacing w:after="12" w:line="276" w:lineRule="auto"/>
        <w:ind w:firstLine="480"/>
        <w:rPr>
          <w:rFonts w:ascii="宋体_GB2312" w:hAnsi="宋体_GB2312" w:eastAsia="宋体_GB2312"/>
          <w:sz w:val="24"/>
          <w:szCs w:val="24"/>
        </w:rPr>
      </w:pPr>
      <w:r>
        <w:rPr>
          <w:rFonts w:ascii="宋体_GB2312" w:hAnsi="宋体_GB2312" w:eastAsia="宋体_GB2312"/>
          <w:sz w:val="24"/>
          <w:szCs w:val="24"/>
        </w:rPr>
        <mc:AlternateContent>
          <mc:Choice Requires="wpg">
            <w:drawing>
              <wp:anchor distT="0" distB="0" distL="114300" distR="114300" simplePos="0" relativeHeight="251661312" behindDoc="0" locked="0" layoutInCell="1" allowOverlap="1">
                <wp:simplePos x="0" y="0"/>
                <wp:positionH relativeFrom="column">
                  <wp:posOffset>1400175</wp:posOffset>
                </wp:positionH>
                <wp:positionV relativeFrom="paragraph">
                  <wp:posOffset>136525</wp:posOffset>
                </wp:positionV>
                <wp:extent cx="3133725" cy="486410"/>
                <wp:effectExtent l="0" t="0" r="0" b="0"/>
                <wp:wrapNone/>
                <wp:docPr id="16" name="Group 1414"/>
                <wp:cNvGraphicFramePr/>
                <a:graphic xmlns:a="http://schemas.openxmlformats.org/drawingml/2006/main">
                  <a:graphicData uri="http://schemas.microsoft.com/office/word/2010/wordprocessingGroup">
                    <wpg:wgp>
                      <wpg:cNvGrpSpPr/>
                      <wpg:grpSpPr>
                        <a:xfrm>
                          <a:off x="0" y="0"/>
                          <a:ext cx="3133725" cy="486410"/>
                          <a:chOff x="3623" y="2297"/>
                          <a:chExt cx="4935" cy="766"/>
                        </a:xfrm>
                      </wpg:grpSpPr>
                      <wpg:grpSp>
                        <wpg:cNvPr id="17" name="Group 1415"/>
                        <wpg:cNvGrpSpPr/>
                        <wpg:grpSpPr>
                          <a:xfrm>
                            <a:off x="7580" y="2297"/>
                            <a:ext cx="420" cy="312"/>
                            <a:chOff x="5192" y="3219"/>
                            <a:chExt cx="2789" cy="614"/>
                          </a:xfrm>
                        </wpg:grpSpPr>
                        <wps:wsp>
                          <wps:cNvPr id="18" name="AutoShape 1416"/>
                          <wps:cNvCnPr>
                            <a:cxnSpLocks noChangeShapeType="1"/>
                          </wps:cNvCnPr>
                          <wps:spPr bwMode="auto">
                            <a:xfrm>
                              <a:off x="7980" y="3449"/>
                              <a:ext cx="1" cy="138"/>
                            </a:xfrm>
                            <a:prstGeom prst="straightConnector1">
                              <a:avLst/>
                            </a:prstGeom>
                            <a:noFill/>
                            <a:ln w="9525">
                              <a:solidFill>
                                <a:srgbClr val="000000"/>
                              </a:solidFill>
                              <a:round/>
                            </a:ln>
                          </wps:spPr>
                          <wps:bodyPr/>
                        </wps:wsp>
                        <wps:wsp>
                          <wps:cNvPr id="19" name="AutoShape 1417"/>
                          <wps:cNvCnPr>
                            <a:cxnSpLocks noChangeShapeType="1"/>
                          </wps:cNvCnPr>
                          <wps:spPr bwMode="auto">
                            <a:xfrm flipH="1">
                              <a:off x="7877" y="3597"/>
                              <a:ext cx="103" cy="68"/>
                            </a:xfrm>
                            <a:prstGeom prst="straightConnector1">
                              <a:avLst/>
                            </a:prstGeom>
                            <a:noFill/>
                            <a:ln w="9525">
                              <a:solidFill>
                                <a:srgbClr val="000000"/>
                              </a:solidFill>
                              <a:round/>
                            </a:ln>
                          </wps:spPr>
                          <wps:bodyPr/>
                        </wps:wsp>
                        <wps:wsp>
                          <wps:cNvPr id="20" name="AutoShape 1418"/>
                          <wps:cNvCnPr>
                            <a:cxnSpLocks noChangeShapeType="1"/>
                          </wps:cNvCnPr>
                          <wps:spPr bwMode="auto">
                            <a:xfrm flipH="1" flipV="1">
                              <a:off x="7857" y="3387"/>
                              <a:ext cx="123" cy="62"/>
                            </a:xfrm>
                            <a:prstGeom prst="straightConnector1">
                              <a:avLst/>
                            </a:prstGeom>
                            <a:noFill/>
                            <a:ln w="9525">
                              <a:solidFill>
                                <a:srgbClr val="000000"/>
                              </a:solidFill>
                              <a:round/>
                            </a:ln>
                          </wps:spPr>
                          <wps:bodyPr/>
                        </wps:wsp>
                        <wps:wsp>
                          <wps:cNvPr id="21" name="AutoShape 1419"/>
                          <wps:cNvCnPr>
                            <a:cxnSpLocks noChangeShapeType="1"/>
                          </wps:cNvCnPr>
                          <wps:spPr bwMode="auto">
                            <a:xfrm>
                              <a:off x="7365" y="3388"/>
                              <a:ext cx="492" cy="0"/>
                            </a:xfrm>
                            <a:prstGeom prst="straightConnector1">
                              <a:avLst/>
                            </a:prstGeom>
                            <a:noFill/>
                            <a:ln w="9525">
                              <a:solidFill>
                                <a:srgbClr val="000000"/>
                              </a:solidFill>
                              <a:round/>
                            </a:ln>
                          </wps:spPr>
                          <wps:bodyPr/>
                        </wps:wsp>
                        <wps:wsp>
                          <wps:cNvPr id="22" name="AutoShape 1420"/>
                          <wps:cNvCnPr>
                            <a:cxnSpLocks noChangeShapeType="1"/>
                          </wps:cNvCnPr>
                          <wps:spPr bwMode="auto">
                            <a:xfrm>
                              <a:off x="7384" y="3665"/>
                              <a:ext cx="493" cy="0"/>
                            </a:xfrm>
                            <a:prstGeom prst="straightConnector1">
                              <a:avLst/>
                            </a:prstGeom>
                            <a:noFill/>
                            <a:ln w="9525">
                              <a:solidFill>
                                <a:srgbClr val="000000"/>
                              </a:solidFill>
                              <a:round/>
                            </a:ln>
                          </wps:spPr>
                          <wps:bodyPr/>
                        </wps:wsp>
                        <wps:wsp>
                          <wps:cNvPr id="23" name="Rectangle 1421"/>
                          <wps:cNvSpPr>
                            <a:spLocks noChangeArrowheads="1"/>
                          </wps:cNvSpPr>
                          <wps:spPr bwMode="auto">
                            <a:xfrm>
                              <a:off x="5192" y="3219"/>
                              <a:ext cx="2171" cy="614"/>
                            </a:xfrm>
                            <a:prstGeom prst="rect">
                              <a:avLst/>
                            </a:prstGeom>
                            <a:noFill/>
                            <a:ln w="9525">
                              <a:solidFill>
                                <a:srgbClr val="000000"/>
                              </a:solidFill>
                              <a:miter lim="800000"/>
                            </a:ln>
                          </wps:spPr>
                          <wps:bodyPr rot="0" vert="horz" wrap="square" lIns="91440" tIns="45720" rIns="91440" bIns="45720" anchor="t" anchorCtr="0" upright="1">
                            <a:noAutofit/>
                          </wps:bodyPr>
                        </wps:wsp>
                      </wpg:grpSp>
                      <wps:wsp>
                        <wps:cNvPr id="24" name="Line 1422"/>
                        <wps:cNvCnPr>
                          <a:cxnSpLocks noChangeShapeType="1"/>
                        </wps:cNvCnPr>
                        <wps:spPr bwMode="auto">
                          <a:xfrm flipH="1">
                            <a:off x="4535" y="2453"/>
                            <a:ext cx="3045" cy="0"/>
                          </a:xfrm>
                          <a:prstGeom prst="line">
                            <a:avLst/>
                          </a:prstGeom>
                          <a:noFill/>
                          <a:ln w="38100">
                            <a:solidFill>
                              <a:srgbClr val="000000"/>
                            </a:solidFill>
                            <a:round/>
                          </a:ln>
                        </wps:spPr>
                        <wps:bodyPr/>
                      </wps:wsp>
                      <wpg:grpSp>
                        <wpg:cNvPr id="25" name="Group 1423"/>
                        <wpg:cNvGrpSpPr/>
                        <wpg:grpSpPr>
                          <a:xfrm rot="10800000">
                            <a:off x="4115" y="2297"/>
                            <a:ext cx="420" cy="312"/>
                            <a:chOff x="5192" y="3219"/>
                            <a:chExt cx="2789" cy="614"/>
                          </a:xfrm>
                        </wpg:grpSpPr>
                        <wps:wsp>
                          <wps:cNvPr id="26" name="AutoShape 1424"/>
                          <wps:cNvCnPr>
                            <a:cxnSpLocks noChangeShapeType="1"/>
                          </wps:cNvCnPr>
                          <wps:spPr bwMode="auto">
                            <a:xfrm>
                              <a:off x="7980" y="3449"/>
                              <a:ext cx="1" cy="138"/>
                            </a:xfrm>
                            <a:prstGeom prst="straightConnector1">
                              <a:avLst/>
                            </a:prstGeom>
                            <a:noFill/>
                            <a:ln w="9525">
                              <a:solidFill>
                                <a:srgbClr val="000000"/>
                              </a:solidFill>
                              <a:round/>
                            </a:ln>
                          </wps:spPr>
                          <wps:bodyPr/>
                        </wps:wsp>
                        <wps:wsp>
                          <wps:cNvPr id="27" name="AutoShape 1425"/>
                          <wps:cNvCnPr>
                            <a:cxnSpLocks noChangeShapeType="1"/>
                          </wps:cNvCnPr>
                          <wps:spPr bwMode="auto">
                            <a:xfrm flipH="1">
                              <a:off x="7877" y="3597"/>
                              <a:ext cx="103" cy="68"/>
                            </a:xfrm>
                            <a:prstGeom prst="straightConnector1">
                              <a:avLst/>
                            </a:prstGeom>
                            <a:noFill/>
                            <a:ln w="9525">
                              <a:solidFill>
                                <a:srgbClr val="000000"/>
                              </a:solidFill>
                              <a:round/>
                            </a:ln>
                          </wps:spPr>
                          <wps:bodyPr/>
                        </wps:wsp>
                        <wps:wsp>
                          <wps:cNvPr id="28" name="AutoShape 1426"/>
                          <wps:cNvCnPr>
                            <a:cxnSpLocks noChangeShapeType="1"/>
                          </wps:cNvCnPr>
                          <wps:spPr bwMode="auto">
                            <a:xfrm flipH="1" flipV="1">
                              <a:off x="7857" y="3387"/>
                              <a:ext cx="123" cy="62"/>
                            </a:xfrm>
                            <a:prstGeom prst="straightConnector1">
                              <a:avLst/>
                            </a:prstGeom>
                            <a:noFill/>
                            <a:ln w="9525">
                              <a:solidFill>
                                <a:srgbClr val="000000"/>
                              </a:solidFill>
                              <a:round/>
                            </a:ln>
                          </wps:spPr>
                          <wps:bodyPr/>
                        </wps:wsp>
                        <wps:wsp>
                          <wps:cNvPr id="29" name="AutoShape 1427"/>
                          <wps:cNvCnPr>
                            <a:cxnSpLocks noChangeShapeType="1"/>
                          </wps:cNvCnPr>
                          <wps:spPr bwMode="auto">
                            <a:xfrm>
                              <a:off x="7365" y="3388"/>
                              <a:ext cx="492" cy="0"/>
                            </a:xfrm>
                            <a:prstGeom prst="straightConnector1">
                              <a:avLst/>
                            </a:prstGeom>
                            <a:noFill/>
                            <a:ln w="9525">
                              <a:solidFill>
                                <a:srgbClr val="000000"/>
                              </a:solidFill>
                              <a:round/>
                            </a:ln>
                          </wps:spPr>
                          <wps:bodyPr/>
                        </wps:wsp>
                        <wps:wsp>
                          <wps:cNvPr id="30" name="AutoShape 1428"/>
                          <wps:cNvCnPr>
                            <a:cxnSpLocks noChangeShapeType="1"/>
                          </wps:cNvCnPr>
                          <wps:spPr bwMode="auto">
                            <a:xfrm>
                              <a:off x="7384" y="3665"/>
                              <a:ext cx="493" cy="0"/>
                            </a:xfrm>
                            <a:prstGeom prst="straightConnector1">
                              <a:avLst/>
                            </a:prstGeom>
                            <a:noFill/>
                            <a:ln w="9525">
                              <a:solidFill>
                                <a:srgbClr val="000000"/>
                              </a:solidFill>
                              <a:round/>
                            </a:ln>
                          </wps:spPr>
                          <wps:bodyPr/>
                        </wps:wsp>
                        <wps:wsp>
                          <wps:cNvPr id="31" name="Rectangle 1429"/>
                          <wps:cNvSpPr>
                            <a:spLocks noChangeArrowheads="1"/>
                          </wps:cNvSpPr>
                          <wps:spPr bwMode="auto">
                            <a:xfrm>
                              <a:off x="5192" y="3219"/>
                              <a:ext cx="2171" cy="614"/>
                            </a:xfrm>
                            <a:prstGeom prst="rect">
                              <a:avLst/>
                            </a:prstGeom>
                            <a:noFill/>
                            <a:ln w="9525">
                              <a:solidFill>
                                <a:srgbClr val="000000"/>
                              </a:solidFill>
                              <a:miter lim="800000"/>
                            </a:ln>
                          </wps:spPr>
                          <wps:bodyPr rot="0" vert="horz" wrap="square" lIns="91440" tIns="45720" rIns="91440" bIns="45720" anchor="t" anchorCtr="0" upright="1">
                            <a:noAutofit/>
                          </wps:bodyPr>
                        </wps:wsp>
                      </wpg:grpSp>
                      <wps:wsp>
                        <wps:cNvPr id="32" name="Text Box 1430"/>
                        <wps:cNvSpPr txBox="1">
                          <a:spLocks noChangeArrowheads="1"/>
                        </wps:cNvSpPr>
                        <wps:spPr bwMode="auto">
                          <a:xfrm>
                            <a:off x="3623" y="2751"/>
                            <a:ext cx="1365" cy="312"/>
                          </a:xfrm>
                          <a:prstGeom prst="rect">
                            <a:avLst/>
                          </a:prstGeom>
                          <a:noFill/>
                          <a:ln>
                            <a:noFill/>
                          </a:ln>
                        </wps:spPr>
                        <wps:txbx>
                          <w:txbxContent>
                            <w:p>
                              <w:pPr>
                                <w:spacing w:after="12"/>
                                <w:rPr>
                                  <w:sz w:val="18"/>
                                  <w:szCs w:val="18"/>
                                </w:rPr>
                              </w:pPr>
                              <w:r>
                                <w:rPr>
                                  <w:rFonts w:ascii="宋体" w:hAnsi="宋体"/>
                                  <w:sz w:val="18"/>
                                  <w:szCs w:val="18"/>
                                </w:rPr>
                                <w:t>光纤连接器</w:t>
                              </w:r>
                              <w:r>
                                <w:rPr>
                                  <w:rFonts w:hint="eastAsia"/>
                                  <w:sz w:val="18"/>
                                  <w:szCs w:val="18"/>
                                </w:rPr>
                                <w:t>插头</w:t>
                              </w:r>
                            </w:p>
                          </w:txbxContent>
                        </wps:txbx>
                        <wps:bodyPr rot="0" vert="horz" wrap="square" lIns="0" tIns="0" rIns="0" bIns="0" anchor="t" anchorCtr="0" upright="1">
                          <a:noAutofit/>
                        </wps:bodyPr>
                      </wps:wsp>
                      <wps:wsp>
                        <wps:cNvPr id="33" name="Text Box 1431"/>
                        <wps:cNvSpPr txBox="1">
                          <a:spLocks noChangeArrowheads="1"/>
                        </wps:cNvSpPr>
                        <wps:spPr bwMode="auto">
                          <a:xfrm>
                            <a:off x="5480" y="2609"/>
                            <a:ext cx="1260" cy="312"/>
                          </a:xfrm>
                          <a:prstGeom prst="rect">
                            <a:avLst/>
                          </a:prstGeom>
                          <a:noFill/>
                          <a:ln>
                            <a:noFill/>
                          </a:ln>
                        </wps:spPr>
                        <wps:txbx>
                          <w:txbxContent>
                            <w:p>
                              <w:pPr>
                                <w:spacing w:after="12"/>
                                <w:rPr>
                                  <w:sz w:val="18"/>
                                  <w:szCs w:val="18"/>
                                </w:rPr>
                              </w:pPr>
                              <w:r>
                                <w:rPr>
                                  <w:rFonts w:hint="eastAsia"/>
                                  <w:sz w:val="18"/>
                                  <w:szCs w:val="18"/>
                                </w:rPr>
                                <w:t>蝶形光缆</w:t>
                              </w:r>
                            </w:p>
                          </w:txbxContent>
                        </wps:txbx>
                        <wps:bodyPr rot="0" vert="horz" wrap="square" lIns="0" tIns="0" rIns="0" bIns="0" anchor="t" anchorCtr="0" upright="1">
                          <a:noAutofit/>
                        </wps:bodyPr>
                      </wps:wsp>
                      <wps:wsp>
                        <wps:cNvPr id="34" name="Text Box 1432"/>
                        <wps:cNvSpPr txBox="1">
                          <a:spLocks noChangeArrowheads="1"/>
                        </wps:cNvSpPr>
                        <wps:spPr bwMode="auto">
                          <a:xfrm>
                            <a:off x="7193" y="2751"/>
                            <a:ext cx="1365" cy="312"/>
                          </a:xfrm>
                          <a:prstGeom prst="rect">
                            <a:avLst/>
                          </a:prstGeom>
                          <a:noFill/>
                          <a:ln>
                            <a:noFill/>
                          </a:ln>
                        </wps:spPr>
                        <wps:txbx>
                          <w:txbxContent>
                            <w:p>
                              <w:pPr>
                                <w:spacing w:after="12"/>
                                <w:rPr>
                                  <w:sz w:val="18"/>
                                  <w:szCs w:val="18"/>
                                </w:rPr>
                              </w:pPr>
                              <w:r>
                                <w:rPr>
                                  <w:rFonts w:ascii="宋体" w:hAnsi="宋体"/>
                                  <w:sz w:val="18"/>
                                  <w:szCs w:val="18"/>
                                </w:rPr>
                                <w:t>光纤连接器</w:t>
                              </w:r>
                              <w:r>
                                <w:rPr>
                                  <w:rFonts w:hint="eastAsia"/>
                                  <w:sz w:val="18"/>
                                  <w:szCs w:val="18"/>
                                </w:rPr>
                                <w:t>插头</w:t>
                              </w:r>
                            </w:p>
                          </w:txbxContent>
                        </wps:txbx>
                        <wps:bodyPr rot="0" vert="horz" wrap="square" lIns="0" tIns="0" rIns="0" bIns="0" anchor="t" anchorCtr="0" upright="1">
                          <a:noAutofit/>
                        </wps:bodyPr>
                      </wps:wsp>
                    </wpg:wgp>
                  </a:graphicData>
                </a:graphic>
              </wp:anchor>
            </w:drawing>
          </mc:Choice>
          <mc:Fallback>
            <w:pict>
              <v:group id="Group 1414" o:spid="_x0000_s1026" o:spt="203" style="position:absolute;left:0pt;margin-left:110.25pt;margin-top:10.75pt;height:38.3pt;width:246.75pt;z-index:251661312;mso-width-relative:page;mso-height-relative:page;" coordorigin="3623,2297" coordsize="4935,766" o:gfxdata="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">
                <o:lock v:ext="edit" aspectratio="f"/>
                <v:group id="Group 1415" o:spid="_x0000_s1026" o:spt="203" style="position:absolute;left:7580;top:2297;height:312;width:420;" coordorigin="5192,3219" coordsize="2789,614"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AutoShape 1416" o:spid="_x0000_s1026" o:spt="32" type="#_x0000_t32" style="position:absolute;left:7980;top:3449;height:138;width:1;"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AutoShape 1417" o:spid="_x0000_s1026" o:spt="32" type="#_x0000_t32" style="position:absolute;left:7877;top:3597;flip:x;height:68;width:103;" filled="f" stroked="t" coordsize="21600,21600" o:gfxdata="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UNl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AutoShape 1418" o:spid="_x0000_s1026" o:spt="32" type="#_x0000_t32" style="position:absolute;left:7857;top:3387;flip:x y;height:62;width:123;" filled="f" stroked="t" coordsize="21600,21600" o:gfxdata="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6IodJtwAAANsAAAAP&#10;AAAAAAAAAAEAIAAAACIAAABkcnMvZG93bnJldi54bWxQSwECFAAUAAAACACHTuJAMy8FnjsAAAA5&#10;AAAAEAAAAAAAAAABACAAAAAGAQAAZHJzL3NoYXBleG1sLnhtbFBLBQYAAAAABgAGAFsBAACwAwAA&#10;AAA=&#10;">
                    <v:fill on="f" focussize="0,0"/>
                    <v:stroke color="#000000" joinstyle="round"/>
                    <v:imagedata o:title=""/>
                    <o:lock v:ext="edit" aspectratio="f"/>
                  </v:shape>
                  <v:shape id="AutoShape 1419" o:spid="_x0000_s1026" o:spt="32" type="#_x0000_t32" style="position:absolute;left:7365;top:3388;height:0;width:492;"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AutoShape 1420" o:spid="_x0000_s1026" o:spt="32" type="#_x0000_t32" style="position:absolute;left:7384;top:3665;height:0;width:493;"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rect id="Rectangle 1421" o:spid="_x0000_s1026" o:spt="1" style="position:absolute;left:5192;top:3219;height:614;width:2171;" filled="f" stroked="t" coordsize="21600,21600" o:gfxdata="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UH6V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rect>
                </v:group>
                <v:line id="Line 1422" o:spid="_x0000_s1026" o:spt="20" style="position:absolute;left:4535;top:2453;flip:x;height:0;width:3045;" filled="f" stroked="t" coordsize="21600,21600" o:gfxdata="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vzcTLsAAADb&#10;AAAADwAAAAAAAAABACAAAAAiAAAAZHJzL2Rvd25yZXYueG1sUEsBAhQAFAAAAAgAh07iQDMvBZ47&#10;AAAAOQAAABAAAAAAAAAAAQAgAAAACgEAAGRycy9zaGFwZXhtbC54bWxQSwUGAAAAAAYABgBbAQAA&#10;tAMAAAAA&#10;">
                  <v:fill on="f" focussize="0,0"/>
                  <v:stroke weight="3pt" color="#000000" joinstyle="round"/>
                  <v:imagedata o:title=""/>
                  <o:lock v:ext="edit" aspectratio="f"/>
                </v:line>
                <v:group id="Group 1423" o:spid="_x0000_s1026" o:spt="203" style="position:absolute;left:4115;top:2297;height:312;width:420;rotation:11796480f;" coordorigin="5192,3219" coordsize="2789,614" o:gfxdata="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3JjLzvAAAANsAAAAPAAAAAAAAAAEAIAAAACIAAABkcnMvZG93bnJldi54bWxQ&#10;SwECFAAUAAAACACHTuJAMy8FnjsAAAA5AAAAFQAAAAAAAAABACAAAAALAQAAZHJzL2dyb3Vwc2hh&#10;cGV4bWwueG1sUEsFBgAAAAAGAAYAYAEAAMgDAAAAAA==&#10;">
                  <o:lock v:ext="edit" aspectratio="f"/>
                  <v:shape id="AutoShape 1424" o:spid="_x0000_s1026" o:spt="32" type="#_x0000_t32" style="position:absolute;left:7980;top:3449;height:138;width:1;" filled="f" stroked="t" coordsize="21600,21600" o:gfxdata="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SEy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AutoShape 1425" o:spid="_x0000_s1026" o:spt="32" type="#_x0000_t32" style="position:absolute;left:7877;top:3597;flip:x;height:68;width:103;" filled="f" stroked="t" coordsize="21600,21600" o:gfxdata="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vIi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AutoShape 1426" o:spid="_x0000_s1026" o:spt="32" type="#_x0000_t32" style="position:absolute;left:7857;top:3387;flip:x y;height:62;width:123;" filled="f" stroked="t" coordsize="21600,21600" o:gfxdata="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EVItPtwAAANsAAAAP&#10;AAAAAAAAAAEAIAAAACIAAABkcnMvZG93bnJldi54bWxQSwECFAAUAAAACACHTuJAMy8FnjsAAAA5&#10;AAAAEAAAAAAAAAABACAAAAAGAQAAZHJzL3NoYXBleG1sLnhtbFBLBQYAAAAABgAGAFsBAACwAwAA&#10;AAA=&#10;">
                    <v:fill on="f" focussize="0,0"/>
                    <v:stroke color="#000000" joinstyle="round"/>
                    <v:imagedata o:title=""/>
                    <o:lock v:ext="edit" aspectratio="f"/>
                  </v:shape>
                  <v:shape id="AutoShape 1427" o:spid="_x0000_s1026" o:spt="32" type="#_x0000_t32" style="position:absolute;left:7365;top:3388;height:0;width:492;"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AutoShape 1428" o:spid="_x0000_s1026" o:spt="32" type="#_x0000_t32" style="position:absolute;left:7384;top:3665;height:0;width:493;" filled="f" stroked="t" coordsize="21600,21600" o:gfxdata="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Yo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rect id="Rectangle 1429" o:spid="_x0000_s1026" o:spt="1" style="position:absolute;left:5192;top:3219;height:614;width:2171;" filled="f" stroked="t" coordsize="21600,21600" o:gfxdata="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F9Ok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rect>
                </v:group>
                <v:shape id="Text Box 1430" o:spid="_x0000_s1026" o:spt="202" type="#_x0000_t202" style="position:absolute;left:3623;top:2751;height:312;width:1365;"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12"/>
                          <w:rPr>
                            <w:sz w:val="18"/>
                            <w:szCs w:val="18"/>
                          </w:rPr>
                        </w:pPr>
                        <w:r>
                          <w:rPr>
                            <w:rFonts w:ascii="宋体" w:hAnsi="宋体"/>
                            <w:sz w:val="18"/>
                            <w:szCs w:val="18"/>
                          </w:rPr>
                          <w:t>光纤连接器</w:t>
                        </w:r>
                        <w:r>
                          <w:rPr>
                            <w:rFonts w:hint="eastAsia"/>
                            <w:sz w:val="18"/>
                            <w:szCs w:val="18"/>
                          </w:rPr>
                          <w:t>插头</w:t>
                        </w:r>
                      </w:p>
                    </w:txbxContent>
                  </v:textbox>
                </v:shape>
                <v:shape id="Text Box 1431" o:spid="_x0000_s1026" o:spt="202" type="#_x0000_t202" style="position:absolute;left:5480;top:2609;height:312;width:1260;" filled="f" stroked="f" coordsize="21600,21600" o:gfxdata="UEsDBAoAAAAAAIdO4kAAAAAAAAAAAAAAAAAEAAAAZHJzL1BLAwQUAAAACACHTuJAsW0zr74AAADb&#10;AAAADwAAAGRycy9kb3ducmV2LnhtbEWPzWrDMBCE74W+g9hCb42UB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W0zr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12"/>
                          <w:rPr>
                            <w:sz w:val="18"/>
                            <w:szCs w:val="18"/>
                          </w:rPr>
                        </w:pPr>
                        <w:r>
                          <w:rPr>
                            <w:rFonts w:hint="eastAsia"/>
                            <w:sz w:val="18"/>
                            <w:szCs w:val="18"/>
                          </w:rPr>
                          <w:t>蝶形光缆</w:t>
                        </w:r>
                      </w:p>
                    </w:txbxContent>
                  </v:textbox>
                </v:shape>
                <v:shape id="Text Box 1432" o:spid="_x0000_s1026" o:spt="202" type="#_x0000_t202" style="position:absolute;left:7193;top:2751;height:312;width:1365;" filled="f" stroked="f" coordsize="21600,21600" o:gfxdata="UEsDBAoAAAAAAIdO4kAAAAAAAAAAAAAAAAAEAAAAZHJzL1BLAwQUAAAACACHTuJAPoSr274AAADb&#10;AAAADwAAAGRycy9kb3ducmV2LnhtbEWPQWsCMRSE70L/Q3gFb5pYR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2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12"/>
                          <w:rPr>
                            <w:sz w:val="18"/>
                            <w:szCs w:val="18"/>
                          </w:rPr>
                        </w:pPr>
                        <w:r>
                          <w:rPr>
                            <w:rFonts w:ascii="宋体" w:hAnsi="宋体"/>
                            <w:sz w:val="18"/>
                            <w:szCs w:val="18"/>
                          </w:rPr>
                          <w:t>光纤连接器</w:t>
                        </w:r>
                        <w:r>
                          <w:rPr>
                            <w:rFonts w:hint="eastAsia"/>
                            <w:sz w:val="18"/>
                            <w:szCs w:val="18"/>
                          </w:rPr>
                          <w:t>插头</w:t>
                        </w:r>
                      </w:p>
                    </w:txbxContent>
                  </v:textbox>
                </v:shape>
              </v:group>
            </w:pict>
          </mc:Fallback>
        </mc:AlternateContent>
      </w:r>
    </w:p>
    <w:p>
      <w:pPr>
        <w:pStyle w:val="36"/>
        <w:spacing w:after="12" w:line="276" w:lineRule="auto"/>
        <w:ind w:firstLine="480"/>
        <w:rPr>
          <w:rFonts w:ascii="宋体_GB2312" w:hAnsi="宋体_GB2312" w:eastAsia="宋体_GB2312"/>
          <w:sz w:val="24"/>
          <w:szCs w:val="24"/>
        </w:rPr>
      </w:pPr>
    </w:p>
    <w:p>
      <w:pPr>
        <w:pStyle w:val="36"/>
        <w:spacing w:after="12" w:line="276" w:lineRule="auto"/>
        <w:ind w:firstLine="480"/>
        <w:rPr>
          <w:rFonts w:ascii="宋体_GB2312" w:hAnsi="宋体_GB2312" w:eastAsia="宋体_GB2312"/>
          <w:sz w:val="24"/>
          <w:szCs w:val="24"/>
        </w:rPr>
      </w:pPr>
    </w:p>
    <w:p>
      <w:pPr>
        <w:pStyle w:val="170"/>
        <w:spacing w:before="120" w:after="120" w:line="276" w:lineRule="auto"/>
        <w:rPr>
          <w:rFonts w:ascii="宋体_GB2312" w:hAnsi="宋体_GB2312" w:eastAsia="宋体_GB2312"/>
        </w:rPr>
      </w:pPr>
      <w:r>
        <w:rPr>
          <w:rFonts w:hint="eastAsia" w:ascii="宋体_GB2312" w:hAnsi="宋体_GB2312" w:eastAsia="宋体_GB2312"/>
        </w:rPr>
        <w:t>双端预置成端型蝶形光缆结构示意图</w:t>
      </w:r>
    </w:p>
    <w:p>
      <w:pPr>
        <w:spacing w:before="120" w:beforeLines="50" w:line="300" w:lineRule="auto"/>
        <w:ind w:firstLine="480" w:firstLineChars="200"/>
        <w:rPr>
          <w:rFonts w:ascii="宋体_GB2312" w:hAnsi="宋体_GB2312" w:eastAsia="宋体_GB2312"/>
          <w:sz w:val="24"/>
          <w:szCs w:val="24"/>
        </w:rPr>
      </w:pPr>
      <w:bookmarkStart w:id="74" w:name="_Toc326160311"/>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光缆护套应包封在连接器插头的尾套内，并妥善固定，包封长度宜不小于</w:t>
      </w:r>
      <w:r>
        <w:rPr>
          <w:rFonts w:ascii="宋体_GB2312" w:hAnsi="宋体_GB2312" w:eastAsia="宋体_GB2312"/>
          <w:sz w:val="24"/>
          <w:szCs w:val="24"/>
        </w:rPr>
        <w:t>20mm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自承式光缆的吊线在距离连接器插头一段距离处与光缆剥离并切断。切断处宜用热缩管等合适的方式进行保护。热缩管的长度可以是</w:t>
      </w:r>
      <w:r>
        <w:rPr>
          <w:rFonts w:ascii="宋体_GB2312" w:hAnsi="宋体_GB2312" w:eastAsia="宋体_GB2312"/>
          <w:sz w:val="24"/>
          <w:szCs w:val="24"/>
        </w:rPr>
        <w:t>30mm</w:t>
      </w:r>
      <w:r>
        <w:rPr>
          <w:rFonts w:hint="eastAsia" w:ascii="宋体_GB2312" w:hAnsi="宋体_GB2312" w:eastAsia="宋体_GB2312"/>
          <w:sz w:val="24"/>
          <w:szCs w:val="24"/>
        </w:rPr>
        <w:t>，也可以延长搭接到连接器插头的尾部。</w:t>
      </w:r>
    </w:p>
    <w:p>
      <w:pPr>
        <w:pStyle w:val="2"/>
        <w:spacing w:before="0" w:after="0" w:line="276" w:lineRule="auto"/>
        <w:rPr>
          <w:rFonts w:ascii="宋体_GB2312" w:hAnsi="宋体_GB2312" w:eastAsia="宋体_GB2312"/>
          <w:sz w:val="24"/>
          <w:szCs w:val="24"/>
        </w:rPr>
      </w:pPr>
      <w:bookmarkStart w:id="75" w:name="_Toc11324"/>
      <w:bookmarkStart w:id="76" w:name="_Toc54084416"/>
      <w:r>
        <w:rPr>
          <w:rFonts w:ascii="宋体_GB2312" w:hAnsi="宋体_GB2312" w:eastAsia="宋体_GB2312"/>
          <w:sz w:val="24"/>
          <w:szCs w:val="24"/>
        </w:rPr>
        <w:t>3.3</w:t>
      </w:r>
      <w:r>
        <w:rPr>
          <w:rFonts w:hint="eastAsia" w:ascii="宋体_GB2312" w:hAnsi="宋体_GB2312" w:eastAsia="宋体_GB2312"/>
          <w:sz w:val="24"/>
          <w:szCs w:val="24"/>
        </w:rPr>
        <w:t>外观及尺寸</w:t>
      </w:r>
      <w:bookmarkEnd w:id="75"/>
      <w:bookmarkEnd w:id="76"/>
    </w:p>
    <w:p>
      <w:pPr>
        <w:pStyle w:val="4"/>
        <w:spacing w:after="12"/>
        <w:rPr>
          <w:rFonts w:ascii="宋体_GB2312" w:hAnsi="宋体_GB2312" w:eastAsia="宋体_GB2312"/>
        </w:rPr>
      </w:pPr>
      <w:bookmarkStart w:id="77" w:name="_Toc54084417"/>
      <w:bookmarkStart w:id="78" w:name="_Toc22453"/>
      <w:r>
        <w:rPr>
          <w:rFonts w:ascii="宋体_GB2312" w:hAnsi="宋体_GB2312" w:eastAsia="宋体_GB2312"/>
        </w:rPr>
        <w:t>3.3.1光纤连接器</w:t>
      </w:r>
      <w:r>
        <w:rPr>
          <w:rFonts w:hint="eastAsia" w:ascii="宋体_GB2312" w:hAnsi="宋体_GB2312" w:eastAsia="宋体_GB2312"/>
        </w:rPr>
        <w:t>插头要求</w:t>
      </w:r>
      <w:bookmarkEnd w:id="74"/>
      <w:bookmarkEnd w:id="77"/>
      <w:bookmarkEnd w:id="78"/>
    </w:p>
    <w:p>
      <w:pPr>
        <w:pStyle w:val="5"/>
        <w:spacing w:after="12"/>
        <w:rPr>
          <w:rFonts w:ascii="宋体_GB2312" w:hAnsi="宋体_GB2312" w:eastAsia="宋体_GB2312"/>
        </w:rPr>
      </w:pPr>
      <w:r>
        <w:rPr>
          <w:rFonts w:ascii="宋体_GB2312" w:hAnsi="宋体_GB2312" w:eastAsia="宋体_GB2312"/>
        </w:rPr>
        <w:t>3.3.1.1光纤连接器</w:t>
      </w:r>
      <w:r>
        <w:rPr>
          <w:rFonts w:hint="eastAsia" w:ascii="宋体_GB2312" w:hAnsi="宋体_GB2312" w:eastAsia="宋体_GB2312"/>
        </w:rPr>
        <w:t>插头尺寸要求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预制成端型蝶形光缆插头</w:t>
      </w:r>
      <w:r>
        <w:rPr>
          <w:rFonts w:ascii="宋体_GB2312" w:hAnsi="宋体_GB2312" w:eastAsia="宋体_GB2312"/>
          <w:sz w:val="24"/>
          <w:szCs w:val="24"/>
        </w:rPr>
        <w:t>(含保护套管)的长度L应不大于60mm，如图3</w:t>
      </w:r>
      <w:r>
        <w:rPr>
          <w:rFonts w:hint="eastAsia" w:ascii="宋体_GB2312" w:hAnsi="宋体_GB2312" w:eastAsia="宋体_GB2312"/>
          <w:sz w:val="24"/>
          <w:szCs w:val="24"/>
        </w:rPr>
        <w:t>所示。</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预制成端型蝶形光缆采用</w:t>
      </w:r>
      <w:r>
        <w:rPr>
          <w:rFonts w:ascii="宋体_GB2312" w:hAnsi="宋体_GB2312" w:eastAsia="宋体_GB2312"/>
          <w:sz w:val="24"/>
          <w:szCs w:val="24"/>
        </w:rPr>
        <w:t>SC或FC型连接器插头</w:t>
      </w:r>
      <w:r>
        <w:rPr>
          <w:rFonts w:hint="eastAsia" w:ascii="宋体_GB2312" w:hAnsi="宋体_GB2312" w:eastAsia="宋体_GB2312"/>
          <w:sz w:val="24"/>
          <w:szCs w:val="24"/>
        </w:rPr>
        <w:t>时</w:t>
      </w:r>
      <w:r>
        <w:rPr>
          <w:rFonts w:ascii="宋体_GB2312" w:hAnsi="宋体_GB2312" w:eastAsia="宋体_GB2312"/>
          <w:sz w:val="24"/>
          <w:szCs w:val="24"/>
        </w:rPr>
        <w:t>，</w:t>
      </w:r>
      <w:r>
        <w:rPr>
          <w:rFonts w:hint="eastAsia" w:ascii="宋体_GB2312" w:hAnsi="宋体_GB2312" w:eastAsia="宋体_GB2312"/>
          <w:sz w:val="24"/>
          <w:szCs w:val="24"/>
        </w:rPr>
        <w:t>其接口图形和配合尺寸应满足</w:t>
      </w:r>
      <w:r>
        <w:rPr>
          <w:rFonts w:ascii="宋体_GB2312" w:hAnsi="宋体_GB2312" w:eastAsia="宋体_GB2312"/>
          <w:sz w:val="24"/>
          <w:szCs w:val="24"/>
        </w:rPr>
        <w:t>YD/T 1272.3、YD/T 1272.4中的要求。</w:t>
      </w:r>
    </w:p>
    <w:p>
      <w:pPr>
        <w:adjustRightInd/>
        <w:spacing w:line="276" w:lineRule="auto"/>
        <w:ind w:left="420" w:leftChars="200" w:firstLine="480" w:firstLineChars="200"/>
        <w:jc w:val="left"/>
        <w:textAlignment w:val="auto"/>
        <w:rPr>
          <w:rFonts w:ascii="宋体_GB2312" w:hAnsi="宋体_GB2312" w:eastAsia="宋体_GB2312"/>
          <w:sz w:val="24"/>
          <w:szCs w:val="24"/>
        </w:rPr>
      </w:pPr>
    </w:p>
    <w:p>
      <w:pPr>
        <w:adjustRightInd/>
        <w:spacing w:line="276" w:lineRule="auto"/>
        <w:ind w:left="420" w:leftChars="200" w:firstLine="480" w:firstLineChars="200"/>
        <w:jc w:val="left"/>
        <w:textAlignment w:val="auto"/>
        <w:rPr>
          <w:rFonts w:ascii="宋体_GB2312" w:hAnsi="宋体_GB2312" w:eastAsia="宋体_GB2312"/>
          <w:sz w:val="24"/>
          <w:szCs w:val="24"/>
        </w:rPr>
      </w:pPr>
    </w:p>
    <w:p>
      <w:pPr>
        <w:pStyle w:val="36"/>
        <w:spacing w:after="12" w:line="276" w:lineRule="auto"/>
        <w:ind w:firstLine="0" w:firstLineChars="0"/>
        <w:jc w:val="center"/>
        <w:rPr>
          <w:rFonts w:ascii="宋体_GB2312" w:hAnsi="宋体_GB2312" w:eastAsia="宋体_GB2312" w:cs="宋体"/>
          <w:sz w:val="24"/>
          <w:szCs w:val="24"/>
        </w:rPr>
      </w:pPr>
      <w:r>
        <w:rPr>
          <w:rFonts w:ascii="宋体_GB2312" w:hAnsi="宋体_GB2312" w:eastAsia="宋体_GB2312" w:cs="宋体"/>
          <w:sz w:val="24"/>
          <w:szCs w:val="24"/>
        </w:rPr>
        <mc:AlternateContent>
          <mc:Choice Requires="wpg">
            <w:drawing>
              <wp:inline distT="0" distB="0" distL="0" distR="0">
                <wp:extent cx="2133600" cy="640080"/>
                <wp:effectExtent l="8890" t="8255" r="10160" b="8890"/>
                <wp:docPr id="1" name="Group 1316"/>
                <wp:cNvGraphicFramePr/>
                <a:graphic xmlns:a="http://schemas.openxmlformats.org/drawingml/2006/main">
                  <a:graphicData uri="http://schemas.microsoft.com/office/word/2010/wordprocessingGroup">
                    <wpg:wgp>
                      <wpg:cNvGrpSpPr/>
                      <wpg:grpSpPr>
                        <a:xfrm>
                          <a:off x="0" y="0"/>
                          <a:ext cx="2133600" cy="640080"/>
                          <a:chOff x="4358" y="7658"/>
                          <a:chExt cx="3360" cy="1008"/>
                        </a:xfrm>
                      </wpg:grpSpPr>
                      <wps:wsp>
                        <wps:cNvPr id="2" name="AutoShape 1317"/>
                        <wps:cNvCnPr>
                          <a:cxnSpLocks noChangeShapeType="1"/>
                        </wps:cNvCnPr>
                        <wps:spPr bwMode="auto">
                          <a:xfrm>
                            <a:off x="7718" y="8390"/>
                            <a:ext cx="0" cy="276"/>
                          </a:xfrm>
                          <a:prstGeom prst="straightConnector1">
                            <a:avLst/>
                          </a:prstGeom>
                          <a:noFill/>
                          <a:ln w="9525">
                            <a:solidFill>
                              <a:srgbClr val="000000"/>
                            </a:solidFill>
                            <a:round/>
                          </a:ln>
                        </wps:spPr>
                        <wps:bodyPr/>
                      </wps:wsp>
                      <wps:wsp>
                        <wps:cNvPr id="3" name="AutoShape 1318"/>
                        <wps:cNvCnPr>
                          <a:cxnSpLocks noChangeShapeType="1"/>
                        </wps:cNvCnPr>
                        <wps:spPr bwMode="auto">
                          <a:xfrm>
                            <a:off x="4917" y="8540"/>
                            <a:ext cx="2784" cy="5"/>
                          </a:xfrm>
                          <a:prstGeom prst="straightConnector1">
                            <a:avLst/>
                          </a:prstGeom>
                          <a:noFill/>
                          <a:ln w="9525">
                            <a:solidFill>
                              <a:srgbClr val="000000"/>
                            </a:solidFill>
                            <a:round/>
                            <a:headEnd type="triangle" w="med" len="med"/>
                            <a:tailEnd type="triangle" w="sm" len="sm"/>
                          </a:ln>
                        </wps:spPr>
                        <wps:bodyPr/>
                      </wps:wsp>
                      <wps:wsp>
                        <wps:cNvPr id="5" name="Text Box 1319"/>
                        <wps:cNvSpPr txBox="1">
                          <a:spLocks noChangeArrowheads="1"/>
                        </wps:cNvSpPr>
                        <wps:spPr bwMode="auto">
                          <a:xfrm>
                            <a:off x="6143" y="8282"/>
                            <a:ext cx="493" cy="295"/>
                          </a:xfrm>
                          <a:prstGeom prst="rect">
                            <a:avLst/>
                          </a:prstGeom>
                          <a:noFill/>
                          <a:ln>
                            <a:noFill/>
                          </a:ln>
                        </wps:spPr>
                        <wps:txbx>
                          <w:txbxContent>
                            <w:p>
                              <w:pPr>
                                <w:spacing w:after="12"/>
                                <w:ind w:firstLine="150" w:firstLineChars="100"/>
                                <w:rPr>
                                  <w:sz w:val="15"/>
                                  <w:szCs w:val="15"/>
                                </w:rPr>
                              </w:pPr>
                              <w:r>
                                <w:rPr>
                                  <w:rFonts w:hint="eastAsia"/>
                                  <w:sz w:val="15"/>
                                  <w:szCs w:val="15"/>
                                </w:rPr>
                                <w:t>L</w:t>
                              </w:r>
                            </w:p>
                          </w:txbxContent>
                        </wps:txbx>
                        <wps:bodyPr rot="0" vert="horz" wrap="square" lIns="0" tIns="0" rIns="0" bIns="0" anchor="t" anchorCtr="0" upright="1">
                          <a:noAutofit/>
                        </wps:bodyPr>
                      </wps:wsp>
                      <wps:wsp>
                        <wps:cNvPr id="6" name="AutoShape 1320"/>
                        <wps:cNvCnPr>
                          <a:cxnSpLocks noChangeShapeType="1"/>
                        </wps:cNvCnPr>
                        <wps:spPr bwMode="auto">
                          <a:xfrm>
                            <a:off x="4914" y="8390"/>
                            <a:ext cx="0" cy="276"/>
                          </a:xfrm>
                          <a:prstGeom prst="straightConnector1">
                            <a:avLst/>
                          </a:prstGeom>
                          <a:noFill/>
                          <a:ln w="9525">
                            <a:solidFill>
                              <a:srgbClr val="000000"/>
                            </a:solidFill>
                            <a:round/>
                          </a:ln>
                        </wps:spPr>
                        <wps:bodyPr/>
                      </wps:wsp>
                      <wpg:grpSp>
                        <wpg:cNvPr id="7" name="Group 1321"/>
                        <wpg:cNvGrpSpPr/>
                        <wpg:grpSpPr>
                          <a:xfrm>
                            <a:off x="4358" y="7658"/>
                            <a:ext cx="3341" cy="614"/>
                            <a:chOff x="4049" y="5942"/>
                            <a:chExt cx="3341" cy="614"/>
                          </a:xfrm>
                        </wpg:grpSpPr>
                        <wps:wsp>
                          <wps:cNvPr id="8" name="AutoShape 1322"/>
                          <wps:cNvCnPr>
                            <a:cxnSpLocks noChangeShapeType="1"/>
                          </wps:cNvCnPr>
                          <wps:spPr bwMode="auto">
                            <a:xfrm>
                              <a:off x="7389" y="6172"/>
                              <a:ext cx="1" cy="138"/>
                            </a:xfrm>
                            <a:prstGeom prst="straightConnector1">
                              <a:avLst/>
                            </a:prstGeom>
                            <a:noFill/>
                            <a:ln w="9525">
                              <a:solidFill>
                                <a:srgbClr val="000000"/>
                              </a:solidFill>
                              <a:round/>
                            </a:ln>
                          </wps:spPr>
                          <wps:bodyPr/>
                        </wps:wsp>
                        <wps:wsp>
                          <wps:cNvPr id="9" name="AutoShape 1323"/>
                          <wps:cNvCnPr>
                            <a:cxnSpLocks noChangeShapeType="1"/>
                          </wps:cNvCnPr>
                          <wps:spPr bwMode="auto">
                            <a:xfrm flipH="1">
                              <a:off x="7286" y="6320"/>
                              <a:ext cx="103" cy="68"/>
                            </a:xfrm>
                            <a:prstGeom prst="straightConnector1">
                              <a:avLst/>
                            </a:prstGeom>
                            <a:noFill/>
                            <a:ln w="9525">
                              <a:solidFill>
                                <a:srgbClr val="000000"/>
                              </a:solidFill>
                              <a:round/>
                            </a:ln>
                          </wps:spPr>
                          <wps:bodyPr/>
                        </wps:wsp>
                        <wps:wsp>
                          <wps:cNvPr id="10" name="AutoShape 1324"/>
                          <wps:cNvCnPr>
                            <a:cxnSpLocks noChangeShapeType="1"/>
                          </wps:cNvCnPr>
                          <wps:spPr bwMode="auto">
                            <a:xfrm flipH="1" flipV="1">
                              <a:off x="7266" y="6110"/>
                              <a:ext cx="123" cy="62"/>
                            </a:xfrm>
                            <a:prstGeom prst="straightConnector1">
                              <a:avLst/>
                            </a:prstGeom>
                            <a:noFill/>
                            <a:ln w="9525">
                              <a:solidFill>
                                <a:srgbClr val="000000"/>
                              </a:solidFill>
                              <a:round/>
                            </a:ln>
                          </wps:spPr>
                          <wps:bodyPr/>
                        </wps:wsp>
                        <wps:wsp>
                          <wps:cNvPr id="11" name="AutoShape 1325"/>
                          <wps:cNvCnPr>
                            <a:cxnSpLocks noChangeShapeType="1"/>
                          </wps:cNvCnPr>
                          <wps:spPr bwMode="auto">
                            <a:xfrm>
                              <a:off x="4049" y="6184"/>
                              <a:ext cx="552" cy="0"/>
                            </a:xfrm>
                            <a:prstGeom prst="straightConnector1">
                              <a:avLst/>
                            </a:prstGeom>
                            <a:noFill/>
                            <a:ln w="9525">
                              <a:solidFill>
                                <a:srgbClr val="000000"/>
                              </a:solidFill>
                              <a:round/>
                            </a:ln>
                          </wps:spPr>
                          <wps:bodyPr/>
                        </wps:wsp>
                        <wps:wsp>
                          <wps:cNvPr id="12" name="AutoShape 1326"/>
                          <wps:cNvCnPr>
                            <a:cxnSpLocks noChangeShapeType="1"/>
                          </wps:cNvCnPr>
                          <wps:spPr bwMode="auto">
                            <a:xfrm>
                              <a:off x="4049" y="6320"/>
                              <a:ext cx="552" cy="2"/>
                            </a:xfrm>
                            <a:prstGeom prst="straightConnector1">
                              <a:avLst/>
                            </a:prstGeom>
                            <a:noFill/>
                            <a:ln w="9525">
                              <a:solidFill>
                                <a:srgbClr val="000000"/>
                              </a:solidFill>
                              <a:round/>
                            </a:ln>
                          </wps:spPr>
                          <wps:bodyPr/>
                        </wps:wsp>
                        <wps:wsp>
                          <wps:cNvPr id="13" name="AutoShape 1327"/>
                          <wps:cNvCnPr>
                            <a:cxnSpLocks noChangeShapeType="1"/>
                          </wps:cNvCnPr>
                          <wps:spPr bwMode="auto">
                            <a:xfrm>
                              <a:off x="6774" y="6111"/>
                              <a:ext cx="492" cy="0"/>
                            </a:xfrm>
                            <a:prstGeom prst="straightConnector1">
                              <a:avLst/>
                            </a:prstGeom>
                            <a:noFill/>
                            <a:ln w="9525">
                              <a:solidFill>
                                <a:srgbClr val="000000"/>
                              </a:solidFill>
                              <a:round/>
                            </a:ln>
                          </wps:spPr>
                          <wps:bodyPr/>
                        </wps:wsp>
                        <wps:wsp>
                          <wps:cNvPr id="14" name="AutoShape 1328"/>
                          <wps:cNvCnPr>
                            <a:cxnSpLocks noChangeShapeType="1"/>
                          </wps:cNvCnPr>
                          <wps:spPr bwMode="auto">
                            <a:xfrm>
                              <a:off x="6793" y="6388"/>
                              <a:ext cx="493" cy="0"/>
                            </a:xfrm>
                            <a:prstGeom prst="straightConnector1">
                              <a:avLst/>
                            </a:prstGeom>
                            <a:noFill/>
                            <a:ln w="9525">
                              <a:solidFill>
                                <a:srgbClr val="000000"/>
                              </a:solidFill>
                              <a:round/>
                            </a:ln>
                          </wps:spPr>
                          <wps:bodyPr/>
                        </wps:wsp>
                        <wps:wsp>
                          <wps:cNvPr id="15" name="Rectangle 1329"/>
                          <wps:cNvSpPr>
                            <a:spLocks noChangeArrowheads="1"/>
                          </wps:cNvSpPr>
                          <wps:spPr bwMode="auto">
                            <a:xfrm>
                              <a:off x="4601" y="5942"/>
                              <a:ext cx="2171" cy="614"/>
                            </a:xfrm>
                            <a:prstGeom prst="rect">
                              <a:avLst/>
                            </a:prstGeom>
                            <a:noFill/>
                            <a:ln w="9525">
                              <a:solidFill>
                                <a:srgbClr val="000000"/>
                              </a:solidFill>
                              <a:miter lim="800000"/>
                            </a:ln>
                          </wps:spPr>
                          <wps:bodyPr rot="0" vert="horz" wrap="square" lIns="91440" tIns="45720" rIns="91440" bIns="45720" anchor="t" anchorCtr="0" upright="1">
                            <a:noAutofit/>
                          </wps:bodyPr>
                        </wps:wsp>
                      </wpg:grpSp>
                    </wpg:wgp>
                  </a:graphicData>
                </a:graphic>
              </wp:inline>
            </w:drawing>
          </mc:Choice>
          <mc:Fallback>
            <w:pict>
              <v:group id="Group 1316" o:spid="_x0000_s1026" o:spt="203" style="height:50.4pt;width:168pt;" coordorigin="4358,7658" coordsize="3360,1008" o:gfxdata="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">
                <o:lock v:ext="edit" aspectratio="f"/>
                <v:shape id="AutoShape 1317" o:spid="_x0000_s1026" o:spt="32" type="#_x0000_t32" style="position:absolute;left:7718;top:8390;height:276;width:0;" filled="f" stroked="t" coordsize="21600,21600" o:gfxdata="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5NC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AutoShape 1318" o:spid="_x0000_s1026" o:spt="32" type="#_x0000_t32" style="position:absolute;left:4917;top:8540;height:5;width:2784;" filled="f" stroked="t" coordsize="21600,21600" o:gfxdata="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EL6Ib4A&#10;AADaAAAADwAAAAAAAAABACAAAAAiAAAAZHJzL2Rvd25yZXYueG1sUEsBAhQAFAAAAAgAh07iQDMv&#10;BZ47AAAAOQAAABAAAAAAAAAAAQAgAAAADQEAAGRycy9zaGFwZXhtbC54bWxQSwUGAAAAAAYABgBb&#10;AQAAtwMAAAAA&#10;">
                  <v:fill on="f" focussize="0,0"/>
                  <v:stroke color="#000000" joinstyle="round" startarrow="block" endarrow="block" endarrowwidth="narrow" endarrowlength="short"/>
                  <v:imagedata o:title=""/>
                  <o:lock v:ext="edit" aspectratio="f"/>
                </v:shape>
                <v:shape id="Text Box 1319" o:spid="_x0000_s1026" o:spt="202" type="#_x0000_t202" style="position:absolute;left:6143;top:8282;height:295;width:493;"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after="12"/>
                          <w:ind w:firstLine="150" w:firstLineChars="100"/>
                          <w:rPr>
                            <w:sz w:val="15"/>
                            <w:szCs w:val="15"/>
                          </w:rPr>
                        </w:pPr>
                        <w:r>
                          <w:rPr>
                            <w:rFonts w:hint="eastAsia"/>
                            <w:sz w:val="15"/>
                            <w:szCs w:val="15"/>
                          </w:rPr>
                          <w:t>L</w:t>
                        </w:r>
                      </w:p>
                    </w:txbxContent>
                  </v:textbox>
                </v:shape>
                <v:shape id="AutoShape 1320" o:spid="_x0000_s1026" o:spt="32" type="#_x0000_t32" style="position:absolute;left:4914;top:8390;height:276;width:0;" filled="f" stroked="t" coordsize="21600,21600" o:gfxdata="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IyIbsAAADa&#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group id="Group 1321" o:spid="_x0000_s1026" o:spt="203" style="position:absolute;left:4358;top:7658;height:614;width:3341;" coordorigin="4049,5942" coordsize="3341,614"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shape id="AutoShape 1322" o:spid="_x0000_s1026" o:spt="32" type="#_x0000_t32" style="position:absolute;left:7389;top:6172;height:138;width:1;"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AutoShape 1323" o:spid="_x0000_s1026" o:spt="32" type="#_x0000_t32" style="position:absolute;left:7286;top:6320;flip:x;height:68;width:103;" filled="f" stroked="t" coordsize="21600,21600" o:gfxdata="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rGvJrsAAADa&#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AutoShape 1324" o:spid="_x0000_s1026" o:spt="32" type="#_x0000_t32" style="position:absolute;left:7266;top:6110;flip:x y;height:62;width:123;" filled="f" stroked="t" coordsize="21600,21600" o:gfxdata="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Tk30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AutoShape 1325" o:spid="_x0000_s1026" o:spt="32" type="#_x0000_t32" style="position:absolute;left:4049;top:6184;height:0;width:552;" filled="f" stroked="t" coordsize="21600,21600" o:gfxdata="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wRz+7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AutoShape 1326" o:spid="_x0000_s1026" o:spt="32" type="#_x0000_t32" style="position:absolute;left:4049;top:6320;height:2;width:552;"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AutoShape 1327" o:spid="_x0000_s1026" o:spt="32" type="#_x0000_t32" style="position:absolute;left:6774;top:6111;height:0;width:492;" filled="f" stroked="t" coordsize="21600,21600" o:gfxdata="UEsDBAoAAAAAAIdO4kAAAAAAAAAAAAAAAAAEAAAAZHJzL1BLAwQUAAAACACHTuJAvJpIF7sAAADb&#10;AAAADwAAAGRycy9kb3ducmV2LnhtbEVPTWvCQBC9C/0PyxR6kbobi2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pIF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AutoShape 1328" o:spid="_x0000_s1026" o:spt="32" type="#_x0000_t32" style="position:absolute;left:6793;top:6388;height:0;width:493;" filled="f" stroked="t" coordsize="21600,21600" o:gfxdata="UEsDBAoAAAAAAIdO4kAAAAAAAAAAAAAAAAAEAAAAZHJzL1BLAwQUAAAACACHTuJAM3PQY7sAAADb&#10;AAAADwAAAGRycy9kb3ducmV2LnhtbEVPTWvCQBC9C/0PyxR6kbobqW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3PQY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rect id="Rectangle 1329" o:spid="_x0000_s1026" o:spt="1" style="position:absolute;left:4601;top:5942;height:614;width:2171;" filled="f" stroked="t" coordsize="21600,21600" o:gfxdata="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Zice5AAAA2wAA&#10;AA8AAAAAAAAAAQAgAAAAIgAAAGRycy9kb3ducmV2LnhtbFBLAQIUABQAAAAIAIdO4kAzLwWeOwAA&#10;ADkAAAAQAAAAAAAAAAEAIAAAAAgBAABkcnMvc2hhcGV4bWwueG1sUEsFBgAAAAAGAAYAWwEAALID&#10;AAAAAA==&#10;">
                    <v:fill on="f" focussize="0,0"/>
                    <v:stroke color="#000000" miterlimit="8" joinstyle="miter"/>
                    <v:imagedata o:title=""/>
                    <o:lock v:ext="edit" aspectratio="f"/>
                  </v:rect>
                </v:group>
                <w10:wrap type="none"/>
                <w10:anchorlock/>
              </v:group>
            </w:pict>
          </mc:Fallback>
        </mc:AlternateContent>
      </w:r>
    </w:p>
    <w:p>
      <w:pPr>
        <w:spacing w:line="276" w:lineRule="auto"/>
        <w:jc w:val="center"/>
        <w:rPr>
          <w:rFonts w:ascii="宋体_GB2312" w:hAnsi="宋体_GB2312" w:eastAsia="宋体_GB2312"/>
          <w:sz w:val="24"/>
          <w:szCs w:val="24"/>
        </w:rPr>
      </w:pPr>
    </w:p>
    <w:p>
      <w:pPr>
        <w:pStyle w:val="170"/>
        <w:spacing w:before="120" w:after="120" w:line="276" w:lineRule="auto"/>
        <w:rPr>
          <w:rFonts w:ascii="宋体_GB2312" w:hAnsi="宋体_GB2312" w:eastAsia="宋体_GB2312"/>
        </w:rPr>
      </w:pPr>
      <w:r>
        <w:rPr>
          <w:rFonts w:hint="eastAsia" w:ascii="宋体_GB2312" w:hAnsi="宋体_GB2312" w:eastAsia="宋体_GB2312"/>
        </w:rPr>
        <w:t>预制成端型蝶形光缆</w:t>
      </w:r>
      <w:r>
        <w:rPr>
          <w:rFonts w:ascii="宋体_GB2312" w:hAnsi="宋体_GB2312" w:eastAsia="宋体_GB2312"/>
        </w:rPr>
        <w:t>光纤连接器</w:t>
      </w:r>
      <w:r>
        <w:rPr>
          <w:rFonts w:hint="eastAsia" w:ascii="宋体_GB2312" w:hAnsi="宋体_GB2312" w:eastAsia="宋体_GB2312"/>
        </w:rPr>
        <w:t>插头长度示意图</w:t>
      </w:r>
    </w:p>
    <w:p>
      <w:pPr>
        <w:pStyle w:val="5"/>
        <w:spacing w:after="12"/>
        <w:rPr>
          <w:rFonts w:ascii="宋体_GB2312" w:hAnsi="宋体_GB2312" w:eastAsia="宋体_GB2312"/>
        </w:rPr>
      </w:pPr>
      <w:r>
        <w:rPr>
          <w:rFonts w:ascii="宋体_GB2312" w:hAnsi="宋体_GB2312" w:eastAsia="宋体_GB2312"/>
        </w:rPr>
        <w:t>3.3.1.2光纤连接器</w:t>
      </w:r>
      <w:r>
        <w:rPr>
          <w:rFonts w:hint="eastAsia" w:ascii="宋体_GB2312" w:hAnsi="宋体_GB2312" w:eastAsia="宋体_GB2312"/>
        </w:rPr>
        <w:t>插针体端面要求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光纤连接器</w:t>
      </w:r>
      <w:r>
        <w:rPr>
          <w:rFonts w:hint="eastAsia" w:ascii="宋体_GB2312" w:hAnsi="宋体_GB2312" w:eastAsia="宋体_GB2312"/>
          <w:sz w:val="24"/>
          <w:szCs w:val="24"/>
        </w:rPr>
        <w:t>插针体端面形状可为</w:t>
      </w:r>
      <w:r>
        <w:rPr>
          <w:rFonts w:ascii="宋体_GB2312" w:hAnsi="宋体_GB2312" w:eastAsia="宋体_GB2312"/>
          <w:sz w:val="24"/>
          <w:szCs w:val="24"/>
        </w:rPr>
        <w:t>PC</w:t>
      </w:r>
      <w:r>
        <w:rPr>
          <w:rFonts w:hint="eastAsia" w:ascii="宋体_GB2312" w:hAnsi="宋体_GB2312" w:eastAsia="宋体_GB2312"/>
          <w:sz w:val="24"/>
          <w:szCs w:val="24"/>
        </w:rPr>
        <w:t>、</w:t>
      </w:r>
      <w:r>
        <w:rPr>
          <w:rFonts w:ascii="宋体_GB2312" w:hAnsi="宋体_GB2312" w:eastAsia="宋体_GB2312"/>
          <w:sz w:val="24"/>
          <w:szCs w:val="24"/>
        </w:rPr>
        <w:t>UPC</w:t>
      </w:r>
      <w:r>
        <w:rPr>
          <w:rFonts w:hint="eastAsia" w:ascii="宋体_GB2312" w:hAnsi="宋体_GB2312" w:eastAsia="宋体_GB2312"/>
          <w:sz w:val="24"/>
          <w:szCs w:val="24"/>
        </w:rPr>
        <w:t>、</w:t>
      </w:r>
      <w:r>
        <w:rPr>
          <w:rFonts w:ascii="宋体_GB2312" w:hAnsi="宋体_GB2312" w:eastAsia="宋体_GB2312"/>
          <w:sz w:val="24"/>
          <w:szCs w:val="24"/>
        </w:rPr>
        <w:t>APC</w:t>
      </w:r>
      <w:r>
        <w:rPr>
          <w:rFonts w:hint="eastAsia" w:ascii="宋体_GB2312" w:hAnsi="宋体_GB2312" w:eastAsia="宋体_GB2312"/>
          <w:sz w:val="24"/>
          <w:szCs w:val="24"/>
        </w:rPr>
        <w:t>型，并应满足</w:t>
      </w:r>
      <w:r>
        <w:rPr>
          <w:rFonts w:ascii="宋体_GB2312" w:hAnsi="宋体_GB2312" w:eastAsia="宋体_GB2312"/>
          <w:sz w:val="24"/>
          <w:szCs w:val="24"/>
        </w:rPr>
        <w:t>YD/T 2152-2010《光纤活动连接器可靠性要求及试验方法》中5.3.2的要求。</w:t>
      </w:r>
    </w:p>
    <w:p>
      <w:pPr>
        <w:pStyle w:val="5"/>
        <w:spacing w:after="12"/>
        <w:rPr>
          <w:rFonts w:ascii="宋体_GB2312" w:hAnsi="宋体_GB2312" w:eastAsia="宋体_GB2312"/>
        </w:rPr>
      </w:pPr>
      <w:r>
        <w:rPr>
          <w:rFonts w:ascii="宋体_GB2312" w:hAnsi="宋体_GB2312" w:eastAsia="宋体_GB2312"/>
        </w:rPr>
        <w:t>3.3.1.3光纤连接器插头结构</w:t>
      </w:r>
      <w:r>
        <w:rPr>
          <w:rFonts w:hint="eastAsia" w:ascii="宋体_GB2312" w:hAnsi="宋体_GB2312" w:eastAsia="宋体_GB2312"/>
        </w:rPr>
        <w:t>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预制成端型蝶形光缆</w:t>
      </w:r>
      <w:r>
        <w:rPr>
          <w:rFonts w:ascii="宋体_GB2312" w:hAnsi="宋体_GB2312" w:eastAsia="宋体_GB2312"/>
          <w:sz w:val="24"/>
          <w:szCs w:val="24"/>
        </w:rPr>
        <w:t>光纤连接器插头的常见结构见图4</w:t>
      </w:r>
      <w:r>
        <w:rPr>
          <w:rFonts w:hint="eastAsia" w:ascii="宋体_GB2312" w:hAnsi="宋体_GB2312" w:eastAsia="宋体_GB2312"/>
          <w:sz w:val="24"/>
          <w:szCs w:val="24"/>
        </w:rPr>
        <w:t>，但不限于此结构</w:t>
      </w:r>
      <w:r>
        <w:rPr>
          <w:rFonts w:ascii="宋体_GB2312" w:hAnsi="宋体_GB2312" w:eastAsia="宋体_GB2312"/>
          <w:sz w:val="24"/>
          <w:szCs w:val="24"/>
        </w:rPr>
        <w:t xml:space="preserve">： </w:t>
      </w:r>
    </w:p>
    <w:p>
      <w:pPr>
        <w:adjustRightInd/>
        <w:spacing w:line="276" w:lineRule="auto"/>
        <w:ind w:left="420" w:leftChars="200" w:firstLine="480" w:firstLineChars="200"/>
        <w:jc w:val="left"/>
        <w:textAlignment w:val="auto"/>
        <w:rPr>
          <w:rFonts w:ascii="宋体_GB2312" w:hAnsi="宋体_GB2312" w:eastAsia="宋体_GB2312"/>
          <w:sz w:val="24"/>
          <w:szCs w:val="24"/>
        </w:rPr>
      </w:pPr>
    </w:p>
    <w:p>
      <w:pPr>
        <w:spacing w:after="12" w:line="276" w:lineRule="auto"/>
        <w:ind w:firstLine="408" w:firstLineChars="170"/>
        <w:rPr>
          <w:rFonts w:ascii="宋体_GB2312" w:hAnsi="宋体_GB2312" w:eastAsia="宋体_GB2312"/>
          <w:sz w:val="24"/>
          <w:szCs w:val="24"/>
        </w:rPr>
      </w:pPr>
      <w:r>
        <w:rPr>
          <w:rFonts w:ascii="宋体_GB2312" w:hAnsi="宋体_GB2312" w:eastAsia="宋体_GB2312"/>
          <w:sz w:val="24"/>
          <w:szCs w:val="24"/>
        </w:rPr>
        <w:drawing>
          <wp:inline distT="0" distB="0" distL="0" distR="0">
            <wp:extent cx="5271770" cy="1574165"/>
            <wp:effectExtent l="0" t="0" r="0" b="0"/>
            <wp:docPr id="4" name="图片 2" descr="http://image.c114.net/n100818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http://image.c114.net/n1008180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1770" cy="1574165"/>
                    </a:xfrm>
                    <a:prstGeom prst="rect">
                      <a:avLst/>
                    </a:prstGeom>
                    <a:noFill/>
                    <a:ln>
                      <a:noFill/>
                    </a:ln>
                  </pic:spPr>
                </pic:pic>
              </a:graphicData>
            </a:graphic>
          </wp:inline>
        </w:drawing>
      </w:r>
    </w:p>
    <w:p>
      <w:pPr>
        <w:pStyle w:val="170"/>
        <w:spacing w:before="120" w:after="120" w:line="276" w:lineRule="auto"/>
        <w:rPr>
          <w:rFonts w:ascii="宋体_GB2312" w:hAnsi="宋体_GB2312" w:eastAsia="宋体_GB2312"/>
        </w:rPr>
      </w:pPr>
      <w:r>
        <w:rPr>
          <w:rFonts w:hint="eastAsia" w:ascii="宋体_GB2312" w:hAnsi="宋体_GB2312" w:eastAsia="宋体_GB2312"/>
        </w:rPr>
        <w:t>预制成端型蝶形光缆</w:t>
      </w:r>
      <w:r>
        <w:rPr>
          <w:rFonts w:ascii="宋体_GB2312" w:hAnsi="宋体_GB2312" w:eastAsia="宋体_GB2312"/>
        </w:rPr>
        <w:t>光纤连接器插头结构图</w:t>
      </w:r>
    </w:p>
    <w:p>
      <w:pPr>
        <w:spacing w:line="276" w:lineRule="auto"/>
        <w:jc w:val="center"/>
        <w:rPr>
          <w:rFonts w:ascii="宋体_GB2312" w:hAnsi="宋体_GB2312" w:eastAsia="宋体_GB2312"/>
          <w:sz w:val="24"/>
          <w:szCs w:val="24"/>
        </w:rPr>
      </w:pPr>
    </w:p>
    <w:p>
      <w:pPr>
        <w:spacing w:before="120" w:beforeLines="50" w:line="300" w:lineRule="auto"/>
        <w:ind w:firstLine="560" w:firstLineChars="200"/>
        <w:rPr>
          <w:rFonts w:ascii="宋体_GB2312" w:hAnsi="宋体_GB2312" w:eastAsia="宋体_GB2312"/>
          <w:sz w:val="24"/>
          <w:szCs w:val="24"/>
        </w:rPr>
      </w:pPr>
      <w:r>
        <w:rPr>
          <w:rFonts w:hint="eastAsia" w:ascii="宋体_GB2312" w:hAnsi="宋体_GB2312" w:eastAsia="宋体_GB2312"/>
          <w:color w:val="FF0000"/>
          <w:sz w:val="28"/>
          <w:szCs w:val="24"/>
        </w:rPr>
        <w:t>★</w:t>
      </w:r>
      <w:r>
        <w:rPr>
          <w:rFonts w:hint="eastAsia" w:ascii="宋体_GB2312" w:hAnsi="宋体_GB2312" w:eastAsia="宋体_GB2312"/>
          <w:sz w:val="24"/>
          <w:szCs w:val="24"/>
        </w:rPr>
        <w:t>（</w:t>
      </w:r>
      <w:r>
        <w:rPr>
          <w:rFonts w:ascii="宋体_GB2312" w:hAnsi="宋体_GB2312" w:eastAsia="宋体_GB2312"/>
          <w:sz w:val="24"/>
          <w:szCs w:val="24"/>
        </w:rPr>
        <w:t>2）光纤连接器插头</w:t>
      </w:r>
      <w:r>
        <w:rPr>
          <w:rFonts w:hint="eastAsia" w:ascii="宋体_GB2312" w:hAnsi="宋体_GB2312" w:eastAsia="宋体_GB2312"/>
          <w:sz w:val="24"/>
          <w:szCs w:val="24"/>
        </w:rPr>
        <w:t>与蝶形光缆之间的连接应牢固可靠，铆压连接件的连接力应作用在蝶形光缆的护套及加强构件上，不应对蝶形光缆中的光纤纤芯施加长期的应力。</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用于光缆连接的</w:t>
      </w:r>
      <w:r>
        <w:rPr>
          <w:rFonts w:ascii="宋体_GB2312" w:hAnsi="宋体_GB2312" w:eastAsia="宋体_GB2312"/>
          <w:sz w:val="24"/>
          <w:szCs w:val="24"/>
        </w:rPr>
        <w:t>光纤连接器插头</w:t>
      </w:r>
      <w:r>
        <w:rPr>
          <w:rFonts w:hint="eastAsia" w:ascii="宋体_GB2312" w:hAnsi="宋体_GB2312" w:eastAsia="宋体_GB2312"/>
          <w:sz w:val="24"/>
          <w:szCs w:val="24"/>
        </w:rPr>
        <w:t>，应考虑连接头尾部光缆头端的固定。这种固定既不能影响插针体的正常轴向活动范围，同时还要承受一定的拉力。当尾部光缆承受正常不小于</w:t>
      </w:r>
      <w:r>
        <w:rPr>
          <w:rFonts w:ascii="宋体_GB2312" w:hAnsi="宋体_GB2312" w:eastAsia="宋体_GB2312"/>
          <w:sz w:val="24"/>
          <w:szCs w:val="24"/>
        </w:rPr>
        <w:t>9.8N拉力时，插针体不能有回拉的现象，以保证连接器的正常工作。</w:t>
      </w:r>
    </w:p>
    <w:p>
      <w:pPr>
        <w:pStyle w:val="4"/>
        <w:spacing w:after="12"/>
        <w:rPr>
          <w:rFonts w:ascii="宋体_GB2312" w:hAnsi="宋体_GB2312" w:eastAsia="宋体_GB2312"/>
        </w:rPr>
      </w:pPr>
      <w:bookmarkStart w:id="79" w:name="_Toc326160312"/>
      <w:bookmarkStart w:id="80" w:name="_Toc31520"/>
      <w:bookmarkStart w:id="81" w:name="_Toc54084418"/>
      <w:bookmarkStart w:id="82" w:name="_Toc288576588"/>
      <w:bookmarkStart w:id="83" w:name="_Toc288233201"/>
      <w:bookmarkStart w:id="84" w:name="_Toc288576762"/>
      <w:r>
        <w:rPr>
          <w:rFonts w:ascii="宋体_GB2312" w:hAnsi="宋体_GB2312" w:eastAsia="宋体_GB2312"/>
        </w:rPr>
        <w:t>3.3.2</w:t>
      </w:r>
      <w:r>
        <w:rPr>
          <w:rFonts w:hint="eastAsia" w:ascii="宋体_GB2312" w:hAnsi="宋体_GB2312" w:eastAsia="宋体_GB2312"/>
        </w:rPr>
        <w:t>蝶形光缆要求</w:t>
      </w:r>
      <w:bookmarkEnd w:id="79"/>
      <w:bookmarkEnd w:id="80"/>
      <w:bookmarkEnd w:id="8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蝶形光缆及光纤应</w:t>
      </w:r>
      <w:r>
        <w:rPr>
          <w:rFonts w:ascii="宋体_GB2312" w:hAnsi="宋体_GB2312" w:eastAsia="宋体_GB2312"/>
          <w:sz w:val="24"/>
          <w:szCs w:val="24"/>
        </w:rPr>
        <w:t>满足</w:t>
      </w:r>
      <w:r>
        <w:rPr>
          <w:rFonts w:hint="eastAsia" w:ascii="宋体_GB2312" w:hAnsi="宋体_GB2312" w:eastAsia="宋体_GB2312"/>
          <w:sz w:val="24"/>
          <w:szCs w:val="24"/>
        </w:rPr>
        <w:t>本</w:t>
      </w:r>
      <w:r>
        <w:rPr>
          <w:rFonts w:ascii="宋体_GB2312" w:hAnsi="宋体_GB2312" w:eastAsia="宋体_GB2312"/>
          <w:sz w:val="24"/>
          <w:szCs w:val="24"/>
        </w:rPr>
        <w:t>技术规范书中普通蝶形光缆</w:t>
      </w:r>
      <w:r>
        <w:rPr>
          <w:rFonts w:hint="eastAsia" w:ascii="宋体_GB2312" w:hAnsi="宋体_GB2312" w:eastAsia="宋体_GB2312"/>
          <w:sz w:val="24"/>
          <w:szCs w:val="24"/>
        </w:rPr>
        <w:t>的主要</w:t>
      </w:r>
      <w:r>
        <w:rPr>
          <w:rFonts w:ascii="宋体_GB2312" w:hAnsi="宋体_GB2312" w:eastAsia="宋体_GB2312"/>
          <w:sz w:val="24"/>
          <w:szCs w:val="24"/>
        </w:rPr>
        <w:t>技术指标</w:t>
      </w:r>
      <w:r>
        <w:rPr>
          <w:rFonts w:hint="eastAsia" w:ascii="宋体_GB2312" w:hAnsi="宋体_GB2312" w:eastAsia="宋体_GB2312"/>
          <w:sz w:val="24"/>
          <w:szCs w:val="24"/>
        </w:rPr>
        <w:t>和要求。</w:t>
      </w:r>
    </w:p>
    <w:p>
      <w:pPr>
        <w:pStyle w:val="4"/>
        <w:spacing w:after="12"/>
        <w:rPr>
          <w:rFonts w:ascii="宋体_GB2312" w:hAnsi="宋体_GB2312" w:eastAsia="宋体_GB2312"/>
        </w:rPr>
      </w:pPr>
      <w:bookmarkStart w:id="85" w:name="_Toc26569"/>
      <w:bookmarkStart w:id="86" w:name="_Toc54084419"/>
      <w:bookmarkStart w:id="87" w:name="_Toc326160313"/>
      <w:r>
        <w:rPr>
          <w:rFonts w:ascii="宋体_GB2312" w:hAnsi="宋体_GB2312" w:eastAsia="宋体_GB2312"/>
        </w:rPr>
        <w:t>3.3.3</w:t>
      </w:r>
      <w:r>
        <w:rPr>
          <w:rFonts w:hint="eastAsia" w:ascii="宋体_GB2312" w:hAnsi="宋体_GB2312" w:eastAsia="宋体_GB2312"/>
        </w:rPr>
        <w:t>长度要求</w:t>
      </w:r>
      <w:bookmarkEnd w:id="85"/>
      <w:bookmarkEnd w:id="86"/>
      <w:bookmarkEnd w:id="8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预成端蝶形光缆应按照定制长度要求交货，定制长度应能按</w:t>
      </w:r>
      <w:r>
        <w:rPr>
          <w:rFonts w:ascii="宋体_GB2312" w:hAnsi="宋体_GB2312" w:eastAsia="宋体_GB2312"/>
          <w:sz w:val="24"/>
          <w:szCs w:val="24"/>
        </w:rPr>
        <w:t>5米为最短步长单位根据需求灵活定制，定制长度不含连接器插头及保护套管的长度。</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交货长度容差为</w:t>
      </w:r>
      <w:r>
        <w:rPr>
          <w:rFonts w:ascii="宋体_GB2312" w:hAnsi="宋体_GB2312" w:eastAsia="宋体_GB2312"/>
          <w:sz w:val="24"/>
          <w:szCs w:val="24"/>
        </w:rPr>
        <w:t>：0m～+2m。</w:t>
      </w:r>
    </w:p>
    <w:bookmarkEnd w:id="82"/>
    <w:bookmarkEnd w:id="83"/>
    <w:bookmarkEnd w:id="84"/>
    <w:p>
      <w:pPr>
        <w:pStyle w:val="2"/>
        <w:spacing w:before="0" w:after="0" w:line="276" w:lineRule="auto"/>
        <w:rPr>
          <w:rFonts w:ascii="宋体_GB2312" w:hAnsi="宋体_GB2312" w:eastAsia="宋体_GB2312"/>
          <w:sz w:val="24"/>
          <w:szCs w:val="24"/>
        </w:rPr>
      </w:pPr>
      <w:bookmarkStart w:id="88" w:name="_Toc54084420"/>
      <w:bookmarkStart w:id="89" w:name="_Toc326160315"/>
      <w:bookmarkStart w:id="90" w:name="_Toc290370439"/>
      <w:bookmarkStart w:id="91" w:name="_Toc288576591"/>
      <w:bookmarkStart w:id="92" w:name="_Toc290973599"/>
      <w:bookmarkStart w:id="93" w:name="_Toc288576765"/>
      <w:bookmarkStart w:id="94" w:name="_Toc291164938"/>
      <w:bookmarkStart w:id="95" w:name="_Toc960"/>
      <w:bookmarkStart w:id="96" w:name="_Toc288233204"/>
      <w:r>
        <w:rPr>
          <w:rFonts w:ascii="宋体_GB2312" w:hAnsi="宋体_GB2312" w:eastAsia="宋体_GB2312"/>
          <w:sz w:val="24"/>
          <w:szCs w:val="24"/>
        </w:rPr>
        <w:t>3.4</w:t>
      </w:r>
      <w:r>
        <w:rPr>
          <w:rFonts w:hint="eastAsia" w:ascii="宋体_GB2312" w:hAnsi="宋体_GB2312" w:eastAsia="宋体_GB2312"/>
          <w:sz w:val="24"/>
          <w:szCs w:val="24"/>
        </w:rPr>
        <w:t>材料要求</w:t>
      </w:r>
      <w:bookmarkEnd w:id="88"/>
      <w:bookmarkEnd w:id="89"/>
      <w:bookmarkEnd w:id="90"/>
      <w:bookmarkEnd w:id="91"/>
      <w:bookmarkEnd w:id="92"/>
      <w:bookmarkEnd w:id="93"/>
      <w:bookmarkEnd w:id="94"/>
      <w:bookmarkEnd w:id="95"/>
      <w:bookmarkEnd w:id="96"/>
    </w:p>
    <w:p>
      <w:pPr>
        <w:spacing w:before="120" w:beforeLines="50" w:line="300" w:lineRule="auto"/>
        <w:ind w:firstLine="480" w:firstLineChars="200"/>
        <w:rPr>
          <w:rFonts w:ascii="宋体_GB2312" w:hAnsi="宋体_GB2312" w:eastAsia="宋体_GB2312"/>
          <w:sz w:val="24"/>
          <w:szCs w:val="24"/>
        </w:rPr>
      </w:pPr>
      <w:bookmarkStart w:id="97" w:name="_Toc288576592"/>
      <w:bookmarkStart w:id="98" w:name="_Toc288233205"/>
      <w:bookmarkStart w:id="99" w:name="_Toc288576766"/>
      <w:r>
        <w:rPr>
          <w:rFonts w:hint="eastAsia" w:ascii="宋体_GB2312" w:hAnsi="宋体_GB2312" w:eastAsia="宋体_GB2312"/>
          <w:sz w:val="24"/>
          <w:szCs w:val="24"/>
        </w:rPr>
        <w:t>预制成端型蝶形光缆</w:t>
      </w:r>
      <w:r>
        <w:rPr>
          <w:rFonts w:ascii="宋体_GB2312" w:hAnsi="宋体_GB2312" w:eastAsia="宋体_GB2312"/>
          <w:sz w:val="24"/>
          <w:szCs w:val="24"/>
        </w:rPr>
        <w:t>所用材料应满足如下要求：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预制成端型蝶形光缆连接器插头</w:t>
      </w:r>
      <w:r>
        <w:rPr>
          <w:rFonts w:ascii="宋体_GB2312" w:hAnsi="宋体_GB2312" w:eastAsia="宋体_GB2312"/>
          <w:sz w:val="24"/>
          <w:szCs w:val="24"/>
        </w:rPr>
        <w:t>所用的塑料件</w:t>
      </w:r>
      <w:r>
        <w:rPr>
          <w:rFonts w:hint="eastAsia" w:ascii="宋体_GB2312" w:hAnsi="宋体_GB2312" w:eastAsia="宋体_GB2312"/>
          <w:sz w:val="24"/>
          <w:szCs w:val="24"/>
        </w:rPr>
        <w:t>应具有阻燃性能</w:t>
      </w:r>
      <w:r>
        <w:rPr>
          <w:rFonts w:ascii="宋体_GB2312" w:hAnsi="宋体_GB2312" w:eastAsia="宋体_GB2312"/>
          <w:sz w:val="24"/>
          <w:szCs w:val="24"/>
        </w:rPr>
        <w:t>，其燃烧性能应符合GB/T 5169.5的规定</w:t>
      </w:r>
      <w:r>
        <w:rPr>
          <w:rFonts w:hint="eastAsia" w:ascii="宋体_GB2312" w:hAnsi="宋体_GB2312" w:eastAsia="宋体_GB2312"/>
          <w:sz w:val="24"/>
          <w:szCs w:val="24"/>
        </w:rPr>
        <w:t>，</w:t>
      </w:r>
      <w:r>
        <w:rPr>
          <w:rFonts w:ascii="宋体_GB2312" w:hAnsi="宋体_GB2312" w:eastAsia="宋体_GB2312"/>
          <w:sz w:val="24"/>
          <w:szCs w:val="24"/>
        </w:rPr>
        <w:t>施加试验火焰持续时间为10s</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预制成端型蝶形光缆能经受所需的试验条件，制作连接器插头所使用的粘结胶对插头结构无不良影响，其物理、化学及光学特性应与蝶形光缆匹配，不得有损害预制成端型蝶形光缆光学性能的情况发生。</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3）符合RoHS标准，不能对环境产生污染，符合环境保护相关的标准</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4）在成品破损时，其部件不允许对人造成危害。</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5）</w:t>
      </w:r>
      <w:r>
        <w:rPr>
          <w:rFonts w:hint="eastAsia" w:ascii="宋体_GB2312" w:hAnsi="宋体_GB2312" w:eastAsia="宋体_GB2312"/>
          <w:sz w:val="24"/>
          <w:szCs w:val="24"/>
        </w:rPr>
        <w:t>其它</w:t>
      </w:r>
      <w:r>
        <w:rPr>
          <w:rFonts w:ascii="宋体_GB2312" w:hAnsi="宋体_GB2312" w:eastAsia="宋体_GB2312"/>
          <w:sz w:val="24"/>
          <w:szCs w:val="24"/>
        </w:rPr>
        <w:t>要求</w:t>
      </w:r>
      <w:r>
        <w:rPr>
          <w:rFonts w:hint="eastAsia" w:ascii="宋体_GB2312" w:hAnsi="宋体_GB2312" w:eastAsia="宋体_GB2312"/>
          <w:sz w:val="24"/>
          <w:szCs w:val="24"/>
        </w:rPr>
        <w:t>应满足</w:t>
      </w:r>
      <w:r>
        <w:rPr>
          <w:rFonts w:ascii="宋体_GB2312" w:hAnsi="宋体_GB2312" w:eastAsia="宋体_GB2312"/>
          <w:sz w:val="24"/>
          <w:szCs w:val="24"/>
        </w:rPr>
        <w:t>YD/T 1272.1</w:t>
      </w:r>
      <w:r>
        <w:rPr>
          <w:rFonts w:hint="eastAsia" w:ascii="宋体_GB2312" w:hAnsi="宋体_GB2312" w:eastAsia="宋体_GB2312"/>
          <w:sz w:val="24"/>
          <w:szCs w:val="24"/>
        </w:rPr>
        <w:t>、</w:t>
      </w:r>
      <w:r>
        <w:rPr>
          <w:rFonts w:ascii="宋体_GB2312" w:hAnsi="宋体_GB2312" w:eastAsia="宋体_GB2312"/>
          <w:sz w:val="24"/>
          <w:szCs w:val="24"/>
        </w:rPr>
        <w:t>YD/T 1272.3、YD/T 1272.4、YD/T 1997.1</w:t>
      </w:r>
      <w:r>
        <w:rPr>
          <w:rFonts w:hint="eastAsia" w:ascii="宋体_GB2312" w:hAnsi="宋体_GB2312" w:eastAsia="宋体_GB2312"/>
          <w:sz w:val="24"/>
          <w:szCs w:val="24"/>
        </w:rPr>
        <w:t>中的相关</w:t>
      </w:r>
      <w:r>
        <w:rPr>
          <w:rFonts w:ascii="宋体_GB2312" w:hAnsi="宋体_GB2312" w:eastAsia="宋体_GB2312"/>
          <w:sz w:val="24"/>
          <w:szCs w:val="24"/>
        </w:rPr>
        <w:t>规定</w:t>
      </w:r>
      <w:r>
        <w:rPr>
          <w:rFonts w:hint="eastAsia" w:ascii="宋体_GB2312" w:hAnsi="宋体_GB2312" w:eastAsia="宋体_GB2312"/>
          <w:sz w:val="24"/>
          <w:szCs w:val="24"/>
        </w:rPr>
        <w:t>。</w:t>
      </w:r>
    </w:p>
    <w:bookmarkEnd w:id="97"/>
    <w:bookmarkEnd w:id="98"/>
    <w:bookmarkEnd w:id="99"/>
    <w:p>
      <w:pPr>
        <w:pStyle w:val="2"/>
        <w:spacing w:before="0" w:after="0" w:line="276" w:lineRule="auto"/>
        <w:rPr>
          <w:rFonts w:ascii="宋体_GB2312" w:hAnsi="宋体_GB2312" w:eastAsia="宋体_GB2312"/>
          <w:sz w:val="24"/>
          <w:szCs w:val="24"/>
        </w:rPr>
      </w:pPr>
      <w:bookmarkStart w:id="100" w:name="_Toc326160316"/>
      <w:bookmarkStart w:id="101" w:name="_Toc54084421"/>
      <w:bookmarkStart w:id="102" w:name="_Toc5620"/>
      <w:r>
        <w:rPr>
          <w:rFonts w:ascii="宋体_GB2312" w:hAnsi="宋体_GB2312" w:eastAsia="宋体_GB2312"/>
          <w:sz w:val="24"/>
          <w:szCs w:val="24"/>
        </w:rPr>
        <w:t>3.5</w:t>
      </w:r>
      <w:r>
        <w:rPr>
          <w:rFonts w:hint="eastAsia" w:ascii="宋体_GB2312" w:hAnsi="宋体_GB2312" w:eastAsia="宋体_GB2312"/>
          <w:sz w:val="24"/>
          <w:szCs w:val="24"/>
        </w:rPr>
        <w:t>性能要求</w:t>
      </w:r>
      <w:bookmarkEnd w:id="100"/>
      <w:bookmarkEnd w:id="101"/>
      <w:bookmarkEnd w:id="102"/>
    </w:p>
    <w:p>
      <w:pPr>
        <w:pStyle w:val="4"/>
        <w:spacing w:after="12"/>
        <w:rPr>
          <w:rFonts w:ascii="宋体_GB2312" w:hAnsi="宋体_GB2312" w:eastAsia="宋体_GB2312"/>
        </w:rPr>
      </w:pPr>
      <w:bookmarkStart w:id="103" w:name="_Toc326160317"/>
      <w:bookmarkStart w:id="104" w:name="_Toc18749"/>
      <w:bookmarkStart w:id="105" w:name="_Toc54084422"/>
      <w:r>
        <w:rPr>
          <w:rFonts w:hint="eastAsia" w:ascii="宋体_GB2312" w:hAnsi="宋体_GB2312" w:eastAsia="宋体_GB2312"/>
          <w:color w:val="FF0000"/>
          <w:sz w:val="28"/>
          <w:szCs w:val="24"/>
        </w:rPr>
        <w:t>★</w:t>
      </w:r>
      <w:r>
        <w:rPr>
          <w:rFonts w:ascii="宋体_GB2312" w:hAnsi="宋体_GB2312" w:eastAsia="宋体_GB2312"/>
        </w:rPr>
        <w:t>3.5.1</w:t>
      </w:r>
      <w:r>
        <w:rPr>
          <w:rFonts w:hint="eastAsia" w:ascii="宋体_GB2312" w:hAnsi="宋体_GB2312" w:eastAsia="宋体_GB2312"/>
        </w:rPr>
        <w:t>传输性能要求</w:t>
      </w:r>
      <w:bookmarkEnd w:id="103"/>
      <w:bookmarkEnd w:id="104"/>
      <w:bookmarkEnd w:id="105"/>
    </w:p>
    <w:p>
      <w:pPr>
        <w:pStyle w:val="5"/>
        <w:spacing w:after="12"/>
        <w:rPr>
          <w:rFonts w:ascii="宋体_GB2312" w:hAnsi="宋体_GB2312" w:eastAsia="宋体_GB2312"/>
        </w:rPr>
      </w:pPr>
      <w:r>
        <w:rPr>
          <w:rFonts w:ascii="宋体_GB2312" w:hAnsi="宋体_GB2312" w:eastAsia="宋体_GB2312"/>
        </w:rPr>
        <w:t>3.5.1.1</w:t>
      </w:r>
      <w:r>
        <w:rPr>
          <w:rFonts w:hint="eastAsia" w:ascii="宋体_GB2312" w:hAnsi="宋体_GB2312" w:eastAsia="宋体_GB2312"/>
        </w:rPr>
        <w:t>插入</w:t>
      </w:r>
      <w:r>
        <w:rPr>
          <w:rFonts w:ascii="宋体_GB2312" w:hAnsi="宋体_GB2312" w:eastAsia="宋体_GB2312"/>
        </w:rPr>
        <w:t>损耗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长度不大于</w:t>
      </w:r>
      <w:r>
        <w:rPr>
          <w:rFonts w:ascii="宋体_GB2312" w:hAnsi="宋体_GB2312" w:eastAsia="宋体_GB2312"/>
          <w:sz w:val="24"/>
          <w:szCs w:val="24"/>
        </w:rPr>
        <w:t>500m</w:t>
      </w:r>
      <w:r>
        <w:rPr>
          <w:rFonts w:hint="eastAsia" w:ascii="宋体_GB2312" w:hAnsi="宋体_GB2312" w:eastAsia="宋体_GB2312"/>
          <w:sz w:val="24"/>
          <w:szCs w:val="24"/>
        </w:rPr>
        <w:t>的插入损耗应符合表</w:t>
      </w:r>
      <w:r>
        <w:rPr>
          <w:rFonts w:ascii="宋体_GB2312" w:hAnsi="宋体_GB2312" w:eastAsia="宋体_GB2312"/>
          <w:sz w:val="24"/>
          <w:szCs w:val="24"/>
        </w:rPr>
        <w:t>10</w:t>
      </w:r>
      <w:r>
        <w:rPr>
          <w:rFonts w:hint="eastAsia" w:ascii="宋体_GB2312" w:hAnsi="宋体_GB2312" w:eastAsia="宋体_GB2312"/>
          <w:sz w:val="24"/>
          <w:szCs w:val="24"/>
        </w:rPr>
        <w:t>的规定。</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组件长度大于</w:t>
      </w:r>
      <w:r>
        <w:rPr>
          <w:rFonts w:ascii="宋体_GB2312" w:hAnsi="宋体_GB2312" w:eastAsia="宋体_GB2312"/>
          <w:sz w:val="24"/>
          <w:szCs w:val="24"/>
        </w:rPr>
        <w:t>500m</w:t>
      </w:r>
      <w:r>
        <w:rPr>
          <w:rFonts w:hint="eastAsia" w:ascii="宋体_GB2312" w:hAnsi="宋体_GB2312" w:eastAsia="宋体_GB2312"/>
          <w:sz w:val="24"/>
          <w:szCs w:val="24"/>
        </w:rPr>
        <w:t>的插入损耗为：</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1310nm</w:t>
      </w:r>
      <w:r>
        <w:rPr>
          <w:rFonts w:hint="eastAsia" w:ascii="宋体_GB2312" w:hAnsi="宋体_GB2312" w:eastAsia="宋体_GB2312"/>
          <w:sz w:val="24"/>
          <w:szCs w:val="24"/>
        </w:rPr>
        <w:t>波长下：表</w:t>
      </w:r>
      <w:r>
        <w:rPr>
          <w:rFonts w:ascii="宋体_GB2312" w:hAnsi="宋体_GB2312" w:eastAsia="宋体_GB2312"/>
          <w:sz w:val="24"/>
          <w:szCs w:val="24"/>
        </w:rPr>
        <w:t>10</w:t>
      </w:r>
      <w:r>
        <w:rPr>
          <w:rFonts w:hint="eastAsia" w:ascii="宋体_GB2312" w:hAnsi="宋体_GB2312" w:eastAsia="宋体_GB2312"/>
          <w:sz w:val="24"/>
          <w:szCs w:val="24"/>
        </w:rPr>
        <w:t>中</w:t>
      </w:r>
      <w:r>
        <w:rPr>
          <w:rFonts w:ascii="宋体_GB2312" w:hAnsi="宋体_GB2312" w:eastAsia="宋体_GB2312"/>
          <w:sz w:val="24"/>
          <w:szCs w:val="24"/>
        </w:rPr>
        <w:t>L</w:t>
      </w:r>
      <w:r>
        <w:rPr>
          <w:rFonts w:hint="eastAsia" w:ascii="宋体_GB2312" w:hAnsi="宋体_GB2312" w:eastAsia="宋体_GB2312"/>
          <w:sz w:val="24"/>
          <w:szCs w:val="24"/>
        </w:rPr>
        <w:t>≤</w:t>
      </w:r>
      <w:r>
        <w:rPr>
          <w:rFonts w:ascii="宋体_GB2312" w:hAnsi="宋体_GB2312" w:eastAsia="宋体_GB2312"/>
          <w:sz w:val="24"/>
          <w:szCs w:val="24"/>
        </w:rPr>
        <w:t>100m</w:t>
      </w:r>
      <w:r>
        <w:rPr>
          <w:rFonts w:hint="eastAsia" w:ascii="宋体_GB2312" w:hAnsi="宋体_GB2312" w:eastAsia="宋体_GB2312"/>
          <w:sz w:val="24"/>
          <w:szCs w:val="24"/>
        </w:rPr>
        <w:t>的插入损耗</w:t>
      </w:r>
      <w:r>
        <w:rPr>
          <w:rFonts w:ascii="宋体_GB2312" w:hAnsi="宋体_GB2312" w:eastAsia="宋体_GB2312"/>
          <w:sz w:val="24"/>
          <w:szCs w:val="24"/>
        </w:rPr>
        <w:t>+ L</w:t>
      </w:r>
      <w:r>
        <w:rPr>
          <w:rFonts w:hint="eastAsia" w:ascii="宋体_GB2312" w:hAnsi="宋体_GB2312" w:eastAsia="宋体_GB2312"/>
          <w:sz w:val="24"/>
          <w:szCs w:val="24"/>
        </w:rPr>
        <w:t>×</w:t>
      </w:r>
      <w:r>
        <w:rPr>
          <w:rFonts w:ascii="宋体_GB2312" w:hAnsi="宋体_GB2312" w:eastAsia="宋体_GB2312"/>
          <w:sz w:val="24"/>
          <w:szCs w:val="24"/>
        </w:rPr>
        <w:t>0.36dB/1000m</w:t>
      </w:r>
      <w:r>
        <w:rPr>
          <w:rFonts w:hint="eastAsia" w:ascii="宋体_GB2312" w:hAnsi="宋体_GB2312" w:eastAsia="宋体_GB2312"/>
          <w:sz w:val="24"/>
          <w:szCs w:val="24"/>
        </w:rPr>
        <w:t>，取小数点后两位有效数字；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1550nm</w:t>
      </w:r>
      <w:r>
        <w:rPr>
          <w:rFonts w:hint="eastAsia" w:ascii="宋体_GB2312" w:hAnsi="宋体_GB2312" w:eastAsia="宋体_GB2312"/>
          <w:sz w:val="24"/>
          <w:szCs w:val="24"/>
        </w:rPr>
        <w:t>波长下：表</w:t>
      </w:r>
      <w:r>
        <w:rPr>
          <w:rFonts w:ascii="宋体_GB2312" w:hAnsi="宋体_GB2312" w:eastAsia="宋体_GB2312"/>
          <w:sz w:val="24"/>
          <w:szCs w:val="24"/>
        </w:rPr>
        <w:t>10</w:t>
      </w:r>
      <w:r>
        <w:rPr>
          <w:rFonts w:hint="eastAsia" w:ascii="宋体_GB2312" w:hAnsi="宋体_GB2312" w:eastAsia="宋体_GB2312"/>
          <w:sz w:val="24"/>
          <w:szCs w:val="24"/>
        </w:rPr>
        <w:t>中</w:t>
      </w:r>
      <w:r>
        <w:rPr>
          <w:rFonts w:ascii="宋体_GB2312" w:hAnsi="宋体_GB2312" w:eastAsia="宋体_GB2312"/>
          <w:sz w:val="24"/>
          <w:szCs w:val="24"/>
        </w:rPr>
        <w:t>L</w:t>
      </w:r>
      <w:r>
        <w:rPr>
          <w:rFonts w:hint="eastAsia" w:ascii="宋体_GB2312" w:hAnsi="宋体_GB2312" w:eastAsia="宋体_GB2312"/>
          <w:sz w:val="24"/>
          <w:szCs w:val="24"/>
        </w:rPr>
        <w:t>≤</w:t>
      </w:r>
      <w:r>
        <w:rPr>
          <w:rFonts w:ascii="宋体_GB2312" w:hAnsi="宋体_GB2312" w:eastAsia="宋体_GB2312"/>
          <w:sz w:val="24"/>
          <w:szCs w:val="24"/>
        </w:rPr>
        <w:t>100m</w:t>
      </w:r>
      <w:r>
        <w:rPr>
          <w:rFonts w:hint="eastAsia" w:ascii="宋体_GB2312" w:hAnsi="宋体_GB2312" w:eastAsia="宋体_GB2312"/>
          <w:sz w:val="24"/>
          <w:szCs w:val="24"/>
        </w:rPr>
        <w:t>的插入损耗</w:t>
      </w:r>
      <w:r>
        <w:rPr>
          <w:rFonts w:ascii="宋体_GB2312" w:hAnsi="宋体_GB2312" w:eastAsia="宋体_GB2312"/>
          <w:sz w:val="24"/>
          <w:szCs w:val="24"/>
        </w:rPr>
        <w:t>+ L</w:t>
      </w:r>
      <w:r>
        <w:rPr>
          <w:rFonts w:hint="eastAsia" w:ascii="宋体_GB2312" w:hAnsi="宋体_GB2312" w:eastAsia="宋体_GB2312"/>
          <w:sz w:val="24"/>
          <w:szCs w:val="24"/>
        </w:rPr>
        <w:t>×</w:t>
      </w:r>
      <w:r>
        <w:rPr>
          <w:rFonts w:ascii="宋体_GB2312" w:hAnsi="宋体_GB2312" w:eastAsia="宋体_GB2312"/>
          <w:sz w:val="24"/>
          <w:szCs w:val="24"/>
        </w:rPr>
        <w:t>0.22dB/1000m</w:t>
      </w:r>
      <w:r>
        <w:rPr>
          <w:rFonts w:hint="eastAsia" w:ascii="宋体_GB2312" w:hAnsi="宋体_GB2312" w:eastAsia="宋体_GB2312"/>
          <w:sz w:val="24"/>
          <w:szCs w:val="24"/>
        </w:rPr>
        <w:t>，取小数点后两位有效数字。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当需要时，双端组件的单端任意方向插入损耗（含一端的连接损耗和光纤损耗）也应满足单端组件的插入损耗要求。</w:t>
      </w:r>
    </w:p>
    <w:p>
      <w:pPr>
        <w:pStyle w:val="168"/>
        <w:numPr>
          <w:ilvl w:val="0"/>
          <w:numId w:val="0"/>
        </w:numPr>
        <w:spacing w:before="120" w:after="120" w:line="276" w:lineRule="auto"/>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10  预制成端型蝶形光缆的</w:t>
      </w:r>
      <w:r>
        <w:rPr>
          <w:rFonts w:hint="eastAsia" w:ascii="宋体_GB2312" w:hAnsi="宋体_GB2312" w:eastAsia="宋体_GB2312"/>
          <w:sz w:val="24"/>
          <w:szCs w:val="24"/>
        </w:rPr>
        <w:t>插入损耗</w:t>
      </w:r>
    </w:p>
    <w:tbl>
      <w:tblPr>
        <w:tblStyle w:val="50"/>
        <w:tblW w:w="10301" w:type="dxa"/>
        <w:tblInd w:w="113" w:type="dxa"/>
        <w:tblLayout w:type="fixed"/>
        <w:tblCellMar>
          <w:top w:w="0" w:type="dxa"/>
          <w:left w:w="108" w:type="dxa"/>
          <w:bottom w:w="0" w:type="dxa"/>
          <w:right w:w="108" w:type="dxa"/>
        </w:tblCellMar>
      </w:tblPr>
      <w:tblGrid>
        <w:gridCol w:w="2798"/>
        <w:gridCol w:w="1148"/>
        <w:gridCol w:w="1687"/>
        <w:gridCol w:w="1552"/>
        <w:gridCol w:w="1552"/>
        <w:gridCol w:w="1557"/>
        <w:gridCol w:w="7"/>
      </w:tblGrid>
      <w:tr>
        <w:tblPrEx>
          <w:tblCellMar>
            <w:top w:w="0" w:type="dxa"/>
            <w:left w:w="108" w:type="dxa"/>
            <w:bottom w:w="0" w:type="dxa"/>
            <w:right w:w="108" w:type="dxa"/>
          </w:tblCellMar>
        </w:tblPrEx>
        <w:trPr>
          <w:gridAfter w:val="1"/>
          <w:wAfter w:w="7" w:type="dxa"/>
          <w:trHeight w:val="267" w:hRule="atLeast"/>
        </w:trPr>
        <w:tc>
          <w:tcPr>
            <w:tcW w:w="27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类别</w:t>
            </w:r>
          </w:p>
        </w:tc>
        <w:tc>
          <w:tcPr>
            <w:tcW w:w="114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ascii="宋体_GB2312" w:hAnsi="宋体_GB2312" w:eastAsia="宋体_GB2312" w:cs="宋体"/>
                <w:szCs w:val="22"/>
              </w:rPr>
              <w:t>L≤100m</w:t>
            </w:r>
          </w:p>
        </w:tc>
        <w:tc>
          <w:tcPr>
            <w:tcW w:w="1687"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ascii="宋体_GB2312" w:hAnsi="宋体_GB2312" w:eastAsia="宋体_GB2312" w:cs="宋体"/>
                <w:szCs w:val="22"/>
              </w:rPr>
              <w:t>100m&lt;L≤200m</w:t>
            </w:r>
          </w:p>
        </w:tc>
        <w:tc>
          <w:tcPr>
            <w:tcW w:w="1552"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ascii="宋体_GB2312" w:hAnsi="宋体_GB2312" w:eastAsia="宋体_GB2312" w:cs="宋体"/>
                <w:szCs w:val="22"/>
              </w:rPr>
              <w:t>200m&lt;L≤300m</w:t>
            </w:r>
          </w:p>
        </w:tc>
        <w:tc>
          <w:tcPr>
            <w:tcW w:w="1552"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ascii="宋体_GB2312" w:hAnsi="宋体_GB2312" w:eastAsia="宋体_GB2312" w:cs="宋体"/>
                <w:szCs w:val="22"/>
              </w:rPr>
              <w:t>300m&lt;L≤400m</w:t>
            </w:r>
          </w:p>
        </w:tc>
        <w:tc>
          <w:tcPr>
            <w:tcW w:w="1557"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ascii="宋体_GB2312" w:hAnsi="宋体_GB2312" w:eastAsia="宋体_GB2312" w:cs="宋体"/>
                <w:szCs w:val="22"/>
              </w:rPr>
              <w:t>400m&lt;L≤500m</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　</w:t>
            </w:r>
          </w:p>
        </w:tc>
        <w:tc>
          <w:tcPr>
            <w:tcW w:w="7496" w:type="dxa"/>
            <w:gridSpan w:val="5"/>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Cs w:val="22"/>
              </w:rPr>
            </w:pPr>
            <w:r>
              <w:rPr>
                <w:rFonts w:hint="eastAsia" w:ascii="宋体_GB2312" w:hAnsi="宋体_GB2312" w:eastAsia="宋体_GB2312" w:cs="宋体"/>
                <w:szCs w:val="22"/>
              </w:rPr>
              <w:t>双端组件（任意方向）</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与标准插头（</w:t>
            </w:r>
            <w:r>
              <w:rPr>
                <w:rFonts w:ascii="宋体_GB2312" w:hAnsi="宋体_GB2312" w:eastAsia="宋体_GB2312" w:cs="宋体"/>
                <w:szCs w:val="22"/>
              </w:rPr>
              <w:t>1310nm）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0.50dB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0.54 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0.57dB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0.61dB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0.64dB</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与标准插头（</w:t>
            </w:r>
            <w:r>
              <w:rPr>
                <w:rFonts w:ascii="宋体_GB2312" w:hAnsi="宋体_GB2312" w:eastAsia="宋体_GB2312" w:cs="宋体"/>
                <w:szCs w:val="22"/>
              </w:rPr>
              <w:t>1550nm）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0.49dB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0.51dB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0.53dB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0.56dB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0.58dB</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　</w:t>
            </w:r>
          </w:p>
        </w:tc>
        <w:tc>
          <w:tcPr>
            <w:tcW w:w="7496" w:type="dxa"/>
            <w:gridSpan w:val="5"/>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Cs w:val="22"/>
              </w:rPr>
            </w:pPr>
            <w:r>
              <w:rPr>
                <w:rFonts w:hint="eastAsia" w:ascii="宋体_GB2312" w:hAnsi="宋体_GB2312" w:eastAsia="宋体_GB2312" w:cs="宋体"/>
                <w:szCs w:val="22"/>
              </w:rPr>
              <w:t>单端组件</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与标准插头（</w:t>
            </w:r>
            <w:r>
              <w:rPr>
                <w:rFonts w:ascii="宋体_GB2312" w:hAnsi="宋体_GB2312" w:eastAsia="宋体_GB2312" w:cs="宋体"/>
                <w:szCs w:val="22"/>
              </w:rPr>
              <w:t>1310nm）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0.35dB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0.39dB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0.42dB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0.46dB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0.49dB</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与标准插头（</w:t>
            </w:r>
            <w:r>
              <w:rPr>
                <w:rFonts w:ascii="宋体_GB2312" w:hAnsi="宋体_GB2312" w:eastAsia="宋体_GB2312" w:cs="宋体"/>
                <w:szCs w:val="22"/>
              </w:rPr>
              <w:t>1550nm）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0.34dB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0.36dB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0.38dB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0.41dB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0.43dB</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　</w:t>
            </w:r>
          </w:p>
        </w:tc>
        <w:tc>
          <w:tcPr>
            <w:tcW w:w="7496" w:type="dxa"/>
            <w:gridSpan w:val="5"/>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Cs w:val="22"/>
              </w:rPr>
            </w:pPr>
            <w:r>
              <w:rPr>
                <w:rFonts w:hint="eastAsia" w:ascii="宋体_GB2312" w:hAnsi="宋体_GB2312" w:eastAsia="宋体_GB2312" w:cs="宋体"/>
                <w:szCs w:val="22"/>
              </w:rPr>
              <w:t>与任意插头连接的插入损耗（仅测单端）</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与任意插头（</w:t>
            </w:r>
            <w:r>
              <w:rPr>
                <w:rFonts w:ascii="宋体_GB2312" w:hAnsi="宋体_GB2312" w:eastAsia="宋体_GB2312" w:cs="宋体"/>
                <w:szCs w:val="22"/>
              </w:rPr>
              <w:t>1310nm）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0.50dB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0.54dB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0.57dB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0.61dB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0.64dB</w:t>
            </w:r>
          </w:p>
        </w:tc>
      </w:tr>
      <w:tr>
        <w:tblPrEx>
          <w:tblCellMar>
            <w:top w:w="0" w:type="dxa"/>
            <w:left w:w="108" w:type="dxa"/>
            <w:bottom w:w="0" w:type="dxa"/>
            <w:right w:w="108" w:type="dxa"/>
          </w:tblCellMar>
        </w:tblPrEx>
        <w:trPr>
          <w:gridAfter w:val="1"/>
          <w:wAfter w:w="7" w:type="dxa"/>
          <w:trHeight w:val="267" w:hRule="atLeast"/>
        </w:trPr>
        <w:tc>
          <w:tcPr>
            <w:tcW w:w="2798"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与任意插头（</w:t>
            </w:r>
            <w:r>
              <w:rPr>
                <w:rFonts w:ascii="宋体_GB2312" w:hAnsi="宋体_GB2312" w:eastAsia="宋体_GB2312" w:cs="宋体"/>
                <w:szCs w:val="22"/>
              </w:rPr>
              <w:t>1550nm）</w:t>
            </w:r>
          </w:p>
        </w:tc>
        <w:tc>
          <w:tcPr>
            <w:tcW w:w="114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0.49dB</w:t>
            </w:r>
          </w:p>
        </w:tc>
        <w:tc>
          <w:tcPr>
            <w:tcW w:w="168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0.51dB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0.53dB</w:t>
            </w:r>
          </w:p>
        </w:tc>
        <w:tc>
          <w:tcPr>
            <w:tcW w:w="155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0.56dB</w:t>
            </w:r>
          </w:p>
        </w:tc>
        <w:tc>
          <w:tcPr>
            <w:tcW w:w="1557"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w:t>
            </w:r>
            <w:r>
              <w:rPr>
                <w:rFonts w:ascii="宋体_GB2312" w:hAnsi="宋体_GB2312" w:eastAsia="宋体_GB2312" w:cs="宋体"/>
                <w:szCs w:val="22"/>
              </w:rPr>
              <w:t>0.58dB</w:t>
            </w:r>
          </w:p>
        </w:tc>
      </w:tr>
      <w:tr>
        <w:tblPrEx>
          <w:tblCellMar>
            <w:top w:w="0" w:type="dxa"/>
            <w:left w:w="108" w:type="dxa"/>
            <w:bottom w:w="0" w:type="dxa"/>
            <w:right w:w="108" w:type="dxa"/>
          </w:tblCellMar>
        </w:tblPrEx>
        <w:trPr>
          <w:trHeight w:val="1158" w:hRule="atLeast"/>
        </w:trPr>
        <w:tc>
          <w:tcPr>
            <w:tcW w:w="10301"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Cs w:val="22"/>
              </w:rPr>
            </w:pPr>
            <w:r>
              <w:rPr>
                <w:rFonts w:hint="eastAsia" w:ascii="宋体_GB2312" w:hAnsi="宋体_GB2312" w:eastAsia="宋体_GB2312" w:cs="宋体"/>
                <w:szCs w:val="22"/>
              </w:rPr>
              <w:t>注：</w:t>
            </w:r>
            <w:r>
              <w:rPr>
                <w:rFonts w:ascii="宋体_GB2312" w:hAnsi="宋体_GB2312" w:eastAsia="宋体_GB2312" w:cs="宋体"/>
                <w:szCs w:val="22"/>
              </w:rPr>
              <w:br w:type="textWrapping"/>
            </w:r>
            <w:r>
              <w:rPr>
                <w:rFonts w:ascii="宋体_GB2312" w:hAnsi="宋体_GB2312" w:eastAsia="宋体_GB2312" w:cs="宋体"/>
                <w:szCs w:val="22"/>
              </w:rPr>
              <w:t>1、单端组件的插入损耗包含一端连接损耗和光纤损耗，双端组件插入损耗包含双端连接损耗和光纤损耗。</w:t>
            </w:r>
            <w:r>
              <w:rPr>
                <w:rFonts w:ascii="宋体_GB2312" w:hAnsi="宋体_GB2312" w:eastAsia="宋体_GB2312" w:cs="宋体"/>
                <w:szCs w:val="22"/>
              </w:rPr>
              <w:br w:type="textWrapping"/>
            </w:r>
            <w:r>
              <w:rPr>
                <w:rFonts w:ascii="宋体_GB2312" w:hAnsi="宋体_GB2312" w:eastAsia="宋体_GB2312" w:cs="宋体"/>
                <w:szCs w:val="22"/>
              </w:rPr>
              <w:t>2、与任意插头连接的插入损耗：无论被测样品是单端组件还是双端组件，插入损耗仅测试单端，即包含一端连接损耗和光纤损耗。</w:t>
            </w:r>
          </w:p>
        </w:tc>
      </w:tr>
    </w:tbl>
    <w:p>
      <w:pPr>
        <w:pStyle w:val="36"/>
        <w:spacing w:after="12"/>
        <w:rPr>
          <w:rFonts w:ascii="宋体_GB2312" w:hAnsi="宋体_GB2312" w:eastAsia="宋体_GB2312"/>
        </w:rPr>
      </w:pPr>
    </w:p>
    <w:p>
      <w:pPr>
        <w:pStyle w:val="5"/>
        <w:spacing w:after="12"/>
        <w:rPr>
          <w:rFonts w:ascii="宋体_GB2312" w:hAnsi="宋体_GB2312" w:eastAsia="宋体_GB2312"/>
        </w:rPr>
      </w:pPr>
      <w:r>
        <w:rPr>
          <w:rFonts w:ascii="宋体_GB2312" w:hAnsi="宋体_GB2312" w:eastAsia="宋体_GB2312"/>
        </w:rPr>
        <w:t>3.5.1.2</w:t>
      </w:r>
      <w:r>
        <w:rPr>
          <w:rFonts w:hint="eastAsia" w:ascii="宋体_GB2312" w:hAnsi="宋体_GB2312" w:eastAsia="宋体_GB2312"/>
        </w:rPr>
        <w:t>回波</w:t>
      </w:r>
      <w:r>
        <w:rPr>
          <w:rFonts w:ascii="宋体_GB2312" w:hAnsi="宋体_GB2312" w:eastAsia="宋体_GB2312"/>
        </w:rPr>
        <w:t>损耗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回波损耗应符合表</w:t>
      </w:r>
      <w:r>
        <w:rPr>
          <w:rFonts w:ascii="宋体_GB2312" w:hAnsi="宋体_GB2312" w:eastAsia="宋体_GB2312"/>
          <w:sz w:val="24"/>
          <w:szCs w:val="24"/>
        </w:rPr>
        <w:t>11</w:t>
      </w:r>
      <w:r>
        <w:rPr>
          <w:rFonts w:hint="eastAsia" w:ascii="宋体_GB2312" w:hAnsi="宋体_GB2312" w:eastAsia="宋体_GB2312"/>
          <w:sz w:val="24"/>
          <w:szCs w:val="24"/>
        </w:rPr>
        <w:t>的规定。测试波长为</w:t>
      </w:r>
      <w:r>
        <w:rPr>
          <w:rFonts w:ascii="宋体_GB2312" w:hAnsi="宋体_GB2312" w:eastAsia="宋体_GB2312"/>
          <w:sz w:val="24"/>
          <w:szCs w:val="24"/>
        </w:rPr>
        <w:t>1310nm</w:t>
      </w:r>
      <w:r>
        <w:rPr>
          <w:rFonts w:hint="eastAsia" w:ascii="宋体_GB2312" w:hAnsi="宋体_GB2312" w:eastAsia="宋体_GB2312"/>
          <w:sz w:val="24"/>
          <w:szCs w:val="24"/>
        </w:rPr>
        <w:t>。双端组件的两端连接器插头为不同插针端面时，双端组件的回波损耗依据插针端面类型取较小值。</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当需要时，双端组件的单端任意方向回波损耗（含一端的连接回波损耗和光纤回波损耗）也应满足单端组件的回波损耗要求。</w:t>
      </w:r>
    </w:p>
    <w:p>
      <w:pPr>
        <w:adjustRightInd/>
        <w:spacing w:line="276" w:lineRule="auto"/>
        <w:ind w:left="420" w:leftChars="200" w:firstLine="480" w:firstLineChars="200"/>
        <w:jc w:val="center"/>
        <w:textAlignment w:val="auto"/>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 xml:space="preserve">11  </w:t>
      </w:r>
      <w:r>
        <w:rPr>
          <w:rFonts w:hint="eastAsia" w:ascii="宋体_GB2312" w:hAnsi="宋体_GB2312" w:eastAsia="宋体_GB2312"/>
          <w:sz w:val="24"/>
          <w:szCs w:val="24"/>
        </w:rPr>
        <w:t>组件的回波损耗</w:t>
      </w:r>
    </w:p>
    <w:tbl>
      <w:tblPr>
        <w:tblStyle w:val="50"/>
        <w:tblW w:w="9887" w:type="dxa"/>
        <w:tblInd w:w="113" w:type="dxa"/>
        <w:tblLayout w:type="fixed"/>
        <w:tblCellMar>
          <w:top w:w="0" w:type="dxa"/>
          <w:left w:w="108" w:type="dxa"/>
          <w:bottom w:w="0" w:type="dxa"/>
          <w:right w:w="108" w:type="dxa"/>
        </w:tblCellMar>
      </w:tblPr>
      <w:tblGrid>
        <w:gridCol w:w="1035"/>
        <w:gridCol w:w="956"/>
        <w:gridCol w:w="1196"/>
        <w:gridCol w:w="1276"/>
        <w:gridCol w:w="1356"/>
        <w:gridCol w:w="1356"/>
        <w:gridCol w:w="1356"/>
        <w:gridCol w:w="1356"/>
      </w:tblGrid>
      <w:tr>
        <w:tblPrEx>
          <w:tblCellMar>
            <w:top w:w="0" w:type="dxa"/>
            <w:left w:w="108" w:type="dxa"/>
            <w:bottom w:w="0" w:type="dxa"/>
            <w:right w:w="108" w:type="dxa"/>
          </w:tblCellMar>
        </w:tblPrEx>
        <w:trPr>
          <w:trHeight w:val="261" w:hRule="atLeast"/>
        </w:trPr>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插针端面</w:t>
            </w:r>
          </w:p>
        </w:tc>
        <w:tc>
          <w:tcPr>
            <w:tcW w:w="95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L≤20m</w:t>
            </w:r>
          </w:p>
        </w:tc>
        <w:tc>
          <w:tcPr>
            <w:tcW w:w="119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20m&lt;L≤50m</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50m&lt;L≤100m</w:t>
            </w:r>
          </w:p>
        </w:tc>
        <w:tc>
          <w:tcPr>
            <w:tcW w:w="135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100m&lt;L≤200m</w:t>
            </w:r>
          </w:p>
        </w:tc>
        <w:tc>
          <w:tcPr>
            <w:tcW w:w="135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200m&lt;L≤300m</w:t>
            </w:r>
          </w:p>
        </w:tc>
        <w:tc>
          <w:tcPr>
            <w:tcW w:w="135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300m&lt;L≤400m</w:t>
            </w:r>
          </w:p>
        </w:tc>
        <w:tc>
          <w:tcPr>
            <w:tcW w:w="135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400m&lt;L≤500m</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　</w:t>
            </w:r>
          </w:p>
        </w:tc>
        <w:tc>
          <w:tcPr>
            <w:tcW w:w="8852"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双端组件（任意方向）</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PC</w:t>
            </w:r>
          </w:p>
        </w:tc>
        <w:tc>
          <w:tcPr>
            <w:tcW w:w="3428"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37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37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36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36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36 dB</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UPC</w:t>
            </w:r>
          </w:p>
        </w:tc>
        <w:tc>
          <w:tcPr>
            <w:tcW w:w="9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47 dB</w:t>
            </w:r>
          </w:p>
        </w:tc>
        <w:tc>
          <w:tcPr>
            <w:tcW w:w="11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46 dB</w:t>
            </w:r>
          </w:p>
        </w:tc>
        <w:tc>
          <w:tcPr>
            <w:tcW w:w="127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45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44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43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42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41 dB</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APC</w:t>
            </w:r>
          </w:p>
        </w:tc>
        <w:tc>
          <w:tcPr>
            <w:tcW w:w="9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55 dB</w:t>
            </w:r>
          </w:p>
        </w:tc>
        <w:tc>
          <w:tcPr>
            <w:tcW w:w="11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51 dB</w:t>
            </w:r>
          </w:p>
        </w:tc>
        <w:tc>
          <w:tcPr>
            <w:tcW w:w="127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49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46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45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44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43 dB</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　</w:t>
            </w:r>
          </w:p>
        </w:tc>
        <w:tc>
          <w:tcPr>
            <w:tcW w:w="8852"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单端组件</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PC</w:t>
            </w:r>
          </w:p>
        </w:tc>
        <w:tc>
          <w:tcPr>
            <w:tcW w:w="3428"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40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39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39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38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38 dB</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UPC</w:t>
            </w:r>
          </w:p>
        </w:tc>
        <w:tc>
          <w:tcPr>
            <w:tcW w:w="9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50 dB</w:t>
            </w:r>
          </w:p>
        </w:tc>
        <w:tc>
          <w:tcPr>
            <w:tcW w:w="11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49 dB</w:t>
            </w:r>
          </w:p>
        </w:tc>
        <w:tc>
          <w:tcPr>
            <w:tcW w:w="127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47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45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44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43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42 dB</w:t>
            </w:r>
          </w:p>
        </w:tc>
      </w:tr>
      <w:tr>
        <w:tblPrEx>
          <w:tblCellMar>
            <w:top w:w="0" w:type="dxa"/>
            <w:left w:w="108" w:type="dxa"/>
            <w:bottom w:w="0" w:type="dxa"/>
            <w:right w:w="108" w:type="dxa"/>
          </w:tblCellMar>
        </w:tblPrEx>
        <w:trPr>
          <w:trHeight w:val="261" w:hRule="atLeast"/>
        </w:trPr>
        <w:tc>
          <w:tcPr>
            <w:tcW w:w="1035"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ascii="宋体_GB2312" w:hAnsi="宋体_GB2312" w:eastAsia="宋体_GB2312" w:cs="宋体"/>
                <w:sz w:val="16"/>
                <w:szCs w:val="22"/>
              </w:rPr>
              <w:t>APC</w:t>
            </w:r>
          </w:p>
        </w:tc>
        <w:tc>
          <w:tcPr>
            <w:tcW w:w="9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57dB</w:t>
            </w:r>
          </w:p>
        </w:tc>
        <w:tc>
          <w:tcPr>
            <w:tcW w:w="119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54 dB</w:t>
            </w:r>
          </w:p>
        </w:tc>
        <w:tc>
          <w:tcPr>
            <w:tcW w:w="127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49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47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45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44 dB</w:t>
            </w:r>
          </w:p>
        </w:tc>
        <w:tc>
          <w:tcPr>
            <w:tcW w:w="135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16"/>
                <w:szCs w:val="22"/>
              </w:rPr>
            </w:pPr>
            <w:r>
              <w:rPr>
                <w:rFonts w:hint="eastAsia" w:ascii="宋体_GB2312" w:hAnsi="宋体_GB2312" w:eastAsia="宋体_GB2312" w:cs="宋体"/>
                <w:sz w:val="16"/>
                <w:szCs w:val="22"/>
              </w:rPr>
              <w:t>≥</w:t>
            </w:r>
            <w:r>
              <w:rPr>
                <w:rFonts w:ascii="宋体_GB2312" w:hAnsi="宋体_GB2312" w:eastAsia="宋体_GB2312" w:cs="宋体"/>
                <w:sz w:val="16"/>
                <w:szCs w:val="22"/>
              </w:rPr>
              <w:t>43 dB</w:t>
            </w:r>
          </w:p>
        </w:tc>
      </w:tr>
      <w:tr>
        <w:tblPrEx>
          <w:tblCellMar>
            <w:top w:w="0" w:type="dxa"/>
            <w:left w:w="108" w:type="dxa"/>
            <w:bottom w:w="0" w:type="dxa"/>
            <w:right w:w="108" w:type="dxa"/>
          </w:tblCellMar>
        </w:tblPrEx>
        <w:trPr>
          <w:trHeight w:val="261" w:hRule="atLeast"/>
        </w:trPr>
        <w:tc>
          <w:tcPr>
            <w:tcW w:w="988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16"/>
                <w:szCs w:val="22"/>
              </w:rPr>
            </w:pPr>
            <w:r>
              <w:rPr>
                <w:rFonts w:hint="eastAsia" w:ascii="宋体_GB2312" w:hAnsi="宋体_GB2312" w:eastAsia="宋体_GB2312" w:cs="宋体"/>
                <w:sz w:val="16"/>
                <w:szCs w:val="22"/>
              </w:rPr>
              <w:t>大于</w:t>
            </w:r>
            <w:r>
              <w:rPr>
                <w:rFonts w:ascii="宋体_GB2312" w:hAnsi="宋体_GB2312" w:eastAsia="宋体_GB2312" w:cs="宋体"/>
                <w:sz w:val="16"/>
                <w:szCs w:val="22"/>
              </w:rPr>
              <w:t>500m组件的回波损耗由买卖双方协商确定。</w:t>
            </w:r>
          </w:p>
        </w:tc>
      </w:tr>
    </w:tbl>
    <w:p>
      <w:pPr>
        <w:pStyle w:val="36"/>
        <w:spacing w:before="0" w:after="0" w:afterLines="0" w:line="276" w:lineRule="auto"/>
        <w:ind w:firstLine="480"/>
        <w:rPr>
          <w:rFonts w:ascii="宋体_GB2312" w:hAnsi="宋体_GB2312" w:eastAsia="宋体_GB2312"/>
          <w:sz w:val="24"/>
          <w:szCs w:val="24"/>
        </w:rPr>
      </w:pPr>
    </w:p>
    <w:p>
      <w:pPr>
        <w:pStyle w:val="5"/>
        <w:spacing w:after="12"/>
        <w:rPr>
          <w:rFonts w:ascii="宋体_GB2312" w:hAnsi="宋体_GB2312" w:eastAsia="宋体_GB2312"/>
        </w:rPr>
      </w:pPr>
      <w:r>
        <w:rPr>
          <w:rFonts w:ascii="宋体_GB2312" w:hAnsi="宋体_GB2312" w:eastAsia="宋体_GB2312"/>
        </w:rPr>
        <w:t>3.5.1.3</w:t>
      </w:r>
      <w:r>
        <w:rPr>
          <w:rFonts w:hint="eastAsia" w:ascii="宋体_GB2312" w:hAnsi="宋体_GB2312" w:eastAsia="宋体_GB2312"/>
        </w:rPr>
        <w:t>重复性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插拔10次，插入损耗变化量≤0.2dB，测试波长131</w:t>
      </w:r>
      <w:r>
        <w:rPr>
          <w:rFonts w:ascii="宋体_GB2312" w:hAnsi="宋体_GB2312" w:eastAsia="宋体_GB2312"/>
          <w:sz w:val="24"/>
          <w:szCs w:val="24"/>
        </w:rPr>
        <w:t>0nm</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106" w:name="_Toc54084423"/>
      <w:bookmarkStart w:id="107" w:name="_Toc23845"/>
      <w:bookmarkStart w:id="108" w:name="_Toc326160318"/>
      <w:bookmarkStart w:id="109" w:name="_Toc288576770"/>
      <w:bookmarkStart w:id="110" w:name="_Toc288576596"/>
      <w:bookmarkStart w:id="111" w:name="_Toc291164940"/>
      <w:bookmarkStart w:id="112" w:name="_Toc288233209"/>
      <w:bookmarkStart w:id="113" w:name="_Toc290973601"/>
      <w:bookmarkStart w:id="114" w:name="_Toc290370441"/>
      <w:r>
        <w:rPr>
          <w:rFonts w:ascii="宋体_GB2312" w:hAnsi="宋体_GB2312" w:eastAsia="宋体_GB2312"/>
        </w:rPr>
        <w:t>3.5.2</w:t>
      </w:r>
      <w:r>
        <w:rPr>
          <w:rFonts w:hint="eastAsia" w:ascii="宋体_GB2312" w:hAnsi="宋体_GB2312" w:eastAsia="宋体_GB2312"/>
        </w:rPr>
        <w:t>机械性能</w:t>
      </w:r>
      <w:bookmarkEnd w:id="106"/>
      <w:bookmarkEnd w:id="10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预制成端型蝶形光缆应能通过表</w:t>
      </w:r>
      <w:r>
        <w:rPr>
          <w:rFonts w:ascii="宋体_GB2312" w:hAnsi="宋体_GB2312" w:eastAsia="宋体_GB2312"/>
          <w:sz w:val="24"/>
          <w:szCs w:val="24"/>
        </w:rPr>
        <w:t>12</w:t>
      </w:r>
      <w:r>
        <w:rPr>
          <w:rFonts w:hint="eastAsia" w:ascii="宋体_GB2312" w:hAnsi="宋体_GB2312" w:eastAsia="宋体_GB2312"/>
          <w:sz w:val="24"/>
          <w:szCs w:val="24"/>
        </w:rPr>
        <w:t>中规定的机械性能试验要求，同时应满足表</w:t>
      </w:r>
      <w:r>
        <w:rPr>
          <w:rFonts w:ascii="宋体_GB2312" w:hAnsi="宋体_GB2312" w:eastAsia="宋体_GB2312"/>
          <w:sz w:val="24"/>
          <w:szCs w:val="24"/>
        </w:rPr>
        <w:t>10、表11</w:t>
      </w:r>
      <w:r>
        <w:rPr>
          <w:rFonts w:hint="eastAsia" w:ascii="宋体_GB2312" w:hAnsi="宋体_GB2312" w:eastAsia="宋体_GB2312"/>
          <w:sz w:val="24"/>
          <w:szCs w:val="24"/>
        </w:rPr>
        <w:t>的传输</w:t>
      </w:r>
      <w:r>
        <w:rPr>
          <w:rFonts w:ascii="宋体_GB2312" w:hAnsi="宋体_GB2312" w:eastAsia="宋体_GB2312"/>
          <w:sz w:val="24"/>
          <w:szCs w:val="24"/>
        </w:rPr>
        <w:t>性能要求</w:t>
      </w:r>
      <w:r>
        <w:rPr>
          <w:rFonts w:hint="eastAsia" w:ascii="宋体_GB2312" w:hAnsi="宋体_GB2312" w:eastAsia="宋体_GB2312"/>
          <w:sz w:val="24"/>
          <w:szCs w:val="24"/>
        </w:rPr>
        <w:t>。</w:t>
      </w:r>
    </w:p>
    <w:p>
      <w:pPr>
        <w:pStyle w:val="14"/>
        <w:spacing w:after="12" w:line="276" w:lineRule="auto"/>
        <w:jc w:val="center"/>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12 预制成端</w:t>
      </w:r>
      <w:r>
        <w:rPr>
          <w:rFonts w:hint="eastAsia" w:ascii="宋体_GB2312" w:hAnsi="宋体_GB2312" w:eastAsia="宋体_GB2312"/>
          <w:sz w:val="24"/>
          <w:szCs w:val="24"/>
        </w:rPr>
        <w:t>蝶形光缆的机械性能</w:t>
      </w:r>
    </w:p>
    <w:tbl>
      <w:tblPr>
        <w:tblStyle w:val="50"/>
        <w:tblW w:w="9840" w:type="dxa"/>
        <w:tblInd w:w="113" w:type="dxa"/>
        <w:tblLayout w:type="fixed"/>
        <w:tblCellMar>
          <w:top w:w="0" w:type="dxa"/>
          <w:left w:w="108" w:type="dxa"/>
          <w:bottom w:w="0" w:type="dxa"/>
          <w:right w:w="108" w:type="dxa"/>
        </w:tblCellMar>
      </w:tblPr>
      <w:tblGrid>
        <w:gridCol w:w="704"/>
        <w:gridCol w:w="1249"/>
        <w:gridCol w:w="3695"/>
        <w:gridCol w:w="4192"/>
      </w:tblGrid>
      <w:tr>
        <w:tblPrEx>
          <w:tblCellMar>
            <w:top w:w="0" w:type="dxa"/>
            <w:left w:w="108" w:type="dxa"/>
            <w:bottom w:w="0" w:type="dxa"/>
            <w:right w:w="108" w:type="dxa"/>
          </w:tblCellMar>
        </w:tblPrEx>
        <w:trPr>
          <w:trHeight w:val="268"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序号</w:t>
            </w:r>
          </w:p>
        </w:tc>
        <w:tc>
          <w:tcPr>
            <w:tcW w:w="12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试验名称</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试验条件</w:t>
            </w:r>
          </w:p>
        </w:tc>
        <w:tc>
          <w:tcPr>
            <w:tcW w:w="4192"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要求</w:t>
            </w:r>
          </w:p>
        </w:tc>
      </w:tr>
      <w:tr>
        <w:tblPrEx>
          <w:tblCellMar>
            <w:top w:w="0" w:type="dxa"/>
            <w:left w:w="108" w:type="dxa"/>
            <w:bottom w:w="0" w:type="dxa"/>
            <w:right w:w="108" w:type="dxa"/>
          </w:tblCellMar>
        </w:tblPrEx>
        <w:trPr>
          <w:trHeight w:val="107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1</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拉伸</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连接器插头与光缆间：</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拉力：</w:t>
            </w:r>
            <w:r>
              <w:rPr>
                <w:rFonts w:ascii="宋体_GB2312" w:hAnsi="宋体_GB2312" w:eastAsia="宋体_GB2312" w:cs="宋体"/>
                <w:sz w:val="22"/>
                <w:szCs w:val="22"/>
              </w:rPr>
              <w:t>60N（圆形光缆）；</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拉力：</w:t>
            </w:r>
            <w:r>
              <w:rPr>
                <w:rFonts w:ascii="宋体_GB2312" w:hAnsi="宋体_GB2312" w:eastAsia="宋体_GB2312" w:cs="宋体"/>
                <w:sz w:val="22"/>
                <w:szCs w:val="22"/>
              </w:rPr>
              <w:t>50N（蝶形光缆）；</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10min。</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2</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扭转</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角度：±</w:t>
            </w:r>
            <w:r>
              <w:rPr>
                <w:rFonts w:ascii="宋体_GB2312" w:hAnsi="宋体_GB2312" w:eastAsia="宋体_GB2312" w:cs="宋体"/>
                <w:sz w:val="22"/>
                <w:szCs w:val="22"/>
              </w:rPr>
              <w:t xml:space="preserve">180°； </w:t>
            </w:r>
            <w:r>
              <w:rPr>
                <w:rFonts w:hint="eastAsia" w:ascii="宋体_GB2312" w:hAnsi="宋体_GB2312" w:eastAsia="宋体_GB2312" w:cs="宋体"/>
                <w:sz w:val="22"/>
                <w:szCs w:val="22"/>
              </w:rPr>
              <w:t>张力：</w:t>
            </w:r>
            <w:r>
              <w:rPr>
                <w:rFonts w:ascii="宋体_GB2312" w:hAnsi="宋体_GB2312" w:eastAsia="宋体_GB2312" w:cs="宋体"/>
                <w:sz w:val="22"/>
                <w:szCs w:val="22"/>
              </w:rPr>
              <w:t xml:space="preserve"> 40N；</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速率：</w:t>
            </w:r>
            <w:r>
              <w:rPr>
                <w:rFonts w:ascii="宋体_GB2312" w:hAnsi="宋体_GB2312" w:eastAsia="宋体_GB2312" w:cs="宋体"/>
                <w:sz w:val="22"/>
                <w:szCs w:val="22"/>
              </w:rPr>
              <w:t xml:space="preserve">10次/min； </w:t>
            </w:r>
            <w:r>
              <w:rPr>
                <w:rFonts w:hint="eastAsia" w:ascii="宋体_GB2312" w:hAnsi="宋体_GB2312" w:eastAsia="宋体_GB2312" w:cs="宋体"/>
                <w:sz w:val="22"/>
                <w:szCs w:val="22"/>
              </w:rPr>
              <w:t>次数：</w:t>
            </w:r>
            <w:r>
              <w:rPr>
                <w:rFonts w:ascii="宋体_GB2312" w:hAnsi="宋体_GB2312" w:eastAsia="宋体_GB2312" w:cs="宋体"/>
                <w:sz w:val="22"/>
                <w:szCs w:val="22"/>
              </w:rPr>
              <w:t>200次。</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107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3</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卷绕</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卷绕圈数：</w:t>
            </w:r>
            <w:r>
              <w:rPr>
                <w:rFonts w:ascii="宋体_GB2312" w:hAnsi="宋体_GB2312" w:eastAsia="宋体_GB2312" w:cs="宋体"/>
                <w:sz w:val="22"/>
                <w:szCs w:val="22"/>
              </w:rPr>
              <w:t>10圈。</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卷绕直径：</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w:t>
            </w:r>
            <w:r>
              <w:rPr>
                <w:rFonts w:ascii="宋体_GB2312" w:hAnsi="宋体_GB2312" w:eastAsia="宋体_GB2312" w:cs="宋体"/>
                <w:sz w:val="22"/>
                <w:szCs w:val="22"/>
              </w:rPr>
              <w:t>20倍光缆直径或短径（B6光纤）</w:t>
            </w:r>
            <w:r>
              <w:rPr>
                <w:rFonts w:hint="eastAsia" w:ascii="宋体_GB2312" w:hAnsi="宋体_GB2312" w:eastAsia="宋体_GB2312" w:cs="宋体"/>
                <w:sz w:val="22"/>
                <w:szCs w:val="22"/>
              </w:rPr>
              <w:t>。</w:t>
            </w:r>
          </w:p>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测试波长：1550nm。</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试验中及试验后插入损耗变化量≤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外观不应有裂纹、变形等异常现象。</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4</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跌落</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高度：</w:t>
            </w:r>
            <w:r>
              <w:rPr>
                <w:rFonts w:ascii="宋体_GB2312" w:hAnsi="宋体_GB2312" w:eastAsia="宋体_GB2312" w:cs="宋体"/>
                <w:sz w:val="22"/>
                <w:szCs w:val="22"/>
              </w:rPr>
              <w:t>1.5m；</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次数：</w:t>
            </w:r>
            <w:r>
              <w:rPr>
                <w:rFonts w:ascii="宋体_GB2312" w:hAnsi="宋体_GB2312" w:eastAsia="宋体_GB2312" w:cs="宋体"/>
                <w:sz w:val="22"/>
                <w:szCs w:val="22"/>
              </w:rPr>
              <w:t>8次。</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107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5</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振动</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频率：</w:t>
            </w:r>
            <w:r>
              <w:rPr>
                <w:rFonts w:ascii="宋体_GB2312" w:hAnsi="宋体_GB2312" w:eastAsia="宋体_GB2312" w:cs="宋体"/>
                <w:sz w:val="22"/>
                <w:szCs w:val="22"/>
              </w:rPr>
              <w:t>10Hz～55Hz；</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扫频：扫频</w:t>
            </w:r>
            <w:r>
              <w:rPr>
                <w:rFonts w:ascii="宋体_GB2312" w:hAnsi="宋体_GB2312" w:eastAsia="宋体_GB2312" w:cs="宋体"/>
                <w:sz w:val="22"/>
                <w:szCs w:val="22"/>
              </w:rPr>
              <w:t>1次/min，频程45Hz；</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振幅：</w:t>
            </w:r>
            <w:r>
              <w:rPr>
                <w:rFonts w:ascii="宋体_GB2312" w:hAnsi="宋体_GB2312" w:eastAsia="宋体_GB2312" w:cs="宋体"/>
                <w:sz w:val="22"/>
                <w:szCs w:val="22"/>
              </w:rPr>
              <w:t>0.75mm单振幅；</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时间：两个方向，各</w:t>
            </w:r>
            <w:r>
              <w:rPr>
                <w:rFonts w:ascii="宋体_GB2312" w:hAnsi="宋体_GB2312" w:eastAsia="宋体_GB2312" w:cs="宋体"/>
                <w:sz w:val="22"/>
                <w:szCs w:val="22"/>
              </w:rPr>
              <w:t>2h。</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6</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机械耐久性</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插拔次数：</w:t>
            </w:r>
            <w:r>
              <w:rPr>
                <w:rFonts w:ascii="宋体_GB2312" w:hAnsi="宋体_GB2312" w:eastAsia="宋体_GB2312" w:cs="宋体"/>
                <w:sz w:val="22"/>
                <w:szCs w:val="22"/>
              </w:rPr>
              <w:t>500次。</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7</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插、拔力</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采用插拔试验机时：插拔速度为24次/min。</w:t>
            </w:r>
          </w:p>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采用拉力机时：5mm/min。</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插入力：≤</w:t>
            </w:r>
            <w:r>
              <w:rPr>
                <w:rFonts w:ascii="宋体_GB2312" w:hAnsi="宋体_GB2312" w:eastAsia="宋体_GB2312" w:cs="宋体"/>
                <w:sz w:val="22"/>
                <w:szCs w:val="22"/>
              </w:rPr>
              <w:t xml:space="preserve">19.6N； </w:t>
            </w:r>
            <w:r>
              <w:rPr>
                <w:rFonts w:hint="eastAsia" w:ascii="宋体_GB2312" w:hAnsi="宋体_GB2312" w:eastAsia="宋体_GB2312" w:cs="宋体"/>
                <w:sz w:val="22"/>
                <w:szCs w:val="22"/>
              </w:rPr>
              <w:t>拔出力：≤</w:t>
            </w:r>
            <w:r>
              <w:rPr>
                <w:rFonts w:ascii="宋体_GB2312" w:hAnsi="宋体_GB2312" w:eastAsia="宋体_GB2312" w:cs="宋体"/>
                <w:sz w:val="22"/>
                <w:szCs w:val="22"/>
              </w:rPr>
              <w:t>19.6N；</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8</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锁紧机械强度</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拉力：</w:t>
            </w:r>
            <w:r>
              <w:rPr>
                <w:rFonts w:ascii="宋体_GB2312" w:hAnsi="宋体_GB2312" w:eastAsia="宋体_GB2312" w:cs="宋体"/>
                <w:sz w:val="22"/>
                <w:szCs w:val="22"/>
              </w:rPr>
              <w:t>30N；</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10min。</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不应有机械损伤，如变形、龟裂、松弛、脱落等现象。（适用于</w:t>
            </w:r>
            <w:r>
              <w:rPr>
                <w:rFonts w:ascii="宋体_GB2312" w:hAnsi="宋体_GB2312" w:eastAsia="宋体_GB2312" w:cs="宋体"/>
                <w:sz w:val="22"/>
                <w:szCs w:val="22"/>
              </w:rPr>
              <w:t>SC型、LC型连接器）。</w:t>
            </w:r>
          </w:p>
        </w:tc>
      </w:tr>
      <w:tr>
        <w:tblPrEx>
          <w:tblCellMar>
            <w:top w:w="0" w:type="dxa"/>
            <w:left w:w="108" w:type="dxa"/>
            <w:bottom w:w="0" w:type="dxa"/>
            <w:right w:w="108" w:type="dxa"/>
          </w:tblCellMar>
        </w:tblPrEx>
        <w:trPr>
          <w:trHeight w:val="8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9</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光缆可分离性</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分离速度：</w:t>
            </w:r>
            <w:r>
              <w:rPr>
                <w:rFonts w:ascii="宋体_GB2312" w:hAnsi="宋体_GB2312" w:eastAsia="宋体_GB2312" w:cs="宋体"/>
                <w:sz w:val="22"/>
                <w:szCs w:val="22"/>
              </w:rPr>
              <w:t>500mm/min。</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蝶形光缆分离力为</w:t>
            </w:r>
            <w:r>
              <w:rPr>
                <w:rFonts w:ascii="宋体_GB2312" w:hAnsi="宋体_GB2312" w:eastAsia="宋体_GB2312" w:cs="宋体"/>
                <w:sz w:val="22"/>
                <w:szCs w:val="22"/>
              </w:rPr>
              <w:t>5N～15N；</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分离后光纤应能完全裸露出来，且加强构件处的护套应保持完整，加强件无裸露。</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（适用于蝶形光缆）</w:t>
            </w:r>
          </w:p>
        </w:tc>
      </w:tr>
      <w:tr>
        <w:tblPrEx>
          <w:tblCellMar>
            <w:top w:w="0" w:type="dxa"/>
            <w:left w:w="108" w:type="dxa"/>
            <w:bottom w:w="0" w:type="dxa"/>
            <w:right w:w="108" w:type="dxa"/>
          </w:tblCellMar>
        </w:tblPrEx>
        <w:trPr>
          <w:trHeight w:val="107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10</w:t>
            </w:r>
          </w:p>
        </w:tc>
        <w:tc>
          <w:tcPr>
            <w:tcW w:w="12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插芯弹力抗疲劳性</w:t>
            </w:r>
          </w:p>
        </w:tc>
        <w:tc>
          <w:tcPr>
            <w:tcW w:w="36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插芯下压行程0.6mm；</w:t>
            </w:r>
          </w:p>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插芯按压次数500次。</w:t>
            </w:r>
          </w:p>
        </w:tc>
        <w:tc>
          <w:tcPr>
            <w:tcW w:w="4192"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试验后插入损耗变化量≤0.3dB；</w:t>
            </w:r>
          </w:p>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外观不得有机械损伤，插芯能够回到原基准面位置</w:t>
            </w:r>
          </w:p>
        </w:tc>
      </w:tr>
    </w:tbl>
    <w:p>
      <w:pPr>
        <w:rPr>
          <w:rFonts w:ascii="宋体_GB2312" w:hAnsi="宋体_GB2312" w:eastAsia="宋体_GB2312"/>
        </w:rPr>
      </w:pPr>
    </w:p>
    <w:p>
      <w:pPr>
        <w:pStyle w:val="4"/>
        <w:spacing w:after="12"/>
        <w:rPr>
          <w:rFonts w:ascii="宋体_GB2312" w:hAnsi="宋体_GB2312" w:eastAsia="宋体_GB2312"/>
        </w:rPr>
      </w:pPr>
      <w:bookmarkStart w:id="115" w:name="_Toc5587"/>
      <w:bookmarkStart w:id="116" w:name="_Toc54084424"/>
      <w:r>
        <w:rPr>
          <w:rFonts w:ascii="宋体_GB2312" w:hAnsi="宋体_GB2312" w:eastAsia="宋体_GB2312"/>
        </w:rPr>
        <w:t>3.5.3</w:t>
      </w:r>
      <w:r>
        <w:rPr>
          <w:rFonts w:hint="eastAsia" w:ascii="宋体_GB2312" w:hAnsi="宋体_GB2312" w:eastAsia="宋体_GB2312"/>
        </w:rPr>
        <w:t>环境性能</w:t>
      </w:r>
      <w:bookmarkEnd w:id="108"/>
      <w:bookmarkEnd w:id="109"/>
      <w:bookmarkEnd w:id="110"/>
      <w:bookmarkEnd w:id="111"/>
      <w:bookmarkEnd w:id="112"/>
      <w:bookmarkEnd w:id="113"/>
      <w:bookmarkEnd w:id="114"/>
      <w:bookmarkEnd w:id="115"/>
      <w:bookmarkEnd w:id="116"/>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sz w:val="24"/>
          <w:szCs w:val="24"/>
        </w:rPr>
        <w:t>预制成端型蝶形光缆应满足表</w:t>
      </w:r>
      <w:r>
        <w:rPr>
          <w:rFonts w:ascii="宋体_GB2312" w:hAnsi="宋体_GB2312" w:eastAsia="宋体_GB2312"/>
          <w:sz w:val="24"/>
          <w:szCs w:val="24"/>
        </w:rPr>
        <w:t>13</w:t>
      </w:r>
      <w:r>
        <w:rPr>
          <w:rFonts w:hint="eastAsia" w:ascii="宋体_GB2312" w:hAnsi="宋体_GB2312" w:eastAsia="宋体_GB2312"/>
          <w:sz w:val="24"/>
          <w:szCs w:val="24"/>
        </w:rPr>
        <w:t>中规定的环境性能试验要求，同时应满足表</w:t>
      </w:r>
      <w:r>
        <w:rPr>
          <w:rFonts w:ascii="宋体_GB2312" w:hAnsi="宋体_GB2312" w:eastAsia="宋体_GB2312"/>
          <w:sz w:val="24"/>
          <w:szCs w:val="24"/>
        </w:rPr>
        <w:t>10</w:t>
      </w:r>
      <w:r>
        <w:rPr>
          <w:rFonts w:hint="eastAsia" w:ascii="宋体_GB2312" w:hAnsi="宋体_GB2312" w:eastAsia="宋体_GB2312"/>
          <w:sz w:val="24"/>
          <w:szCs w:val="24"/>
        </w:rPr>
        <w:t>、表</w:t>
      </w:r>
      <w:r>
        <w:rPr>
          <w:rFonts w:ascii="宋体_GB2312" w:hAnsi="宋体_GB2312" w:eastAsia="宋体_GB2312"/>
          <w:sz w:val="24"/>
          <w:szCs w:val="24"/>
        </w:rPr>
        <w:t>11</w:t>
      </w:r>
      <w:r>
        <w:rPr>
          <w:rFonts w:hint="eastAsia" w:ascii="宋体_GB2312" w:hAnsi="宋体_GB2312" w:eastAsia="宋体_GB2312"/>
          <w:sz w:val="24"/>
          <w:szCs w:val="24"/>
        </w:rPr>
        <w:t>的传输</w:t>
      </w:r>
      <w:r>
        <w:rPr>
          <w:rFonts w:ascii="宋体_GB2312" w:hAnsi="宋体_GB2312" w:eastAsia="宋体_GB2312"/>
          <w:sz w:val="24"/>
          <w:szCs w:val="24"/>
        </w:rPr>
        <w:t>性能要求</w:t>
      </w:r>
      <w:r>
        <w:rPr>
          <w:rFonts w:hint="eastAsia" w:ascii="宋体_GB2312" w:hAnsi="宋体_GB2312" w:eastAsia="宋体_GB2312"/>
          <w:sz w:val="24"/>
          <w:szCs w:val="24"/>
        </w:rPr>
        <w:t>。</w:t>
      </w:r>
    </w:p>
    <w:p>
      <w:pPr>
        <w:pStyle w:val="14"/>
        <w:spacing w:after="12" w:line="276" w:lineRule="auto"/>
        <w:jc w:val="center"/>
        <w:rPr>
          <w:rFonts w:ascii="宋体_GB2312" w:hAnsi="宋体_GB2312" w:eastAsia="宋体_GB2312"/>
          <w:sz w:val="24"/>
          <w:szCs w:val="24"/>
        </w:rPr>
      </w:pPr>
      <w:r>
        <w:rPr>
          <w:rFonts w:hint="eastAsia" w:ascii="宋体_GB2312" w:hAnsi="宋体_GB2312" w:eastAsia="宋体_GB2312"/>
          <w:sz w:val="24"/>
          <w:szCs w:val="24"/>
        </w:rPr>
        <w:t>表</w:t>
      </w:r>
      <w:r>
        <w:rPr>
          <w:rFonts w:ascii="宋体_GB2312" w:hAnsi="宋体_GB2312" w:eastAsia="宋体_GB2312"/>
          <w:sz w:val="24"/>
          <w:szCs w:val="24"/>
        </w:rPr>
        <w:t>13 预制成端型蝶形光缆的环境性能</w:t>
      </w:r>
    </w:p>
    <w:tbl>
      <w:tblPr>
        <w:tblStyle w:val="50"/>
        <w:tblW w:w="9907" w:type="dxa"/>
        <w:tblInd w:w="113" w:type="dxa"/>
        <w:tblLayout w:type="fixed"/>
        <w:tblCellMar>
          <w:top w:w="0" w:type="dxa"/>
          <w:left w:w="108" w:type="dxa"/>
          <w:bottom w:w="0" w:type="dxa"/>
          <w:right w:w="108" w:type="dxa"/>
        </w:tblCellMar>
      </w:tblPr>
      <w:tblGrid>
        <w:gridCol w:w="836"/>
        <w:gridCol w:w="1169"/>
        <w:gridCol w:w="2288"/>
        <w:gridCol w:w="5614"/>
      </w:tblGrid>
      <w:tr>
        <w:tblPrEx>
          <w:tblCellMar>
            <w:top w:w="0" w:type="dxa"/>
            <w:left w:w="108" w:type="dxa"/>
            <w:bottom w:w="0" w:type="dxa"/>
            <w:right w:w="108" w:type="dxa"/>
          </w:tblCellMar>
        </w:tblPrEx>
        <w:trPr>
          <w:trHeight w:val="277" w:hRule="atLeast"/>
        </w:trPr>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序号</w:t>
            </w:r>
          </w:p>
        </w:tc>
        <w:tc>
          <w:tcPr>
            <w:tcW w:w="116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试验名称</w:t>
            </w:r>
          </w:p>
        </w:tc>
        <w:tc>
          <w:tcPr>
            <w:tcW w:w="228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试验条件</w:t>
            </w:r>
          </w:p>
        </w:tc>
        <w:tc>
          <w:tcPr>
            <w:tcW w:w="5614"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要求</w:t>
            </w:r>
          </w:p>
        </w:tc>
      </w:tr>
      <w:tr>
        <w:tblPrEx>
          <w:tblCellMar>
            <w:top w:w="0" w:type="dxa"/>
            <w:left w:w="108" w:type="dxa"/>
            <w:bottom w:w="0" w:type="dxa"/>
            <w:right w:w="108" w:type="dxa"/>
          </w:tblCellMar>
        </w:tblPrEx>
        <w:trPr>
          <w:trHeight w:val="1109"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1</w:t>
            </w:r>
          </w:p>
        </w:tc>
        <w:tc>
          <w:tcPr>
            <w:tcW w:w="116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高温</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w:t>
            </w:r>
            <w:r>
              <w:rPr>
                <w:rFonts w:ascii="宋体_GB2312" w:hAnsi="宋体_GB2312" w:eastAsia="宋体_GB2312" w:cs="宋体"/>
                <w:sz w:val="22"/>
                <w:szCs w:val="22"/>
              </w:rPr>
              <w:t>60℃；</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96h。</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试验中及试验后插入损耗变化量：</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50m：≤0.3dB；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 xml:space="preserve"> &gt;50m：≤0.3dB+L×0.05dB/100m；</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1109"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2</w:t>
            </w:r>
          </w:p>
        </w:tc>
        <w:tc>
          <w:tcPr>
            <w:tcW w:w="1169" w:type="dxa"/>
            <w:tcBorders>
              <w:top w:val="nil"/>
              <w:left w:val="nil"/>
              <w:bottom w:val="single" w:color="auto" w:sz="4" w:space="0"/>
              <w:right w:val="single" w:color="auto" w:sz="4" w:space="0"/>
            </w:tcBorders>
            <w:shd w:val="clear" w:color="auto" w:fill="auto"/>
            <w:vAlign w:val="center"/>
          </w:tcPr>
          <w:p>
            <w:pPr>
              <w:pStyle w:val="65"/>
              <w:jc w:val="center"/>
              <w:rPr>
                <w:rFonts w:ascii="宋体_GB2312" w:hAnsi="宋体_GB2312" w:eastAsia="宋体_GB2312"/>
                <w:color w:val="auto"/>
                <w:szCs w:val="18"/>
              </w:rPr>
            </w:pPr>
            <w:r>
              <w:rPr>
                <w:rFonts w:hint="eastAsia" w:ascii="宋体_GB2312" w:hAnsi="宋体_GB2312" w:eastAsia="宋体_GB2312"/>
                <w:color w:val="auto"/>
                <w:sz w:val="22"/>
                <w:szCs w:val="22"/>
              </w:rPr>
              <w:t>低温</w:t>
            </w:r>
            <w:r>
              <w:rPr>
                <w:rFonts w:ascii="宋体_GB2312" w:hAnsi="宋体_GB2312" w:eastAsia="宋体_GB2312"/>
                <w:color w:val="auto"/>
                <w:sz w:val="18"/>
                <w:szCs w:val="18"/>
              </w:rPr>
              <w:t xml:space="preserve"> </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w:t>
            </w:r>
            <w:r>
              <w:rPr>
                <w:rFonts w:ascii="宋体_GB2312" w:hAnsi="宋体_GB2312" w:eastAsia="宋体_GB2312" w:cs="宋体"/>
                <w:sz w:val="22"/>
                <w:szCs w:val="22"/>
              </w:rPr>
              <w:t>-40</w:t>
            </w:r>
            <w:r>
              <w:rPr>
                <w:rFonts w:hint="eastAsia" w:ascii="宋体_GB2312" w:hAnsi="宋体_GB2312" w:eastAsia="宋体_GB2312" w:cs="宋体"/>
                <w:sz w:val="22"/>
                <w:szCs w:val="22"/>
              </w:rPr>
              <w:t>℃；</w:t>
            </w:r>
            <w:r>
              <w:rPr>
                <w:rFonts w:ascii="宋体_GB2312" w:hAnsi="宋体_GB2312" w:eastAsia="宋体_GB2312" w:cs="宋体"/>
                <w:sz w:val="22"/>
                <w:szCs w:val="22"/>
              </w:rPr>
              <w:t xml:space="preserve"> </w:t>
            </w:r>
          </w:p>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时间：</w:t>
            </w:r>
            <w:r>
              <w:rPr>
                <w:rFonts w:ascii="宋体_GB2312" w:hAnsi="宋体_GB2312" w:eastAsia="宋体_GB2312" w:cs="宋体"/>
                <w:sz w:val="22"/>
                <w:szCs w:val="22"/>
              </w:rPr>
              <w:t>96h</w:t>
            </w:r>
            <w:r>
              <w:rPr>
                <w:rFonts w:hint="eastAsia" w:ascii="宋体_GB2312" w:hAnsi="宋体_GB2312" w:eastAsia="宋体_GB2312" w:cs="宋体"/>
                <w:sz w:val="22"/>
                <w:szCs w:val="22"/>
              </w:rPr>
              <w:t>。</w:t>
            </w:r>
            <w:r>
              <w:rPr>
                <w:rFonts w:ascii="宋体_GB2312" w:hAnsi="宋体_GB2312" w:eastAsia="宋体_GB2312" w:cs="宋体"/>
                <w:sz w:val="22"/>
                <w:szCs w:val="22"/>
              </w:rPr>
              <w:t xml:space="preserve"> </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试验中及试验后插入损耗变化量：</w:t>
            </w:r>
            <w:r>
              <w:rPr>
                <w:rFonts w:ascii="宋体_GB2312" w:hAnsi="宋体_GB2312" w:eastAsia="宋体_GB2312" w:cs="宋体"/>
                <w:sz w:val="22"/>
                <w:szCs w:val="22"/>
              </w:rPr>
              <w:t xml:space="preserve"> </w:t>
            </w:r>
          </w:p>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组件长度≤</w:t>
            </w:r>
            <w:r>
              <w:rPr>
                <w:rFonts w:ascii="宋体_GB2312" w:hAnsi="宋体_GB2312" w:eastAsia="宋体_GB2312" w:cs="宋体"/>
                <w:sz w:val="22"/>
                <w:szCs w:val="22"/>
              </w:rPr>
              <w:t>50m</w:t>
            </w:r>
            <w:r>
              <w:rPr>
                <w:rFonts w:hint="eastAsia" w:ascii="宋体_GB2312" w:hAnsi="宋体_GB2312" w:eastAsia="宋体_GB2312" w:cs="宋体"/>
                <w:sz w:val="22"/>
                <w:szCs w:val="22"/>
              </w:rPr>
              <w:t>：≤</w:t>
            </w:r>
            <w:r>
              <w:rPr>
                <w:rFonts w:ascii="宋体_GB2312" w:hAnsi="宋体_GB2312" w:eastAsia="宋体_GB2312" w:cs="宋体"/>
                <w:sz w:val="22"/>
                <w:szCs w:val="22"/>
              </w:rPr>
              <w:t>0.3dB</w:t>
            </w:r>
            <w:r>
              <w:rPr>
                <w:rFonts w:hint="eastAsia" w:ascii="宋体_GB2312" w:hAnsi="宋体_GB2312" w:eastAsia="宋体_GB2312" w:cs="宋体"/>
                <w:sz w:val="22"/>
                <w:szCs w:val="22"/>
              </w:rPr>
              <w:t>；</w:t>
            </w:r>
            <w:r>
              <w:rPr>
                <w:rFonts w:ascii="宋体_GB2312" w:hAnsi="宋体_GB2312" w:eastAsia="宋体_GB2312" w:cs="宋体"/>
                <w:sz w:val="22"/>
                <w:szCs w:val="22"/>
              </w:rPr>
              <w:t xml:space="preserve"> </w:t>
            </w:r>
          </w:p>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组件长度</w:t>
            </w:r>
            <w:r>
              <w:rPr>
                <w:rFonts w:ascii="宋体_GB2312" w:hAnsi="宋体_GB2312" w:eastAsia="宋体_GB2312" w:cs="宋体"/>
                <w:sz w:val="22"/>
                <w:szCs w:val="22"/>
              </w:rPr>
              <w:t xml:space="preserve"> &gt;50m</w:t>
            </w:r>
            <w:r>
              <w:rPr>
                <w:rFonts w:hint="eastAsia" w:ascii="宋体_GB2312" w:hAnsi="宋体_GB2312" w:eastAsia="宋体_GB2312" w:cs="宋体"/>
                <w:sz w:val="22"/>
                <w:szCs w:val="22"/>
              </w:rPr>
              <w:t>：≤</w:t>
            </w:r>
            <w:r>
              <w:rPr>
                <w:rFonts w:ascii="宋体_GB2312" w:hAnsi="宋体_GB2312" w:eastAsia="宋体_GB2312" w:cs="宋体"/>
                <w:sz w:val="22"/>
                <w:szCs w:val="22"/>
              </w:rPr>
              <w:t>0.3dB+ L</w:t>
            </w:r>
            <w:r>
              <w:rPr>
                <w:rFonts w:hint="eastAsia" w:ascii="宋体_GB2312" w:hAnsi="宋体_GB2312" w:eastAsia="宋体_GB2312" w:cs="宋体"/>
                <w:sz w:val="22"/>
                <w:szCs w:val="22"/>
              </w:rPr>
              <w:t>×</w:t>
            </w:r>
            <w:r>
              <w:rPr>
                <w:rFonts w:ascii="宋体_GB2312" w:hAnsi="宋体_GB2312" w:eastAsia="宋体_GB2312" w:cs="宋体"/>
                <w:sz w:val="22"/>
                <w:szCs w:val="22"/>
              </w:rPr>
              <w:t>0.05dB/100m</w:t>
            </w:r>
            <w:r>
              <w:rPr>
                <w:rFonts w:hint="eastAsia" w:ascii="宋体_GB2312" w:hAnsi="宋体_GB2312" w:eastAsia="宋体_GB2312" w:cs="宋体"/>
                <w:sz w:val="22"/>
                <w:szCs w:val="22"/>
              </w:rPr>
              <w:t>；</w:t>
            </w:r>
            <w:r>
              <w:rPr>
                <w:rFonts w:ascii="宋体_GB2312" w:hAnsi="宋体_GB2312" w:eastAsia="宋体_GB2312" w:cs="宋体"/>
                <w:sz w:val="22"/>
                <w:szCs w:val="22"/>
              </w:rPr>
              <w:t xml:space="preserve"> </w:t>
            </w:r>
          </w:p>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不应有机械损伤，如变形、龟裂、松弛、脱落等现象。</w:t>
            </w:r>
            <w:r>
              <w:rPr>
                <w:rFonts w:ascii="宋体_GB2312" w:hAnsi="宋体_GB2312" w:eastAsia="宋体_GB2312" w:cs="宋体"/>
                <w:sz w:val="22"/>
                <w:szCs w:val="22"/>
              </w:rPr>
              <w:t xml:space="preserve"> </w:t>
            </w:r>
          </w:p>
        </w:tc>
      </w:tr>
      <w:tr>
        <w:tblPrEx>
          <w:tblCellMar>
            <w:top w:w="0" w:type="dxa"/>
            <w:left w:w="108" w:type="dxa"/>
            <w:bottom w:w="0" w:type="dxa"/>
            <w:right w:w="108" w:type="dxa"/>
          </w:tblCellMar>
        </w:tblPrEx>
        <w:trPr>
          <w:trHeight w:val="1109"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3</w:t>
            </w:r>
          </w:p>
        </w:tc>
        <w:tc>
          <w:tcPr>
            <w:tcW w:w="116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温度循环</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w:t>
            </w:r>
            <w:r>
              <w:rPr>
                <w:rFonts w:ascii="宋体_GB2312" w:hAnsi="宋体_GB2312" w:eastAsia="宋体_GB2312" w:cs="宋体"/>
                <w:sz w:val="22"/>
                <w:szCs w:val="22"/>
              </w:rPr>
              <w:t>40℃～＋60℃；</w:t>
            </w:r>
            <w:r>
              <w:rPr>
                <w:rFonts w:ascii="宋体_GB2312" w:hAnsi="宋体_GB2312" w:eastAsia="宋体_GB2312" w:cs="宋体"/>
                <w:sz w:val="22"/>
                <w:szCs w:val="22"/>
              </w:rPr>
              <w:br w:type="textWrapping"/>
            </w:r>
            <w:r>
              <w:rPr>
                <w:rFonts w:ascii="宋体_GB2312" w:hAnsi="宋体_GB2312" w:eastAsia="宋体_GB2312" w:cs="宋体"/>
                <w:sz w:val="22"/>
                <w:szCs w:val="22"/>
              </w:rPr>
              <w:t>5个循环，共40h</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50m：≤0.3dB；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 xml:space="preserve"> &gt;50m：≤0.3dB+ L×0.05dB/100m；</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1109"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4</w:t>
            </w:r>
          </w:p>
        </w:tc>
        <w:tc>
          <w:tcPr>
            <w:tcW w:w="116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湿热</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w:t>
            </w:r>
            <w:r>
              <w:rPr>
                <w:rFonts w:ascii="宋体_GB2312" w:hAnsi="宋体_GB2312" w:eastAsia="宋体_GB2312" w:cs="宋体"/>
                <w:sz w:val="22"/>
                <w:szCs w:val="22"/>
              </w:rPr>
              <w:t>40℃；</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湿度：</w:t>
            </w:r>
            <w:r>
              <w:rPr>
                <w:rFonts w:ascii="宋体_GB2312" w:hAnsi="宋体_GB2312" w:eastAsia="宋体_GB2312" w:cs="宋体"/>
                <w:sz w:val="22"/>
                <w:szCs w:val="22"/>
              </w:rPr>
              <w:t>95%；</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96h。</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试验中及试验后插入损耗变化量：</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50m：≤0.3dB；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组件长度</w:t>
            </w:r>
            <w:r>
              <w:rPr>
                <w:rFonts w:ascii="宋体_GB2312" w:hAnsi="宋体_GB2312" w:eastAsia="宋体_GB2312" w:cs="宋体"/>
                <w:sz w:val="22"/>
                <w:szCs w:val="22"/>
              </w:rPr>
              <w:t xml:space="preserve"> &gt;50m：≤0.3dB+ L×0.05dB/100m；</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不应有机械损伤，如变形、龟裂、松弛、脱落等现象。</w:t>
            </w:r>
          </w:p>
        </w:tc>
      </w:tr>
      <w:tr>
        <w:tblPrEx>
          <w:tblCellMar>
            <w:top w:w="0" w:type="dxa"/>
            <w:left w:w="108" w:type="dxa"/>
            <w:bottom w:w="0" w:type="dxa"/>
            <w:right w:w="108" w:type="dxa"/>
          </w:tblCellMar>
        </w:tblPrEx>
        <w:trPr>
          <w:trHeight w:val="554"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5</w:t>
            </w:r>
          </w:p>
        </w:tc>
        <w:tc>
          <w:tcPr>
            <w:tcW w:w="116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浸水</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水源：室温自来水；</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168h。</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试验后插入损耗变化量≤</w:t>
            </w:r>
            <w:r>
              <w:rPr>
                <w:rFonts w:ascii="宋体_GB2312" w:hAnsi="宋体_GB2312" w:eastAsia="宋体_GB2312" w:cs="宋体"/>
                <w:sz w:val="22"/>
                <w:szCs w:val="22"/>
              </w:rPr>
              <w:t>0.3dB；</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不应有变形、起泡、松弛、脱落等现象。</w:t>
            </w:r>
          </w:p>
        </w:tc>
      </w:tr>
      <w:tr>
        <w:tblPrEx>
          <w:tblCellMar>
            <w:top w:w="0" w:type="dxa"/>
            <w:left w:w="108" w:type="dxa"/>
            <w:bottom w:w="0" w:type="dxa"/>
            <w:right w:w="108" w:type="dxa"/>
          </w:tblCellMar>
        </w:tblPrEx>
        <w:trPr>
          <w:trHeight w:val="554" w:hRule="atLeast"/>
        </w:trPr>
        <w:tc>
          <w:tcPr>
            <w:tcW w:w="836"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ascii="宋体_GB2312" w:hAnsi="宋体_GB2312" w:eastAsia="宋体_GB2312" w:cs="宋体"/>
                <w:sz w:val="22"/>
                <w:szCs w:val="22"/>
              </w:rPr>
              <w:t>6</w:t>
            </w:r>
          </w:p>
        </w:tc>
        <w:tc>
          <w:tcPr>
            <w:tcW w:w="116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盐雾</w:t>
            </w:r>
          </w:p>
        </w:tc>
        <w:tc>
          <w:tcPr>
            <w:tcW w:w="2288"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温度：</w:t>
            </w:r>
            <w:r>
              <w:rPr>
                <w:rFonts w:ascii="宋体_GB2312" w:hAnsi="宋体_GB2312" w:eastAsia="宋体_GB2312" w:cs="宋体"/>
                <w:sz w:val="22"/>
                <w:szCs w:val="22"/>
              </w:rPr>
              <w:t>35℃；</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浓度：</w:t>
            </w:r>
            <w:r>
              <w:rPr>
                <w:rFonts w:ascii="宋体_GB2312" w:hAnsi="宋体_GB2312" w:eastAsia="宋体_GB2312" w:cs="宋体"/>
                <w:sz w:val="22"/>
                <w:szCs w:val="22"/>
              </w:rPr>
              <w:t>5%NaCl</w:t>
            </w:r>
            <w:r>
              <w:rPr>
                <w:rFonts w:hint="eastAsia" w:ascii="宋体_GB2312" w:hAnsi="宋体_GB2312" w:eastAsia="宋体_GB2312" w:cs="宋体"/>
                <w:sz w:val="22"/>
                <w:szCs w:val="22"/>
              </w:rPr>
              <w:t>盐水喷雾；</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时间：</w:t>
            </w:r>
            <w:r>
              <w:rPr>
                <w:rFonts w:ascii="宋体_GB2312" w:hAnsi="宋体_GB2312" w:eastAsia="宋体_GB2312" w:cs="宋体"/>
                <w:sz w:val="22"/>
                <w:szCs w:val="22"/>
              </w:rPr>
              <w:t>48h。</w:t>
            </w:r>
          </w:p>
        </w:tc>
        <w:tc>
          <w:tcPr>
            <w:tcW w:w="5614"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宋体_GB2312" w:hAnsi="宋体_GB2312" w:eastAsia="宋体_GB2312" w:cs="宋体"/>
                <w:sz w:val="22"/>
                <w:szCs w:val="22"/>
              </w:rPr>
            </w:pPr>
            <w:r>
              <w:rPr>
                <w:rFonts w:hint="eastAsia" w:ascii="宋体_GB2312" w:hAnsi="宋体_GB2312" w:eastAsia="宋体_GB2312" w:cs="宋体"/>
                <w:sz w:val="22"/>
                <w:szCs w:val="22"/>
              </w:rPr>
              <w:t>试验后连接器插头金属构件应无锈蚀。</w:t>
            </w:r>
            <w:r>
              <w:rPr>
                <w:rFonts w:ascii="宋体_GB2312" w:hAnsi="宋体_GB2312" w:eastAsia="宋体_GB2312" w:cs="宋体"/>
                <w:sz w:val="22"/>
                <w:szCs w:val="22"/>
              </w:rPr>
              <w:br w:type="textWrapping"/>
            </w:r>
            <w:r>
              <w:rPr>
                <w:rFonts w:hint="eastAsia" w:ascii="宋体_GB2312" w:hAnsi="宋体_GB2312" w:eastAsia="宋体_GB2312" w:cs="宋体"/>
                <w:sz w:val="22"/>
                <w:szCs w:val="22"/>
              </w:rPr>
              <w:t>（适用于</w:t>
            </w:r>
            <w:r>
              <w:rPr>
                <w:rFonts w:ascii="宋体_GB2312" w:hAnsi="宋体_GB2312" w:eastAsia="宋体_GB2312" w:cs="宋体"/>
                <w:sz w:val="22"/>
                <w:szCs w:val="22"/>
              </w:rPr>
              <w:t>FC型连接器）。</w:t>
            </w:r>
          </w:p>
        </w:tc>
      </w:tr>
      <w:tr>
        <w:tblPrEx>
          <w:tblCellMar>
            <w:top w:w="0" w:type="dxa"/>
            <w:left w:w="108" w:type="dxa"/>
            <w:bottom w:w="0" w:type="dxa"/>
            <w:right w:w="108" w:type="dxa"/>
          </w:tblCellMar>
        </w:tblPrEx>
        <w:trPr>
          <w:trHeight w:val="233" w:hRule="atLeast"/>
        </w:trPr>
        <w:tc>
          <w:tcPr>
            <w:tcW w:w="9907" w:type="dxa"/>
            <w:gridSpan w:val="4"/>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ascii="宋体_GB2312" w:hAnsi="宋体_GB2312" w:eastAsia="宋体_GB2312" w:cs="宋体"/>
                <w:sz w:val="22"/>
                <w:szCs w:val="22"/>
              </w:rPr>
            </w:pPr>
            <w:r>
              <w:rPr>
                <w:rFonts w:hint="eastAsia" w:ascii="宋体_GB2312" w:hAnsi="宋体_GB2312" w:eastAsia="宋体_GB2312" w:cs="宋体"/>
                <w:sz w:val="22"/>
                <w:szCs w:val="22"/>
              </w:rPr>
              <w:t>注：表中</w:t>
            </w:r>
            <w:r>
              <w:rPr>
                <w:rFonts w:ascii="宋体_GB2312" w:hAnsi="宋体_GB2312" w:eastAsia="宋体_GB2312" w:cs="宋体"/>
                <w:sz w:val="22"/>
                <w:szCs w:val="22"/>
              </w:rPr>
              <w:t>L为组件中的光纤长度，单位为m</w:t>
            </w:r>
            <w:r>
              <w:rPr>
                <w:rFonts w:hint="eastAsia" w:ascii="宋体_GB2312" w:hAnsi="宋体_GB2312" w:eastAsia="宋体_GB2312" w:cs="宋体"/>
                <w:sz w:val="22"/>
                <w:szCs w:val="22"/>
              </w:rPr>
              <w:t>。</w:t>
            </w:r>
          </w:p>
        </w:tc>
      </w:tr>
    </w:tbl>
    <w:p>
      <w:pPr>
        <w:pStyle w:val="36"/>
        <w:spacing w:after="12" w:line="276" w:lineRule="auto"/>
        <w:ind w:firstLine="465" w:firstLineChars="194"/>
        <w:rPr>
          <w:rFonts w:ascii="宋体_GB2312" w:hAnsi="宋体_GB2312" w:eastAsia="宋体_GB2312"/>
          <w:sz w:val="24"/>
          <w:szCs w:val="24"/>
        </w:rPr>
      </w:pPr>
    </w:p>
    <w:p>
      <w:pPr>
        <w:pStyle w:val="4"/>
        <w:spacing w:after="12"/>
        <w:rPr>
          <w:rFonts w:ascii="宋体_GB2312" w:hAnsi="宋体_GB2312" w:eastAsia="宋体_GB2312"/>
        </w:rPr>
      </w:pPr>
      <w:bookmarkStart w:id="117" w:name="_Toc21897"/>
      <w:bookmarkStart w:id="118" w:name="_Toc54084425"/>
      <w:r>
        <w:rPr>
          <w:rFonts w:ascii="宋体_GB2312" w:hAnsi="宋体_GB2312" w:eastAsia="宋体_GB2312"/>
        </w:rPr>
        <w:t xml:space="preserve">3.5.4 </w:t>
      </w:r>
      <w:r>
        <w:rPr>
          <w:rFonts w:hint="eastAsia" w:ascii="宋体_GB2312" w:hAnsi="宋体_GB2312" w:eastAsia="宋体_GB2312"/>
        </w:rPr>
        <w:t>阻燃性能</w:t>
      </w:r>
      <w:bookmarkEnd w:id="117"/>
      <w:bookmarkEnd w:id="118"/>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（1）SC型、LC型连接器插头塑料件应阻燃，应能通过</w:t>
      </w:r>
      <w:r>
        <w:rPr>
          <w:rFonts w:ascii="宋体_GB2312" w:hAnsi="宋体_GB2312" w:eastAsia="宋体_GB2312"/>
          <w:sz w:val="24"/>
          <w:szCs w:val="24"/>
        </w:rPr>
        <w:t xml:space="preserve"> GB/T 5169.5-2008</w:t>
      </w:r>
      <w:r>
        <w:rPr>
          <w:rFonts w:hint="eastAsia" w:ascii="宋体_GB2312" w:hAnsi="宋体_GB2312" w:eastAsia="宋体_GB2312"/>
          <w:sz w:val="24"/>
          <w:szCs w:val="24"/>
        </w:rPr>
        <w:t>《电工电子产品着火危险试验</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5</w:t>
      </w:r>
      <w:r>
        <w:rPr>
          <w:rFonts w:hint="eastAsia" w:ascii="宋体_GB2312" w:hAnsi="宋体_GB2312" w:eastAsia="宋体_GB2312"/>
          <w:sz w:val="24"/>
          <w:szCs w:val="24"/>
        </w:rPr>
        <w:t>部分：试验火焰</w:t>
      </w:r>
      <w:r>
        <w:rPr>
          <w:rFonts w:ascii="宋体_GB2312" w:hAnsi="宋体_GB2312" w:eastAsia="宋体_GB2312"/>
          <w:sz w:val="24"/>
          <w:szCs w:val="24"/>
        </w:rPr>
        <w:t xml:space="preserve"> </w:t>
      </w:r>
      <w:r>
        <w:rPr>
          <w:rFonts w:hint="eastAsia" w:ascii="宋体_GB2312" w:hAnsi="宋体_GB2312" w:eastAsia="宋体_GB2312"/>
          <w:sz w:val="24"/>
          <w:szCs w:val="24"/>
        </w:rPr>
        <w:t>针焰试验方法</w:t>
      </w:r>
      <w:r>
        <w:rPr>
          <w:rFonts w:ascii="宋体_GB2312" w:hAnsi="宋体_GB2312" w:eastAsia="宋体_GB2312"/>
          <w:sz w:val="24"/>
          <w:szCs w:val="24"/>
        </w:rPr>
        <w:t xml:space="preserve"> </w:t>
      </w:r>
      <w:r>
        <w:rPr>
          <w:rFonts w:hint="eastAsia" w:ascii="宋体_GB2312" w:hAnsi="宋体_GB2312" w:eastAsia="宋体_GB2312"/>
          <w:sz w:val="24"/>
          <w:szCs w:val="24"/>
        </w:rPr>
        <w:t>装置、确认试验方法和导则》规定的燃烧试验，燃烧时间</w:t>
      </w:r>
      <w:r>
        <w:rPr>
          <w:rFonts w:ascii="宋体_GB2312" w:hAnsi="宋体_GB2312" w:eastAsia="宋体_GB2312"/>
          <w:sz w:val="24"/>
          <w:szCs w:val="24"/>
        </w:rPr>
        <w:t>10</w:t>
      </w:r>
      <w:r>
        <w:rPr>
          <w:rFonts w:hint="eastAsia" w:ascii="宋体_GB2312" w:hAnsi="宋体_GB2312" w:eastAsia="宋体_GB2312"/>
          <w:sz w:val="24"/>
          <w:szCs w:val="24"/>
        </w:rPr>
        <w:t>s。</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）组件用光缆应阻燃，应能通过</w:t>
      </w:r>
      <w:r>
        <w:rPr>
          <w:rFonts w:ascii="宋体_GB2312" w:hAnsi="宋体_GB2312" w:eastAsia="宋体_GB2312"/>
          <w:sz w:val="24"/>
          <w:szCs w:val="24"/>
        </w:rPr>
        <w:t xml:space="preserve"> GB/T 18380.12-2008</w:t>
      </w:r>
      <w:r>
        <w:rPr>
          <w:rFonts w:hint="eastAsia" w:ascii="宋体_GB2312" w:hAnsi="宋体_GB2312" w:eastAsia="宋体_GB2312"/>
          <w:sz w:val="24"/>
          <w:szCs w:val="24"/>
        </w:rPr>
        <w:t>《电缆和光缆在火焰条件下的燃烧试验</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12</w:t>
      </w:r>
      <w:r>
        <w:rPr>
          <w:rFonts w:hint="eastAsia" w:ascii="宋体_GB2312" w:hAnsi="宋体_GB2312" w:eastAsia="宋体_GB2312"/>
          <w:sz w:val="24"/>
          <w:szCs w:val="24"/>
        </w:rPr>
        <w:t>部分：单根绝缘电线电缆火焰垂直蔓延试验</w:t>
      </w:r>
      <w:r>
        <w:rPr>
          <w:rFonts w:ascii="宋体_GB2312" w:hAnsi="宋体_GB2312" w:eastAsia="宋体_GB2312"/>
          <w:sz w:val="24"/>
          <w:szCs w:val="24"/>
        </w:rPr>
        <w:t xml:space="preserve"> 1kW</w:t>
      </w:r>
      <w:r>
        <w:rPr>
          <w:rFonts w:hint="eastAsia" w:ascii="宋体_GB2312" w:hAnsi="宋体_GB2312" w:eastAsia="宋体_GB2312"/>
          <w:sz w:val="24"/>
          <w:szCs w:val="24"/>
        </w:rPr>
        <w:t>预混合型火焰试验方法》规定的单根垂直燃烧试验。</w:t>
      </w:r>
    </w:p>
    <w:p>
      <w:pPr>
        <w:pStyle w:val="4"/>
        <w:spacing w:after="12"/>
        <w:rPr>
          <w:rFonts w:ascii="宋体_GB2312" w:hAnsi="宋体_GB2312" w:eastAsia="宋体_GB2312"/>
        </w:rPr>
      </w:pPr>
      <w:bookmarkStart w:id="119" w:name="_Toc54084426"/>
      <w:bookmarkStart w:id="120" w:name="_Toc17493"/>
      <w:r>
        <w:rPr>
          <w:rFonts w:ascii="宋体_GB2312" w:hAnsi="宋体_GB2312" w:eastAsia="宋体_GB2312"/>
        </w:rPr>
        <w:t xml:space="preserve">3.5.5 </w:t>
      </w:r>
      <w:r>
        <w:rPr>
          <w:rFonts w:hint="eastAsia" w:ascii="宋体_GB2312" w:hAnsi="宋体_GB2312" w:eastAsia="宋体_GB2312"/>
          <w:lang w:eastAsia="zh-CN"/>
        </w:rPr>
        <w:t>环保</w:t>
      </w:r>
      <w:r>
        <w:rPr>
          <w:rFonts w:hint="eastAsia" w:ascii="宋体_GB2312" w:hAnsi="宋体_GB2312" w:eastAsia="宋体_GB2312"/>
        </w:rPr>
        <w:t>性能</w:t>
      </w:r>
      <w:bookmarkEnd w:id="119"/>
      <w:bookmarkEnd w:id="120"/>
      <w:r>
        <w:rPr>
          <w:rFonts w:ascii="宋体_GB2312" w:hAnsi="宋体_GB2312" w:eastAsia="宋体_GB2312"/>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当用户要求时，组件组成材料应根据</w:t>
      </w:r>
      <w:r>
        <w:rPr>
          <w:rFonts w:ascii="宋体_GB2312" w:hAnsi="宋体_GB2312" w:eastAsia="宋体_GB2312"/>
          <w:sz w:val="24"/>
          <w:szCs w:val="24"/>
        </w:rPr>
        <w:t>GB/T 26572-2011</w:t>
      </w:r>
      <w:r>
        <w:rPr>
          <w:rFonts w:hint="eastAsia" w:ascii="宋体_GB2312" w:hAnsi="宋体_GB2312" w:eastAsia="宋体_GB2312"/>
          <w:sz w:val="24"/>
          <w:szCs w:val="24"/>
        </w:rPr>
        <w:t>的规定进行分类。连接器插头用和光缆用均质材料</w:t>
      </w:r>
      <w:r>
        <w:rPr>
          <w:rFonts w:ascii="宋体_GB2312" w:hAnsi="宋体_GB2312" w:eastAsia="宋体_GB2312"/>
          <w:sz w:val="24"/>
          <w:szCs w:val="24"/>
        </w:rPr>
        <w:t>(EEP-A</w:t>
      </w:r>
      <w:r>
        <w:rPr>
          <w:rFonts w:hint="eastAsia" w:ascii="宋体_GB2312" w:hAnsi="宋体_GB2312" w:eastAsia="宋体_GB2312"/>
          <w:sz w:val="24"/>
          <w:szCs w:val="24"/>
        </w:rPr>
        <w:t>类</w:t>
      </w:r>
      <w:r>
        <w:rPr>
          <w:rFonts w:ascii="宋体_GB2312" w:hAnsi="宋体_GB2312" w:eastAsia="宋体_GB2312"/>
          <w:sz w:val="24"/>
          <w:szCs w:val="24"/>
        </w:rPr>
        <w:t>)</w:t>
      </w:r>
      <w:r>
        <w:rPr>
          <w:rFonts w:hint="eastAsia" w:ascii="宋体_GB2312" w:hAnsi="宋体_GB2312" w:eastAsia="宋体_GB2312"/>
          <w:sz w:val="24"/>
          <w:szCs w:val="24"/>
        </w:rPr>
        <w:t>中禁用的有毒有害物质限量应符合表</w:t>
      </w:r>
      <w:r>
        <w:rPr>
          <w:rFonts w:ascii="宋体_GB2312" w:hAnsi="宋体_GB2312" w:eastAsia="宋体_GB2312"/>
          <w:sz w:val="24"/>
          <w:szCs w:val="24"/>
        </w:rPr>
        <w:t>8的规定。</w:t>
      </w:r>
    </w:p>
    <w:p>
      <w:pPr>
        <w:pStyle w:val="2"/>
        <w:spacing w:before="0" w:after="0" w:line="276" w:lineRule="auto"/>
        <w:rPr>
          <w:rFonts w:ascii="宋体_GB2312" w:hAnsi="宋体_GB2312" w:eastAsia="宋体_GB2312"/>
          <w:sz w:val="24"/>
          <w:szCs w:val="24"/>
        </w:rPr>
      </w:pPr>
      <w:bookmarkStart w:id="121" w:name="_Toc54084427"/>
      <w:bookmarkStart w:id="122" w:name="_Toc27801"/>
      <w:r>
        <w:rPr>
          <w:rFonts w:ascii="宋体_GB2312" w:hAnsi="宋体_GB2312" w:eastAsia="宋体_GB2312"/>
          <w:sz w:val="24"/>
          <w:szCs w:val="24"/>
        </w:rPr>
        <w:t>3.6</w:t>
      </w:r>
      <w:r>
        <w:rPr>
          <w:rFonts w:hint="eastAsia" w:ascii="宋体_GB2312" w:hAnsi="宋体_GB2312" w:eastAsia="宋体_GB2312"/>
          <w:sz w:val="24"/>
          <w:szCs w:val="24"/>
        </w:rPr>
        <w:t>试验方法</w:t>
      </w:r>
      <w:bookmarkEnd w:id="121"/>
      <w:bookmarkEnd w:id="122"/>
    </w:p>
    <w:p>
      <w:pPr>
        <w:pStyle w:val="4"/>
        <w:spacing w:after="12"/>
        <w:rPr>
          <w:rFonts w:ascii="宋体_GB2312" w:hAnsi="宋体_GB2312" w:eastAsia="宋体_GB2312"/>
        </w:rPr>
      </w:pPr>
      <w:bookmarkStart w:id="123" w:name="_Toc54084428"/>
      <w:bookmarkStart w:id="124" w:name="_Toc23168"/>
      <w:r>
        <w:rPr>
          <w:rFonts w:ascii="宋体_GB2312" w:hAnsi="宋体_GB2312" w:eastAsia="宋体_GB2312"/>
        </w:rPr>
        <w:t>3.6.1</w:t>
      </w:r>
      <w:r>
        <w:rPr>
          <w:rFonts w:hint="eastAsia" w:ascii="宋体_GB2312" w:hAnsi="宋体_GB2312" w:eastAsia="宋体_GB2312"/>
        </w:rPr>
        <w:t>试验的环境条件</w:t>
      </w:r>
      <w:bookmarkEnd w:id="123"/>
      <w:bookmarkEnd w:id="124"/>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除非另有规定，试验环境条件为：温度</w:t>
      </w:r>
      <w:r>
        <w:rPr>
          <w:rFonts w:ascii="宋体_GB2312" w:hAnsi="宋体_GB2312" w:eastAsia="宋体_GB2312"/>
          <w:sz w:val="24"/>
          <w:szCs w:val="24"/>
        </w:rPr>
        <w:t>15</w:t>
      </w:r>
      <w:r>
        <w:rPr>
          <w:rFonts w:hint="eastAsia" w:ascii="宋体_GB2312" w:hAnsi="宋体_GB2312" w:eastAsia="宋体_GB2312"/>
          <w:sz w:val="24"/>
          <w:szCs w:val="24"/>
        </w:rPr>
        <w:t>℃～</w:t>
      </w:r>
      <w:r>
        <w:rPr>
          <w:rFonts w:ascii="宋体_GB2312" w:hAnsi="宋体_GB2312" w:eastAsia="宋体_GB2312"/>
          <w:sz w:val="24"/>
          <w:szCs w:val="24"/>
        </w:rPr>
        <w:t>35</w:t>
      </w:r>
      <w:r>
        <w:rPr>
          <w:rFonts w:hint="eastAsia" w:ascii="宋体_GB2312" w:hAnsi="宋体_GB2312" w:eastAsia="宋体_GB2312"/>
          <w:sz w:val="24"/>
          <w:szCs w:val="24"/>
        </w:rPr>
        <w:t>℃，相对湿度</w:t>
      </w:r>
      <w:r>
        <w:rPr>
          <w:rFonts w:ascii="宋体_GB2312" w:hAnsi="宋体_GB2312" w:eastAsia="宋体_GB2312"/>
          <w:sz w:val="24"/>
          <w:szCs w:val="24"/>
        </w:rPr>
        <w:t>25%-75%</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125" w:name="_Toc54084429"/>
      <w:bookmarkStart w:id="126" w:name="_Toc20128"/>
      <w:r>
        <w:rPr>
          <w:rFonts w:ascii="宋体_GB2312" w:hAnsi="宋体_GB2312" w:eastAsia="宋体_GB2312"/>
        </w:rPr>
        <w:t>3.6.2</w:t>
      </w:r>
      <w:r>
        <w:rPr>
          <w:rFonts w:hint="eastAsia" w:ascii="宋体_GB2312" w:hAnsi="宋体_GB2312" w:eastAsia="宋体_GB2312"/>
        </w:rPr>
        <w:t>外观及尺寸</w:t>
      </w:r>
      <w:bookmarkEnd w:id="125"/>
      <w:bookmarkEnd w:id="126"/>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外观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目视检查组件外观，组件外观应颜色均匀</w:t>
      </w:r>
      <w:r>
        <w:rPr>
          <w:rFonts w:ascii="宋体_GB2312" w:hAnsi="宋体_GB2312" w:eastAsia="宋体_GB2312"/>
          <w:sz w:val="24"/>
          <w:szCs w:val="24"/>
        </w:rPr>
        <w:t xml:space="preserve"> </w:t>
      </w:r>
      <w:r>
        <w:rPr>
          <w:rFonts w:hint="eastAsia" w:ascii="宋体_GB2312" w:hAnsi="宋体_GB2312" w:eastAsia="宋体_GB2312"/>
          <w:sz w:val="24"/>
          <w:szCs w:val="24"/>
        </w:rPr>
        <w:t>，无砂眼、凹陷、裂纹等缺陷。</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尺寸</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用分辨率不大于</w:t>
      </w:r>
      <w:r>
        <w:rPr>
          <w:rFonts w:ascii="宋体_GB2312" w:hAnsi="宋体_GB2312" w:eastAsia="宋体_GB2312"/>
          <w:sz w:val="24"/>
          <w:szCs w:val="24"/>
        </w:rPr>
        <w:t>1mm</w:t>
      </w:r>
      <w:r>
        <w:rPr>
          <w:rFonts w:hint="eastAsia" w:ascii="宋体_GB2312" w:hAnsi="宋体_GB2312" w:eastAsia="宋体_GB2312"/>
          <w:sz w:val="24"/>
          <w:szCs w:val="24"/>
        </w:rPr>
        <w:t>的钢板尺或游标卡尺测量连接器插头的长度，连接器插头长度不大于</w:t>
      </w:r>
      <w:r>
        <w:rPr>
          <w:rFonts w:ascii="宋体_GB2312" w:hAnsi="宋体_GB2312" w:eastAsia="宋体_GB2312"/>
          <w:sz w:val="24"/>
          <w:szCs w:val="24"/>
        </w:rPr>
        <w:t>60mm</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127" w:name="_Toc54084430"/>
      <w:bookmarkStart w:id="128" w:name="_Toc8946"/>
      <w:r>
        <w:rPr>
          <w:rFonts w:ascii="宋体_GB2312" w:hAnsi="宋体_GB2312" w:eastAsia="宋体_GB2312"/>
        </w:rPr>
        <w:t>3.6.3</w:t>
      </w:r>
      <w:r>
        <w:rPr>
          <w:rFonts w:hint="eastAsia" w:ascii="宋体_GB2312" w:hAnsi="宋体_GB2312" w:eastAsia="宋体_GB2312"/>
        </w:rPr>
        <w:t>长度</w:t>
      </w:r>
      <w:bookmarkEnd w:id="127"/>
      <w:bookmarkEnd w:id="128"/>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 </w:t>
      </w:r>
      <w:r>
        <w:rPr>
          <w:rFonts w:hint="eastAsia" w:ascii="宋体_GB2312" w:hAnsi="宋体_GB2312" w:eastAsia="宋体_GB2312"/>
          <w:sz w:val="24"/>
          <w:szCs w:val="24"/>
        </w:rPr>
        <w:t>根据光缆计米长度计算光缆长度，光缆护套上的计米长度误差应为</w:t>
      </w:r>
      <w:r>
        <w:rPr>
          <w:rFonts w:ascii="宋体_GB2312" w:hAnsi="宋体_GB2312" w:eastAsia="宋体_GB2312"/>
          <w:sz w:val="24"/>
          <w:szCs w:val="24"/>
        </w:rPr>
        <w:t>0.0%～1.0%</w:t>
      </w:r>
      <w:r>
        <w:rPr>
          <w:rFonts w:hint="eastAsia" w:ascii="宋体_GB2312" w:hAnsi="宋体_GB2312" w:eastAsia="宋体_GB2312"/>
          <w:sz w:val="24"/>
          <w:szCs w:val="24"/>
        </w:rPr>
        <w:t>。光缆计米终</w:t>
      </w:r>
      <w:r>
        <w:rPr>
          <w:rFonts w:ascii="宋体_GB2312" w:hAnsi="宋体_GB2312" w:eastAsia="宋体_GB2312"/>
          <w:sz w:val="24"/>
          <w:szCs w:val="24"/>
        </w:rPr>
        <w:t>(</w:t>
      </w:r>
      <w:r>
        <w:rPr>
          <w:rFonts w:hint="eastAsia" w:ascii="宋体_GB2312" w:hAnsi="宋体_GB2312" w:eastAsia="宋体_GB2312"/>
          <w:sz w:val="24"/>
          <w:szCs w:val="24"/>
        </w:rPr>
        <w:t>始</w:t>
      </w:r>
      <w:r>
        <w:rPr>
          <w:rFonts w:ascii="宋体_GB2312" w:hAnsi="宋体_GB2312" w:eastAsia="宋体_GB2312"/>
          <w:sz w:val="24"/>
          <w:szCs w:val="24"/>
        </w:rPr>
        <w:t>)</w:t>
      </w:r>
      <w:r>
        <w:rPr>
          <w:rFonts w:hint="eastAsia" w:ascii="宋体_GB2312" w:hAnsi="宋体_GB2312" w:eastAsia="宋体_GB2312"/>
          <w:sz w:val="24"/>
          <w:szCs w:val="24"/>
        </w:rPr>
        <w:t>点到组件端头</w:t>
      </w:r>
      <w:r>
        <w:rPr>
          <w:rFonts w:ascii="宋体_GB2312" w:hAnsi="宋体_GB2312" w:eastAsia="宋体_GB2312"/>
          <w:sz w:val="24"/>
          <w:szCs w:val="24"/>
        </w:rPr>
        <w:t>(</w:t>
      </w:r>
      <w:r>
        <w:rPr>
          <w:rFonts w:hint="eastAsia" w:ascii="宋体_GB2312" w:hAnsi="宋体_GB2312" w:eastAsia="宋体_GB2312"/>
          <w:sz w:val="24"/>
          <w:szCs w:val="24"/>
        </w:rPr>
        <w:t>连接器插头端头或光纤端</w:t>
      </w:r>
      <w:r>
        <w:rPr>
          <w:rFonts w:ascii="宋体_GB2312" w:hAnsi="宋体_GB2312" w:eastAsia="宋体_GB2312"/>
          <w:sz w:val="24"/>
          <w:szCs w:val="24"/>
        </w:rPr>
        <w:t>)</w:t>
      </w:r>
      <w:r>
        <w:rPr>
          <w:rFonts w:hint="eastAsia" w:ascii="宋体_GB2312" w:hAnsi="宋体_GB2312" w:eastAsia="宋体_GB2312"/>
          <w:sz w:val="24"/>
          <w:szCs w:val="24"/>
        </w:rPr>
        <w:t>的长度用分辨率不大于</w:t>
      </w:r>
      <w:r>
        <w:rPr>
          <w:rFonts w:ascii="宋体_GB2312" w:hAnsi="宋体_GB2312" w:eastAsia="宋体_GB2312"/>
          <w:sz w:val="24"/>
          <w:szCs w:val="24"/>
        </w:rPr>
        <w:t>1mm</w:t>
      </w:r>
      <w:r>
        <w:rPr>
          <w:rFonts w:hint="eastAsia" w:ascii="宋体_GB2312" w:hAnsi="宋体_GB2312" w:eastAsia="宋体_GB2312"/>
          <w:sz w:val="24"/>
          <w:szCs w:val="24"/>
        </w:rPr>
        <w:t>的钢板尺测量。两端长度与光缆长度之和为组件长度，组件长度应符合</w:t>
      </w:r>
      <w:r>
        <w:rPr>
          <w:rFonts w:ascii="宋体_GB2312" w:hAnsi="宋体_GB2312" w:eastAsia="宋体_GB2312"/>
          <w:sz w:val="24"/>
          <w:szCs w:val="24"/>
        </w:rPr>
        <w:t>3.3.3</w:t>
      </w:r>
      <w:r>
        <w:rPr>
          <w:rFonts w:hint="eastAsia" w:ascii="宋体_GB2312" w:hAnsi="宋体_GB2312" w:eastAsia="宋体_GB2312"/>
          <w:sz w:val="24"/>
          <w:szCs w:val="24"/>
        </w:rPr>
        <w:t>的要求。</w:t>
      </w:r>
    </w:p>
    <w:p>
      <w:pPr>
        <w:pStyle w:val="4"/>
        <w:spacing w:after="12"/>
        <w:rPr>
          <w:rFonts w:ascii="宋体_GB2312" w:hAnsi="宋体_GB2312" w:eastAsia="宋体_GB2312"/>
        </w:rPr>
      </w:pPr>
      <w:bookmarkStart w:id="129" w:name="_Toc54084431"/>
      <w:bookmarkStart w:id="130" w:name="_Toc5464"/>
      <w:r>
        <w:rPr>
          <w:rFonts w:ascii="宋体_GB2312" w:hAnsi="宋体_GB2312" w:eastAsia="宋体_GB2312"/>
        </w:rPr>
        <w:t>3.6.4</w:t>
      </w:r>
      <w:r>
        <w:rPr>
          <w:rFonts w:hint="eastAsia" w:ascii="宋体_GB2312" w:hAnsi="宋体_GB2312" w:eastAsia="宋体_GB2312"/>
        </w:rPr>
        <w:t>传输性能</w:t>
      </w:r>
      <w:bookmarkEnd w:id="129"/>
      <w:bookmarkEnd w:id="130"/>
    </w:p>
    <w:p>
      <w:pPr>
        <w:pStyle w:val="5"/>
        <w:spacing w:after="12"/>
        <w:rPr>
          <w:rFonts w:ascii="宋体_GB2312" w:hAnsi="宋体_GB2312" w:eastAsia="宋体_GB2312"/>
        </w:rPr>
      </w:pPr>
      <w:r>
        <w:rPr>
          <w:rFonts w:ascii="宋体_GB2312" w:hAnsi="宋体_GB2312" w:eastAsia="宋体_GB2312"/>
        </w:rPr>
        <w:t>3.6.4.1</w:t>
      </w:r>
      <w:r>
        <w:rPr>
          <w:rFonts w:hint="eastAsia" w:ascii="宋体_GB2312" w:hAnsi="宋体_GB2312" w:eastAsia="宋体_GB2312"/>
        </w:rPr>
        <w:t>插入损耗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组件的插入损耗测试采用插入损耗法。测试装置应符合</w:t>
      </w:r>
      <w:r>
        <w:rPr>
          <w:rFonts w:ascii="宋体_GB2312" w:hAnsi="宋体_GB2312" w:eastAsia="宋体_GB2312"/>
          <w:sz w:val="24"/>
          <w:szCs w:val="24"/>
        </w:rPr>
        <w:t>GB/T 15972.40-2008</w:t>
      </w:r>
      <w:r>
        <w:rPr>
          <w:rFonts w:hint="eastAsia" w:ascii="宋体_GB2312" w:hAnsi="宋体_GB2312" w:eastAsia="宋体_GB2312"/>
          <w:sz w:val="24"/>
          <w:szCs w:val="24"/>
        </w:rPr>
        <w:t>中附录</w:t>
      </w:r>
      <w:r>
        <w:rPr>
          <w:rFonts w:ascii="宋体_GB2312" w:hAnsi="宋体_GB2312" w:eastAsia="宋体_GB2312"/>
          <w:sz w:val="24"/>
          <w:szCs w:val="24"/>
        </w:rPr>
        <w:t>B</w:t>
      </w:r>
      <w:r>
        <w:rPr>
          <w:rFonts w:hint="eastAsia" w:ascii="宋体_GB2312" w:hAnsi="宋体_GB2312" w:eastAsia="宋体_GB2312"/>
          <w:sz w:val="24"/>
          <w:szCs w:val="24"/>
        </w:rPr>
        <w:t>的相关规定，双端组件插入损耗测试步骤如下</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按图</w:t>
      </w:r>
      <w:r>
        <w:rPr>
          <w:rFonts w:ascii="宋体_GB2312" w:hAnsi="宋体_GB2312" w:eastAsia="宋体_GB2312"/>
          <w:sz w:val="24"/>
          <w:szCs w:val="24"/>
        </w:rPr>
        <w:t>5</w:t>
      </w:r>
      <w:r>
        <w:rPr>
          <w:rFonts w:hint="eastAsia" w:ascii="宋体_GB2312" w:hAnsi="宋体_GB2312" w:eastAsia="宋体_GB2312"/>
          <w:sz w:val="24"/>
          <w:szCs w:val="24"/>
        </w:rPr>
        <w:t>进行连接，即通过</w:t>
      </w:r>
      <w:r>
        <w:rPr>
          <w:rFonts w:ascii="宋体_GB2312" w:hAnsi="宋体_GB2312" w:eastAsia="宋体_GB2312"/>
          <w:sz w:val="24"/>
          <w:szCs w:val="24"/>
        </w:rPr>
        <w:t>2</w:t>
      </w:r>
      <w:r>
        <w:rPr>
          <w:rFonts w:hint="eastAsia" w:ascii="宋体_GB2312" w:hAnsi="宋体_GB2312" w:eastAsia="宋体_GB2312"/>
          <w:sz w:val="24"/>
          <w:szCs w:val="24"/>
        </w:rPr>
        <w:t>条标准测试线及标准适配器连接光源和光功率计，待测试系统稳定后，对测试系统损耗清零。</w:t>
      </w:r>
    </w:p>
    <w:p>
      <w:pPr>
        <w:spacing w:before="120" w:beforeLines="50" w:line="300" w:lineRule="auto"/>
        <w:ind w:firstLine="420" w:firstLineChars="200"/>
        <w:rPr>
          <w:rFonts w:ascii="宋体_GB2312" w:hAnsi="宋体_GB2312" w:eastAsia="宋体_GB2312"/>
          <w:sz w:val="24"/>
          <w:szCs w:val="24"/>
        </w:rPr>
      </w:pPr>
      <w:r>
        <w:rPr>
          <w:rFonts w:ascii="宋体_GB2312" w:hAnsi="宋体_GB2312" w:eastAsia="宋体_GB2312"/>
        </w:rPr>
        <w:drawing>
          <wp:inline distT="0" distB="0" distL="0" distR="0">
            <wp:extent cx="5701030" cy="90805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1"/>
                    <a:stretch>
                      <a:fillRect/>
                    </a:stretch>
                  </pic:blipFill>
                  <pic:spPr>
                    <a:xfrm>
                      <a:off x="0" y="0"/>
                      <a:ext cx="5793723" cy="923374"/>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5 </w:t>
      </w:r>
      <w:r>
        <w:rPr>
          <w:rFonts w:hint="eastAsia" w:ascii="宋体_GB2312" w:hAnsi="宋体_GB2312" w:eastAsia="宋体_GB2312"/>
          <w:sz w:val="24"/>
          <w:szCs w:val="24"/>
        </w:rPr>
        <w:t>测试系统损耗清零示意</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按图</w:t>
      </w:r>
      <w:r>
        <w:rPr>
          <w:rFonts w:ascii="宋体_GB2312" w:hAnsi="宋体_GB2312" w:eastAsia="宋体_GB2312"/>
          <w:sz w:val="24"/>
          <w:szCs w:val="24"/>
        </w:rPr>
        <w:t>6</w:t>
      </w:r>
      <w:r>
        <w:rPr>
          <w:rFonts w:hint="eastAsia" w:ascii="宋体_GB2312" w:hAnsi="宋体_GB2312" w:eastAsia="宋体_GB2312"/>
          <w:sz w:val="24"/>
          <w:szCs w:val="24"/>
        </w:rPr>
        <w:t>插入被测组件，待测试系统稳定后，读取插入损耗。</w:t>
      </w:r>
    </w:p>
    <w:p>
      <w:pPr>
        <w:spacing w:before="120" w:beforeLines="50" w:line="300" w:lineRule="auto"/>
        <w:ind w:firstLine="420" w:firstLineChars="200"/>
        <w:rPr>
          <w:rFonts w:ascii="宋体_GB2312" w:hAnsi="宋体_GB2312" w:eastAsia="宋体_GB2312"/>
          <w:sz w:val="24"/>
          <w:szCs w:val="24"/>
        </w:rPr>
      </w:pPr>
      <w:r>
        <w:rPr>
          <w:rFonts w:ascii="宋体_GB2312" w:hAnsi="宋体_GB2312" w:eastAsia="宋体_GB2312"/>
        </w:rPr>
        <w:drawing>
          <wp:inline distT="0" distB="0" distL="0" distR="0">
            <wp:extent cx="5613400" cy="836930"/>
            <wp:effectExtent l="0" t="0" r="635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2"/>
                    <a:stretch>
                      <a:fillRect/>
                    </a:stretch>
                  </pic:blipFill>
                  <pic:spPr>
                    <a:xfrm>
                      <a:off x="0" y="0"/>
                      <a:ext cx="5664965" cy="845066"/>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6 </w:t>
      </w:r>
      <w:r>
        <w:rPr>
          <w:rFonts w:hint="eastAsia" w:ascii="宋体_GB2312" w:hAnsi="宋体_GB2312" w:eastAsia="宋体_GB2312"/>
          <w:sz w:val="24"/>
          <w:szCs w:val="24"/>
        </w:rPr>
        <w:t>组件插入损耗测试示意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单端组件插入损耗测试时，测试系统损耗清零时去掉图</w:t>
      </w:r>
      <w:r>
        <w:rPr>
          <w:rFonts w:ascii="宋体_GB2312" w:hAnsi="宋体_GB2312" w:eastAsia="宋体_GB2312"/>
          <w:sz w:val="24"/>
          <w:szCs w:val="24"/>
        </w:rPr>
        <w:t>5</w:t>
      </w:r>
      <w:r>
        <w:rPr>
          <w:rFonts w:hint="eastAsia" w:ascii="宋体_GB2312" w:hAnsi="宋体_GB2312" w:eastAsia="宋体_GB2312"/>
          <w:sz w:val="24"/>
          <w:szCs w:val="24"/>
        </w:rPr>
        <w:t>中的标准适配器和标准测试线</w:t>
      </w:r>
      <w:r>
        <w:rPr>
          <w:rFonts w:ascii="宋体_GB2312" w:hAnsi="宋体_GB2312" w:eastAsia="宋体_GB2312"/>
          <w:sz w:val="24"/>
          <w:szCs w:val="24"/>
        </w:rPr>
        <w:t>2</w:t>
      </w:r>
      <w:r>
        <w:rPr>
          <w:rFonts w:hint="eastAsia" w:ascii="宋体_GB2312" w:hAnsi="宋体_GB2312" w:eastAsia="宋体_GB2312"/>
          <w:sz w:val="24"/>
          <w:szCs w:val="24"/>
        </w:rPr>
        <w:t>，测试时去掉图</w:t>
      </w:r>
      <w:r>
        <w:rPr>
          <w:rFonts w:ascii="宋体_GB2312" w:hAnsi="宋体_GB2312" w:eastAsia="宋体_GB2312"/>
          <w:sz w:val="24"/>
          <w:szCs w:val="24"/>
        </w:rPr>
        <w:t>6</w:t>
      </w:r>
      <w:r>
        <w:rPr>
          <w:rFonts w:hint="eastAsia" w:ascii="宋体_GB2312" w:hAnsi="宋体_GB2312" w:eastAsia="宋体_GB2312"/>
          <w:sz w:val="24"/>
          <w:szCs w:val="24"/>
        </w:rPr>
        <w:t>中的标准适配器</w:t>
      </w:r>
      <w:r>
        <w:rPr>
          <w:rFonts w:ascii="宋体_GB2312" w:hAnsi="宋体_GB2312" w:eastAsia="宋体_GB2312"/>
          <w:sz w:val="24"/>
          <w:szCs w:val="24"/>
        </w:rPr>
        <w:t>2</w:t>
      </w:r>
      <w:r>
        <w:rPr>
          <w:rFonts w:hint="eastAsia" w:ascii="宋体_GB2312" w:hAnsi="宋体_GB2312" w:eastAsia="宋体_GB2312"/>
          <w:sz w:val="24"/>
          <w:szCs w:val="24"/>
        </w:rPr>
        <w:t>和标准测试线</w:t>
      </w:r>
      <w:r>
        <w:rPr>
          <w:rFonts w:ascii="宋体_GB2312" w:hAnsi="宋体_GB2312" w:eastAsia="宋体_GB2312"/>
          <w:sz w:val="24"/>
          <w:szCs w:val="24"/>
        </w:rPr>
        <w:t>2</w:t>
      </w:r>
      <w:r>
        <w:rPr>
          <w:rFonts w:hint="eastAsia" w:ascii="宋体_GB2312" w:hAnsi="宋体_GB2312" w:eastAsia="宋体_GB2312"/>
          <w:sz w:val="24"/>
          <w:szCs w:val="24"/>
        </w:rPr>
        <w:t>，被测组件的光纤端通过合适的方式直接与光功率计耦合，例如采用活动耦合适配器。其余测试步骤与双端组件测试相同。</w:t>
      </w:r>
    </w:p>
    <w:p>
      <w:pPr>
        <w:pStyle w:val="5"/>
        <w:spacing w:after="12"/>
        <w:rPr>
          <w:rFonts w:ascii="宋体_GB2312" w:hAnsi="宋体_GB2312" w:eastAsia="宋体_GB2312"/>
        </w:rPr>
      </w:pPr>
      <w:r>
        <w:rPr>
          <w:rFonts w:ascii="宋体_GB2312" w:hAnsi="宋体_GB2312" w:eastAsia="宋体_GB2312"/>
        </w:rPr>
        <w:t>3.6.4.2回波损耗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回波损耗测试的基准方法为耦合器法，测试原理应符合</w:t>
      </w:r>
      <w:r>
        <w:rPr>
          <w:rFonts w:ascii="宋体_GB2312" w:hAnsi="宋体_GB2312" w:eastAsia="宋体_GB2312"/>
          <w:sz w:val="24"/>
          <w:szCs w:val="24"/>
        </w:rPr>
        <w:t>YD/T 1272.3</w:t>
      </w:r>
      <w:r>
        <w:rPr>
          <w:rFonts w:hint="eastAsia" w:ascii="宋体_GB2312" w:hAnsi="宋体_GB2312" w:eastAsia="宋体_GB2312"/>
          <w:sz w:val="24"/>
          <w:szCs w:val="24"/>
        </w:rPr>
        <w:t>中</w:t>
      </w:r>
      <w:r>
        <w:rPr>
          <w:rFonts w:ascii="宋体_GB2312" w:hAnsi="宋体_GB2312" w:eastAsia="宋体_GB2312"/>
          <w:sz w:val="24"/>
          <w:szCs w:val="24"/>
        </w:rPr>
        <w:t>6.6.1</w:t>
      </w:r>
      <w:r>
        <w:rPr>
          <w:rFonts w:hint="eastAsia" w:ascii="宋体_GB2312" w:hAnsi="宋体_GB2312" w:eastAsia="宋体_GB2312"/>
          <w:sz w:val="24"/>
          <w:szCs w:val="24"/>
        </w:rPr>
        <w:t>的规定。也可采用时域的方式测试，当有争议时，测试结果应以耦合器法为准。时域测试方法参照仪表说明书。</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耦合器法测试双端组件的步骤如下</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按图</w:t>
      </w:r>
      <w:r>
        <w:rPr>
          <w:rFonts w:ascii="宋体_GB2312" w:hAnsi="宋体_GB2312" w:eastAsia="宋体_GB2312"/>
          <w:sz w:val="24"/>
          <w:szCs w:val="24"/>
        </w:rPr>
        <w:t>7</w:t>
      </w:r>
      <w:r>
        <w:rPr>
          <w:rFonts w:hint="eastAsia" w:ascii="宋体_GB2312" w:hAnsi="宋体_GB2312" w:eastAsia="宋体_GB2312"/>
          <w:sz w:val="24"/>
          <w:szCs w:val="24"/>
        </w:rPr>
        <w:t>进行连接，对标准测试线</w:t>
      </w:r>
      <w:r>
        <w:rPr>
          <w:rFonts w:ascii="宋体_GB2312" w:hAnsi="宋体_GB2312" w:eastAsia="宋体_GB2312"/>
          <w:sz w:val="24"/>
          <w:szCs w:val="24"/>
        </w:rPr>
        <w:t>1</w:t>
      </w:r>
      <w:r>
        <w:rPr>
          <w:rFonts w:hint="eastAsia" w:ascii="宋体_GB2312" w:hAnsi="宋体_GB2312" w:eastAsia="宋体_GB2312"/>
          <w:sz w:val="24"/>
          <w:szCs w:val="24"/>
        </w:rPr>
        <w:t>的</w:t>
      </w:r>
      <w:r>
        <w:rPr>
          <w:rFonts w:ascii="宋体_GB2312" w:hAnsi="宋体_GB2312" w:eastAsia="宋体_GB2312"/>
          <w:sz w:val="24"/>
          <w:szCs w:val="24"/>
        </w:rPr>
        <w:t>B</w:t>
      </w:r>
      <w:r>
        <w:rPr>
          <w:rFonts w:hint="eastAsia" w:ascii="宋体_GB2312" w:hAnsi="宋体_GB2312" w:eastAsia="宋体_GB2312"/>
          <w:sz w:val="24"/>
          <w:szCs w:val="24"/>
        </w:rPr>
        <w:t>端进行处理，取消</w:t>
      </w:r>
      <w:r>
        <w:rPr>
          <w:rFonts w:ascii="宋体_GB2312" w:hAnsi="宋体_GB2312" w:eastAsia="宋体_GB2312"/>
          <w:sz w:val="24"/>
          <w:szCs w:val="24"/>
        </w:rPr>
        <w:t>B</w:t>
      </w:r>
      <w:r>
        <w:rPr>
          <w:rFonts w:hint="eastAsia" w:ascii="宋体_GB2312" w:hAnsi="宋体_GB2312" w:eastAsia="宋体_GB2312"/>
          <w:sz w:val="24"/>
          <w:szCs w:val="24"/>
        </w:rPr>
        <w:t>端端面的反射，可用的方法有匹配膏或缠绕光纤等方法。待测试系统稳定后，在</w:t>
      </w:r>
      <w:r>
        <w:rPr>
          <w:rFonts w:ascii="宋体_GB2312" w:hAnsi="宋体_GB2312" w:eastAsia="宋体_GB2312"/>
          <w:sz w:val="24"/>
          <w:szCs w:val="24"/>
        </w:rPr>
        <w:t>1310nm</w:t>
      </w:r>
      <w:r>
        <w:rPr>
          <w:rFonts w:hint="eastAsia" w:ascii="宋体_GB2312" w:hAnsi="宋体_GB2312" w:eastAsia="宋体_GB2312"/>
          <w:sz w:val="24"/>
          <w:szCs w:val="24"/>
        </w:rPr>
        <w:t>波长下对测试系统回波损耗归零。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按图</w:t>
      </w:r>
      <w:r>
        <w:rPr>
          <w:rFonts w:ascii="宋体_GB2312" w:hAnsi="宋体_GB2312" w:eastAsia="宋体_GB2312"/>
          <w:sz w:val="24"/>
          <w:szCs w:val="24"/>
        </w:rPr>
        <w:t>8</w:t>
      </w:r>
      <w:r>
        <w:rPr>
          <w:rFonts w:hint="eastAsia" w:ascii="宋体_GB2312" w:hAnsi="宋体_GB2312" w:eastAsia="宋体_GB2312"/>
          <w:sz w:val="24"/>
          <w:szCs w:val="24"/>
        </w:rPr>
        <w:t>接入被测组件，标准测试线</w:t>
      </w:r>
      <w:r>
        <w:rPr>
          <w:rFonts w:ascii="宋体_GB2312" w:hAnsi="宋体_GB2312" w:eastAsia="宋体_GB2312"/>
          <w:sz w:val="24"/>
          <w:szCs w:val="24"/>
        </w:rPr>
        <w:t>2</w:t>
      </w:r>
      <w:r>
        <w:rPr>
          <w:rFonts w:hint="eastAsia" w:ascii="宋体_GB2312" w:hAnsi="宋体_GB2312" w:eastAsia="宋体_GB2312"/>
          <w:sz w:val="24"/>
          <w:szCs w:val="24"/>
        </w:rPr>
        <w:t>的长度不大于</w:t>
      </w:r>
      <w:r>
        <w:rPr>
          <w:rFonts w:ascii="宋体_GB2312" w:hAnsi="宋体_GB2312" w:eastAsia="宋体_GB2312"/>
          <w:sz w:val="24"/>
          <w:szCs w:val="24"/>
        </w:rPr>
        <w:t>2m</w:t>
      </w:r>
      <w:r>
        <w:rPr>
          <w:rFonts w:hint="eastAsia" w:ascii="宋体_GB2312" w:hAnsi="宋体_GB2312" w:eastAsia="宋体_GB2312"/>
          <w:sz w:val="24"/>
          <w:szCs w:val="24"/>
        </w:rPr>
        <w:t>，其</w:t>
      </w:r>
      <w:r>
        <w:rPr>
          <w:rFonts w:ascii="宋体_GB2312" w:hAnsi="宋体_GB2312" w:eastAsia="宋体_GB2312"/>
          <w:sz w:val="24"/>
          <w:szCs w:val="24"/>
        </w:rPr>
        <w:t>B</w:t>
      </w:r>
      <w:r>
        <w:rPr>
          <w:rFonts w:hint="eastAsia" w:ascii="宋体_GB2312" w:hAnsi="宋体_GB2312" w:eastAsia="宋体_GB2312"/>
          <w:sz w:val="24"/>
          <w:szCs w:val="24"/>
        </w:rPr>
        <w:t>端可以是连接器插头，也可以是光纤。对标准测试线</w:t>
      </w:r>
      <w:r>
        <w:rPr>
          <w:rFonts w:ascii="宋体_GB2312" w:hAnsi="宋体_GB2312" w:eastAsia="宋体_GB2312"/>
          <w:sz w:val="24"/>
          <w:szCs w:val="24"/>
        </w:rPr>
        <w:t>2</w:t>
      </w:r>
      <w:r>
        <w:rPr>
          <w:rFonts w:hint="eastAsia" w:ascii="宋体_GB2312" w:hAnsi="宋体_GB2312" w:eastAsia="宋体_GB2312"/>
          <w:sz w:val="24"/>
          <w:szCs w:val="24"/>
        </w:rPr>
        <w:t>的</w:t>
      </w:r>
      <w:r>
        <w:rPr>
          <w:rFonts w:ascii="宋体_GB2312" w:hAnsi="宋体_GB2312" w:eastAsia="宋体_GB2312"/>
          <w:sz w:val="24"/>
          <w:szCs w:val="24"/>
        </w:rPr>
        <w:t>B</w:t>
      </w:r>
      <w:r>
        <w:rPr>
          <w:rFonts w:hint="eastAsia" w:ascii="宋体_GB2312" w:hAnsi="宋体_GB2312" w:eastAsia="宋体_GB2312"/>
          <w:sz w:val="24"/>
          <w:szCs w:val="24"/>
        </w:rPr>
        <w:t>端进行处理，取消</w:t>
      </w:r>
      <w:r>
        <w:rPr>
          <w:rFonts w:ascii="宋体_GB2312" w:hAnsi="宋体_GB2312" w:eastAsia="宋体_GB2312"/>
          <w:sz w:val="24"/>
          <w:szCs w:val="24"/>
        </w:rPr>
        <w:t>B</w:t>
      </w:r>
      <w:r>
        <w:rPr>
          <w:rFonts w:hint="eastAsia" w:ascii="宋体_GB2312" w:hAnsi="宋体_GB2312" w:eastAsia="宋体_GB2312"/>
          <w:sz w:val="24"/>
          <w:szCs w:val="24"/>
        </w:rPr>
        <w:t>端端面的反射，可用的方法为</w:t>
      </w:r>
      <w:r>
        <w:rPr>
          <w:rFonts w:ascii="宋体_GB2312" w:hAnsi="宋体_GB2312" w:eastAsia="宋体_GB2312"/>
          <w:sz w:val="24"/>
          <w:szCs w:val="24"/>
        </w:rPr>
        <w:t>B</w:t>
      </w:r>
      <w:r>
        <w:rPr>
          <w:rFonts w:hint="eastAsia" w:ascii="宋体_GB2312" w:hAnsi="宋体_GB2312" w:eastAsia="宋体_GB2312"/>
          <w:sz w:val="24"/>
          <w:szCs w:val="24"/>
        </w:rPr>
        <w:t>端是</w:t>
      </w:r>
      <w:r>
        <w:rPr>
          <w:rFonts w:ascii="宋体_GB2312" w:hAnsi="宋体_GB2312" w:eastAsia="宋体_GB2312"/>
          <w:sz w:val="24"/>
          <w:szCs w:val="24"/>
        </w:rPr>
        <w:t>APC</w:t>
      </w:r>
      <w:r>
        <w:rPr>
          <w:rFonts w:hint="eastAsia" w:ascii="宋体_GB2312" w:hAnsi="宋体_GB2312" w:eastAsia="宋体_GB2312"/>
          <w:sz w:val="24"/>
          <w:szCs w:val="24"/>
        </w:rPr>
        <w:t>型插头，或者在</w:t>
      </w:r>
      <w:r>
        <w:rPr>
          <w:rFonts w:ascii="宋体_GB2312" w:hAnsi="宋体_GB2312" w:eastAsia="宋体_GB2312"/>
          <w:sz w:val="24"/>
          <w:szCs w:val="24"/>
        </w:rPr>
        <w:t>B</w:t>
      </w:r>
      <w:r>
        <w:rPr>
          <w:rFonts w:hint="eastAsia" w:ascii="宋体_GB2312" w:hAnsi="宋体_GB2312" w:eastAsia="宋体_GB2312"/>
          <w:sz w:val="24"/>
          <w:szCs w:val="24"/>
        </w:rPr>
        <w:t>端用匹配膏或光纤缠绕。待测试系统稳定后，读取</w:t>
      </w:r>
      <w:r>
        <w:rPr>
          <w:rFonts w:ascii="宋体_GB2312" w:hAnsi="宋体_GB2312" w:eastAsia="宋体_GB2312"/>
          <w:sz w:val="24"/>
          <w:szCs w:val="24"/>
        </w:rPr>
        <w:t>1310nm</w:t>
      </w:r>
      <w:r>
        <w:rPr>
          <w:rFonts w:hint="eastAsia" w:ascii="宋体_GB2312" w:hAnsi="宋体_GB2312" w:eastAsia="宋体_GB2312"/>
          <w:sz w:val="24"/>
          <w:szCs w:val="24"/>
        </w:rPr>
        <w:t>波长下的回波损耗值。</w:t>
      </w:r>
    </w:p>
    <w:p>
      <w:pPr>
        <w:spacing w:before="120" w:beforeLines="50" w:line="300" w:lineRule="auto"/>
        <w:ind w:firstLine="420" w:firstLineChars="200"/>
        <w:jc w:val="center"/>
        <w:rPr>
          <w:rFonts w:ascii="宋体_GB2312" w:hAnsi="宋体_GB2312" w:eastAsia="宋体_GB2312"/>
          <w:sz w:val="24"/>
          <w:szCs w:val="24"/>
        </w:rPr>
      </w:pPr>
      <w:r>
        <w:rPr>
          <w:rFonts w:ascii="宋体_GB2312" w:hAnsi="宋体_GB2312" w:eastAsia="宋体_GB2312"/>
        </w:rPr>
        <w:drawing>
          <wp:inline distT="0" distB="0" distL="0" distR="0">
            <wp:extent cx="3400425" cy="80264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3"/>
                    <a:stretch>
                      <a:fillRect/>
                    </a:stretch>
                  </pic:blipFill>
                  <pic:spPr>
                    <a:xfrm>
                      <a:off x="0" y="0"/>
                      <a:ext cx="3403077" cy="803708"/>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7 </w:t>
      </w:r>
      <w:r>
        <w:rPr>
          <w:rFonts w:hint="eastAsia" w:ascii="宋体_GB2312" w:hAnsi="宋体_GB2312" w:eastAsia="宋体_GB2312"/>
          <w:sz w:val="24"/>
          <w:szCs w:val="24"/>
        </w:rPr>
        <w:t>回波损耗归零示意</w:t>
      </w:r>
    </w:p>
    <w:p>
      <w:pPr>
        <w:spacing w:before="120" w:beforeLines="50" w:line="300" w:lineRule="auto"/>
        <w:ind w:firstLine="420" w:firstLineChars="200"/>
        <w:rPr>
          <w:rFonts w:ascii="宋体_GB2312" w:hAnsi="宋体_GB2312" w:eastAsia="宋体_GB2312"/>
          <w:sz w:val="24"/>
          <w:szCs w:val="24"/>
        </w:rPr>
      </w:pPr>
      <w:r>
        <w:rPr>
          <w:rFonts w:ascii="宋体_GB2312" w:hAnsi="宋体_GB2312" w:eastAsia="宋体_GB2312"/>
        </w:rPr>
        <w:drawing>
          <wp:inline distT="0" distB="0" distL="0" distR="0">
            <wp:extent cx="5955030" cy="86296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4"/>
                    <a:stretch>
                      <a:fillRect/>
                    </a:stretch>
                  </pic:blipFill>
                  <pic:spPr>
                    <a:xfrm>
                      <a:off x="0" y="0"/>
                      <a:ext cx="5979032" cy="866767"/>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8 </w:t>
      </w:r>
      <w:r>
        <w:rPr>
          <w:rFonts w:hint="eastAsia" w:ascii="宋体_GB2312" w:hAnsi="宋体_GB2312" w:eastAsia="宋体_GB2312"/>
          <w:sz w:val="24"/>
          <w:szCs w:val="24"/>
        </w:rPr>
        <w:t>组件回波损耗测试示意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单端组件回波损耗测试时，测试系统回波损耗归零按图</w:t>
      </w:r>
      <w:r>
        <w:rPr>
          <w:rFonts w:ascii="宋体_GB2312" w:hAnsi="宋体_GB2312" w:eastAsia="宋体_GB2312"/>
          <w:sz w:val="24"/>
          <w:szCs w:val="24"/>
        </w:rPr>
        <w:t>7,</w:t>
      </w:r>
      <w:r>
        <w:rPr>
          <w:rFonts w:hint="eastAsia" w:ascii="宋体_GB2312" w:hAnsi="宋体_GB2312" w:eastAsia="宋体_GB2312"/>
          <w:sz w:val="24"/>
          <w:szCs w:val="24"/>
        </w:rPr>
        <w:t>测试时去掉图</w:t>
      </w:r>
      <w:r>
        <w:rPr>
          <w:rFonts w:ascii="宋体_GB2312" w:hAnsi="宋体_GB2312" w:eastAsia="宋体_GB2312"/>
          <w:sz w:val="24"/>
          <w:szCs w:val="24"/>
        </w:rPr>
        <w:t>8</w:t>
      </w:r>
      <w:r>
        <w:rPr>
          <w:rFonts w:hint="eastAsia" w:ascii="宋体_GB2312" w:hAnsi="宋体_GB2312" w:eastAsia="宋体_GB2312"/>
          <w:sz w:val="24"/>
          <w:szCs w:val="24"/>
        </w:rPr>
        <w:t>中的标准适配器</w:t>
      </w:r>
      <w:r>
        <w:rPr>
          <w:rFonts w:ascii="宋体_GB2312" w:hAnsi="宋体_GB2312" w:eastAsia="宋体_GB2312"/>
          <w:sz w:val="24"/>
          <w:szCs w:val="24"/>
        </w:rPr>
        <w:t>2</w:t>
      </w:r>
      <w:r>
        <w:rPr>
          <w:rFonts w:hint="eastAsia" w:ascii="宋体_GB2312" w:hAnsi="宋体_GB2312" w:eastAsia="宋体_GB2312"/>
          <w:sz w:val="24"/>
          <w:szCs w:val="24"/>
        </w:rPr>
        <w:t>和标准测试线</w:t>
      </w:r>
      <w:r>
        <w:rPr>
          <w:rFonts w:ascii="宋体_GB2312" w:hAnsi="宋体_GB2312" w:eastAsia="宋体_GB2312"/>
          <w:sz w:val="24"/>
          <w:szCs w:val="24"/>
        </w:rPr>
        <w:t>2</w:t>
      </w:r>
      <w:r>
        <w:rPr>
          <w:rFonts w:hint="eastAsia" w:ascii="宋体_GB2312" w:hAnsi="宋体_GB2312" w:eastAsia="宋体_GB2312"/>
          <w:sz w:val="24"/>
          <w:szCs w:val="24"/>
        </w:rPr>
        <w:t>，被测组件的连接器插头与标准适配器</w:t>
      </w:r>
      <w:r>
        <w:rPr>
          <w:rFonts w:ascii="宋体_GB2312" w:hAnsi="宋体_GB2312" w:eastAsia="宋体_GB2312"/>
          <w:sz w:val="24"/>
          <w:szCs w:val="24"/>
        </w:rPr>
        <w:t>1</w:t>
      </w:r>
      <w:r>
        <w:rPr>
          <w:rFonts w:hint="eastAsia" w:ascii="宋体_GB2312" w:hAnsi="宋体_GB2312" w:eastAsia="宋体_GB2312"/>
          <w:sz w:val="24"/>
          <w:szCs w:val="24"/>
        </w:rPr>
        <w:t>连接，光纤端进行去反射处理，例如采用光纤缠绕或匹配膏等方式。其余测试步骤与双端组件测试相同。</w:t>
      </w:r>
    </w:p>
    <w:p>
      <w:pPr>
        <w:pStyle w:val="5"/>
        <w:spacing w:after="12"/>
        <w:rPr>
          <w:rFonts w:ascii="宋体_GB2312" w:hAnsi="宋体_GB2312" w:eastAsia="宋体_GB2312"/>
        </w:rPr>
      </w:pPr>
      <w:r>
        <w:rPr>
          <w:rFonts w:ascii="宋体_GB2312" w:hAnsi="宋体_GB2312" w:eastAsia="宋体_GB2312"/>
        </w:rPr>
        <w:t>3.6.4.3重复性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插拔</w:t>
      </w:r>
      <w:r>
        <w:rPr>
          <w:rFonts w:ascii="宋体_GB2312" w:hAnsi="宋体_GB2312" w:eastAsia="宋体_GB2312"/>
          <w:sz w:val="24"/>
          <w:szCs w:val="24"/>
        </w:rPr>
        <w:t>10</w:t>
      </w:r>
      <w:r>
        <w:rPr>
          <w:rFonts w:hint="eastAsia" w:ascii="宋体_GB2312" w:hAnsi="宋体_GB2312" w:eastAsia="宋体_GB2312"/>
          <w:sz w:val="24"/>
          <w:szCs w:val="24"/>
        </w:rPr>
        <w:t>次，插入损耗变化量≤</w:t>
      </w:r>
      <w:r>
        <w:rPr>
          <w:rFonts w:ascii="宋体_GB2312" w:hAnsi="宋体_GB2312" w:eastAsia="宋体_GB2312"/>
          <w:sz w:val="24"/>
          <w:szCs w:val="24"/>
        </w:rPr>
        <w:t>0.2dB</w:t>
      </w:r>
      <w:r>
        <w:rPr>
          <w:rFonts w:hint="eastAsia" w:ascii="宋体_GB2312" w:hAnsi="宋体_GB2312" w:eastAsia="宋体_GB2312"/>
          <w:sz w:val="24"/>
          <w:szCs w:val="24"/>
        </w:rPr>
        <w:t>，测试波长</w:t>
      </w:r>
      <w:r>
        <w:rPr>
          <w:rFonts w:ascii="宋体_GB2312" w:hAnsi="宋体_GB2312" w:eastAsia="宋体_GB2312"/>
          <w:sz w:val="24"/>
          <w:szCs w:val="24"/>
        </w:rPr>
        <w:t>1310nm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将被测组件按照图</w:t>
      </w:r>
      <w:r>
        <w:rPr>
          <w:rFonts w:ascii="宋体_GB2312" w:hAnsi="宋体_GB2312" w:eastAsia="宋体_GB2312"/>
          <w:sz w:val="24"/>
          <w:szCs w:val="24"/>
        </w:rPr>
        <w:t>6</w:t>
      </w:r>
      <w:r>
        <w:rPr>
          <w:rFonts w:hint="eastAsia" w:ascii="宋体_GB2312" w:hAnsi="宋体_GB2312" w:eastAsia="宋体_GB2312"/>
          <w:sz w:val="24"/>
          <w:szCs w:val="24"/>
        </w:rPr>
        <w:t>所示连接，待系统稳定后，分别插拔组件两端的插头，读取组件插入损耗的变化量</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组件为双端时，组件两端各重复</w:t>
      </w:r>
      <w:r>
        <w:rPr>
          <w:rFonts w:ascii="宋体_GB2312" w:hAnsi="宋体_GB2312" w:eastAsia="宋体_GB2312"/>
          <w:sz w:val="24"/>
          <w:szCs w:val="24"/>
        </w:rPr>
        <w:t>5</w:t>
      </w:r>
      <w:r>
        <w:rPr>
          <w:rFonts w:hint="eastAsia" w:ascii="宋体_GB2312" w:hAnsi="宋体_GB2312" w:eastAsia="宋体_GB2312"/>
          <w:sz w:val="24"/>
          <w:szCs w:val="24"/>
        </w:rPr>
        <w:t>次插拔，取</w:t>
      </w:r>
      <w:r>
        <w:rPr>
          <w:rFonts w:ascii="宋体_GB2312" w:hAnsi="宋体_GB2312" w:eastAsia="宋体_GB2312"/>
          <w:sz w:val="24"/>
          <w:szCs w:val="24"/>
        </w:rPr>
        <w:t>10</w:t>
      </w:r>
      <w:r>
        <w:rPr>
          <w:rFonts w:hint="eastAsia" w:ascii="宋体_GB2312" w:hAnsi="宋体_GB2312" w:eastAsia="宋体_GB2312"/>
          <w:sz w:val="24"/>
          <w:szCs w:val="24"/>
        </w:rPr>
        <w:t>次插拔中的最大值和最小值的差值为测试结果</w:t>
      </w:r>
      <w:r>
        <w:rPr>
          <w:rFonts w:ascii="宋体_GB2312" w:hAnsi="宋体_GB2312" w:eastAsia="宋体_GB2312"/>
          <w:sz w:val="24"/>
          <w:szCs w:val="24"/>
        </w:rPr>
        <w:t xml:space="preserve">； </w:t>
      </w:r>
      <w:r>
        <w:rPr>
          <w:rFonts w:hint="eastAsia" w:ascii="宋体_GB2312" w:hAnsi="宋体_GB2312" w:eastAsia="宋体_GB2312"/>
          <w:sz w:val="24"/>
          <w:szCs w:val="24"/>
        </w:rPr>
        <w:t>组件为单端时，需将两个单端组件熔接成一个双端组件进行测试。</w:t>
      </w:r>
    </w:p>
    <w:p>
      <w:pPr>
        <w:pStyle w:val="5"/>
        <w:spacing w:after="12"/>
        <w:rPr>
          <w:rFonts w:ascii="宋体_GB2312" w:hAnsi="宋体_GB2312" w:eastAsia="宋体_GB2312"/>
        </w:rPr>
      </w:pPr>
      <w:r>
        <w:rPr>
          <w:rFonts w:ascii="宋体_GB2312" w:hAnsi="宋体_GB2312" w:eastAsia="宋体_GB2312"/>
        </w:rPr>
        <w:t>3.6.4.4</w:t>
      </w:r>
      <w:r>
        <w:rPr>
          <w:rFonts w:hint="eastAsia" w:ascii="宋体_GB2312" w:hAnsi="宋体_GB2312" w:eastAsia="宋体_GB2312"/>
        </w:rPr>
        <w:t>互换性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试样组件数</w:t>
      </w:r>
      <w:r>
        <w:rPr>
          <w:rFonts w:ascii="宋体_GB2312" w:hAnsi="宋体_GB2312" w:eastAsia="宋体_GB2312"/>
          <w:sz w:val="24"/>
          <w:szCs w:val="24"/>
        </w:rPr>
        <w:t>：8</w:t>
      </w:r>
      <w:r>
        <w:rPr>
          <w:rFonts w:hint="eastAsia" w:ascii="宋体_GB2312" w:hAnsi="宋体_GB2312" w:eastAsia="宋体_GB2312"/>
          <w:sz w:val="24"/>
          <w:szCs w:val="24"/>
        </w:rPr>
        <w:t>个。</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按</w:t>
      </w:r>
      <w:r>
        <w:rPr>
          <w:rFonts w:ascii="宋体_GB2312" w:hAnsi="宋体_GB2312" w:eastAsia="宋体_GB2312"/>
          <w:sz w:val="24"/>
          <w:szCs w:val="24"/>
        </w:rPr>
        <w:t>3.6.4.1</w:t>
      </w:r>
      <w:r>
        <w:rPr>
          <w:rFonts w:hint="eastAsia" w:ascii="宋体_GB2312" w:hAnsi="宋体_GB2312" w:eastAsia="宋体_GB2312"/>
          <w:sz w:val="24"/>
          <w:szCs w:val="24"/>
        </w:rPr>
        <w:t>规定的单端组件插入损耗的测试步骤进行测试</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测试前对</w:t>
      </w:r>
      <w:r>
        <w:rPr>
          <w:rFonts w:ascii="宋体_GB2312" w:hAnsi="宋体_GB2312" w:eastAsia="宋体_GB2312"/>
          <w:sz w:val="24"/>
          <w:szCs w:val="24"/>
        </w:rPr>
        <w:t>8</w:t>
      </w:r>
      <w:r>
        <w:rPr>
          <w:rFonts w:hint="eastAsia" w:ascii="宋体_GB2312" w:hAnsi="宋体_GB2312" w:eastAsia="宋体_GB2312"/>
          <w:sz w:val="24"/>
          <w:szCs w:val="24"/>
        </w:rPr>
        <w:t>个组件编号，分别为</w:t>
      </w:r>
      <w:r>
        <w:rPr>
          <w:rFonts w:ascii="宋体_GB2312" w:hAnsi="宋体_GB2312" w:eastAsia="宋体_GB2312"/>
          <w:sz w:val="24"/>
          <w:szCs w:val="24"/>
        </w:rPr>
        <w:t>1#</w:t>
      </w: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w:t>
      </w:r>
      <w:r>
        <w:rPr>
          <w:rFonts w:ascii="宋体_GB2312" w:hAnsi="宋体_GB2312" w:eastAsia="宋体_GB2312"/>
          <w:sz w:val="24"/>
          <w:szCs w:val="24"/>
        </w:rPr>
        <w:t>4#</w:t>
      </w:r>
      <w:r>
        <w:rPr>
          <w:rFonts w:hint="eastAsia" w:ascii="宋体_GB2312" w:hAnsi="宋体_GB2312" w:eastAsia="宋体_GB2312"/>
          <w:sz w:val="24"/>
          <w:szCs w:val="24"/>
        </w:rPr>
        <w:t>、</w:t>
      </w:r>
      <w:r>
        <w:rPr>
          <w:rFonts w:ascii="宋体_GB2312" w:hAnsi="宋体_GB2312" w:eastAsia="宋体_GB2312"/>
          <w:sz w:val="24"/>
          <w:szCs w:val="24"/>
        </w:rPr>
        <w:t>5#</w:t>
      </w:r>
      <w:r>
        <w:rPr>
          <w:rFonts w:hint="eastAsia" w:ascii="宋体_GB2312" w:hAnsi="宋体_GB2312" w:eastAsia="宋体_GB2312"/>
          <w:sz w:val="24"/>
          <w:szCs w:val="24"/>
        </w:rPr>
        <w:t>、</w:t>
      </w:r>
      <w:r>
        <w:rPr>
          <w:rFonts w:ascii="宋体_GB2312" w:hAnsi="宋体_GB2312" w:eastAsia="宋体_GB2312"/>
          <w:sz w:val="24"/>
          <w:szCs w:val="24"/>
        </w:rPr>
        <w:t>6#</w:t>
      </w:r>
      <w:r>
        <w:rPr>
          <w:rFonts w:hint="eastAsia" w:ascii="宋体_GB2312" w:hAnsi="宋体_GB2312" w:eastAsia="宋体_GB2312"/>
          <w:sz w:val="24"/>
          <w:szCs w:val="24"/>
        </w:rPr>
        <w:t>、</w:t>
      </w:r>
      <w:r>
        <w:rPr>
          <w:rFonts w:ascii="宋体_GB2312" w:hAnsi="宋体_GB2312" w:eastAsia="宋体_GB2312"/>
          <w:sz w:val="24"/>
          <w:szCs w:val="24"/>
        </w:rPr>
        <w:t>7#</w:t>
      </w:r>
      <w:r>
        <w:rPr>
          <w:rFonts w:hint="eastAsia" w:ascii="宋体_GB2312" w:hAnsi="宋体_GB2312" w:eastAsia="宋体_GB2312"/>
          <w:sz w:val="24"/>
          <w:szCs w:val="24"/>
        </w:rPr>
        <w:t>、</w:t>
      </w:r>
      <w:r>
        <w:rPr>
          <w:rFonts w:ascii="宋体_GB2312" w:hAnsi="宋体_GB2312" w:eastAsia="宋体_GB2312"/>
          <w:sz w:val="24"/>
          <w:szCs w:val="24"/>
        </w:rPr>
        <w:t>8#；</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测试时，图</w:t>
      </w:r>
      <w:r>
        <w:rPr>
          <w:rFonts w:ascii="宋体_GB2312" w:hAnsi="宋体_GB2312" w:eastAsia="宋体_GB2312"/>
          <w:sz w:val="24"/>
          <w:szCs w:val="24"/>
        </w:rPr>
        <w:t>5</w:t>
      </w:r>
      <w:r>
        <w:rPr>
          <w:rFonts w:hint="eastAsia" w:ascii="宋体_GB2312" w:hAnsi="宋体_GB2312" w:eastAsia="宋体_GB2312"/>
          <w:sz w:val="24"/>
          <w:szCs w:val="24"/>
        </w:rPr>
        <w:t>及图</w:t>
      </w:r>
      <w:r>
        <w:rPr>
          <w:rFonts w:ascii="宋体_GB2312" w:hAnsi="宋体_GB2312" w:eastAsia="宋体_GB2312"/>
          <w:sz w:val="24"/>
          <w:szCs w:val="24"/>
        </w:rPr>
        <w:t>6</w:t>
      </w:r>
      <w:r>
        <w:rPr>
          <w:rFonts w:hint="eastAsia" w:ascii="宋体_GB2312" w:hAnsi="宋体_GB2312" w:eastAsia="宋体_GB2312"/>
          <w:sz w:val="24"/>
          <w:szCs w:val="24"/>
        </w:rPr>
        <w:t>中的标准测试线</w:t>
      </w:r>
      <w:r>
        <w:rPr>
          <w:rFonts w:ascii="宋体_GB2312" w:hAnsi="宋体_GB2312" w:eastAsia="宋体_GB2312"/>
          <w:sz w:val="24"/>
          <w:szCs w:val="24"/>
        </w:rPr>
        <w:t>1</w:t>
      </w:r>
      <w:r>
        <w:rPr>
          <w:rFonts w:hint="eastAsia" w:ascii="宋体_GB2312" w:hAnsi="宋体_GB2312" w:eastAsia="宋体_GB2312"/>
          <w:sz w:val="24"/>
          <w:szCs w:val="24"/>
        </w:rPr>
        <w:t>分别用</w:t>
      </w:r>
      <w:r>
        <w:rPr>
          <w:rFonts w:ascii="宋体_GB2312" w:hAnsi="宋体_GB2312" w:eastAsia="宋体_GB2312"/>
          <w:sz w:val="24"/>
          <w:szCs w:val="24"/>
        </w:rPr>
        <w:t>8</w:t>
      </w:r>
      <w:r>
        <w:rPr>
          <w:rFonts w:hint="eastAsia" w:ascii="宋体_GB2312" w:hAnsi="宋体_GB2312" w:eastAsia="宋体_GB2312"/>
          <w:sz w:val="24"/>
          <w:szCs w:val="24"/>
        </w:rPr>
        <w:t>个测试样品依次轮流替换，每个组件需分别连接</w:t>
      </w:r>
      <w:r>
        <w:rPr>
          <w:rFonts w:ascii="宋体_GB2312" w:hAnsi="宋体_GB2312" w:eastAsia="宋体_GB2312"/>
          <w:sz w:val="24"/>
          <w:szCs w:val="24"/>
        </w:rPr>
        <w:t>3</w:t>
      </w:r>
      <w:r>
        <w:rPr>
          <w:rFonts w:hint="eastAsia" w:ascii="宋体_GB2312" w:hAnsi="宋体_GB2312" w:eastAsia="宋体_GB2312"/>
          <w:sz w:val="24"/>
          <w:szCs w:val="24"/>
        </w:rPr>
        <w:t>个与光功率计连接的组件，形成</w:t>
      </w:r>
      <w:r>
        <w:rPr>
          <w:rFonts w:ascii="宋体_GB2312" w:hAnsi="宋体_GB2312" w:eastAsia="宋体_GB2312"/>
          <w:sz w:val="24"/>
          <w:szCs w:val="24"/>
        </w:rPr>
        <w:t>8</w:t>
      </w:r>
      <w:r>
        <w:rPr>
          <w:rFonts w:hint="eastAsia" w:ascii="宋体_GB2312" w:hAnsi="宋体_GB2312" w:eastAsia="宋体_GB2312"/>
          <w:sz w:val="24"/>
          <w:szCs w:val="24"/>
        </w:rPr>
        <w:t>组，共</w:t>
      </w:r>
      <w:r>
        <w:rPr>
          <w:rFonts w:ascii="宋体_GB2312" w:hAnsi="宋体_GB2312" w:eastAsia="宋体_GB2312"/>
          <w:sz w:val="24"/>
          <w:szCs w:val="24"/>
        </w:rPr>
        <w:t>24</w:t>
      </w:r>
      <w:r>
        <w:rPr>
          <w:rFonts w:hint="eastAsia" w:ascii="宋体_GB2312" w:hAnsi="宋体_GB2312" w:eastAsia="宋体_GB2312"/>
          <w:sz w:val="24"/>
          <w:szCs w:val="24"/>
        </w:rPr>
        <w:t>种连接方式</w:t>
      </w:r>
      <w:r>
        <w:rPr>
          <w:rFonts w:ascii="宋体_GB2312" w:hAnsi="宋体_GB2312" w:eastAsia="宋体_GB2312"/>
          <w:sz w:val="24"/>
          <w:szCs w:val="24"/>
        </w:rPr>
        <w:t xml:space="preserve">：1#-2#,1#-3#,1#-4#；2#-3#,2#-4#,2#-5#；3#-4#,3#-5#,3#-6#；4#-5#,4#-6#,4#-7#；5#-6#,5#-7#,5#-8#；6#-7#,6#-8#, 6#-1#；7#-8#,7#-1#,7#-2#；8#-1#,8#-2#,8#-3#；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共测试</w:t>
      </w:r>
      <w:r>
        <w:rPr>
          <w:rFonts w:ascii="宋体_GB2312" w:hAnsi="宋体_GB2312" w:eastAsia="宋体_GB2312"/>
          <w:sz w:val="24"/>
          <w:szCs w:val="24"/>
        </w:rPr>
        <w:t>24</w:t>
      </w:r>
      <w:r>
        <w:rPr>
          <w:rFonts w:hint="eastAsia" w:ascii="宋体_GB2312" w:hAnsi="宋体_GB2312" w:eastAsia="宋体_GB2312"/>
          <w:sz w:val="24"/>
          <w:szCs w:val="24"/>
        </w:rPr>
        <w:t>个插入损耗数据，取最大值为测试结果，测试结果应符合表</w:t>
      </w:r>
      <w:r>
        <w:rPr>
          <w:rFonts w:ascii="宋体_GB2312" w:hAnsi="宋体_GB2312" w:eastAsia="宋体_GB2312"/>
          <w:sz w:val="24"/>
          <w:szCs w:val="24"/>
        </w:rPr>
        <w:t>10</w:t>
      </w:r>
      <w:r>
        <w:rPr>
          <w:rFonts w:hint="eastAsia" w:ascii="宋体_GB2312" w:hAnsi="宋体_GB2312" w:eastAsia="宋体_GB2312"/>
          <w:sz w:val="24"/>
          <w:szCs w:val="24"/>
        </w:rPr>
        <w:t>中与任意插头的插入损耗的规定</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测试中适配器为标准适配器，测试过程中不应更换。</w:t>
      </w:r>
    </w:p>
    <w:p>
      <w:pPr>
        <w:pStyle w:val="4"/>
        <w:spacing w:after="12"/>
        <w:rPr>
          <w:rFonts w:ascii="宋体_GB2312" w:hAnsi="宋体_GB2312" w:eastAsia="宋体_GB2312"/>
        </w:rPr>
      </w:pPr>
      <w:bookmarkStart w:id="131" w:name="_Toc54084432"/>
      <w:bookmarkStart w:id="132" w:name="_Toc11206"/>
      <w:r>
        <w:rPr>
          <w:rFonts w:ascii="宋体_GB2312" w:hAnsi="宋体_GB2312" w:eastAsia="宋体_GB2312"/>
        </w:rPr>
        <w:t>3.6.5</w:t>
      </w:r>
      <w:r>
        <w:rPr>
          <w:rFonts w:hint="eastAsia" w:ascii="宋体_GB2312" w:hAnsi="宋体_GB2312" w:eastAsia="宋体_GB2312"/>
          <w:lang w:eastAsia="zh-CN"/>
        </w:rPr>
        <w:t>机械</w:t>
      </w:r>
      <w:r>
        <w:rPr>
          <w:rFonts w:hint="eastAsia" w:ascii="宋体_GB2312" w:hAnsi="宋体_GB2312" w:eastAsia="宋体_GB2312"/>
        </w:rPr>
        <w:t>性能</w:t>
      </w:r>
      <w:bookmarkEnd w:id="131"/>
      <w:bookmarkEnd w:id="132"/>
    </w:p>
    <w:p>
      <w:pPr>
        <w:pStyle w:val="5"/>
        <w:spacing w:after="12"/>
        <w:rPr>
          <w:rFonts w:ascii="宋体_GB2312" w:hAnsi="宋体_GB2312" w:eastAsia="宋体_GB2312"/>
        </w:rPr>
      </w:pPr>
      <w:r>
        <w:rPr>
          <w:rFonts w:ascii="宋体_GB2312" w:hAnsi="宋体_GB2312" w:eastAsia="宋体_GB2312"/>
        </w:rPr>
        <w:t>3.6.5.1</w:t>
      </w:r>
      <w:r>
        <w:rPr>
          <w:rFonts w:hint="eastAsia" w:ascii="宋体_GB2312" w:hAnsi="宋体_GB2312" w:eastAsia="宋体_GB2312"/>
        </w:rPr>
        <w:t>拉伸</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拉力</w:t>
      </w:r>
      <w:r>
        <w:rPr>
          <w:rFonts w:ascii="宋体_GB2312" w:hAnsi="宋体_GB2312" w:eastAsia="宋体_GB2312"/>
          <w:sz w:val="24"/>
          <w:szCs w:val="24"/>
        </w:rPr>
        <w:t>：60N (</w:t>
      </w:r>
      <w:r>
        <w:rPr>
          <w:rFonts w:hint="eastAsia" w:ascii="宋体_GB2312" w:hAnsi="宋体_GB2312" w:eastAsia="宋体_GB2312"/>
          <w:sz w:val="24"/>
          <w:szCs w:val="24"/>
        </w:rPr>
        <w:t>圆形光缆</w:t>
      </w:r>
      <w:r>
        <w:rPr>
          <w:rFonts w:ascii="宋体_GB2312" w:hAnsi="宋体_GB2312" w:eastAsia="宋体_GB2312"/>
          <w:sz w:val="24"/>
          <w:szCs w:val="24"/>
        </w:rPr>
        <w:t>)</w:t>
      </w:r>
      <w:r>
        <w:rPr>
          <w:rFonts w:hint="eastAsia" w:ascii="宋体_GB2312" w:hAnsi="宋体_GB2312" w:eastAsia="宋体_GB2312"/>
          <w:sz w:val="24"/>
          <w:szCs w:val="24"/>
        </w:rPr>
        <w:t>，</w:t>
      </w:r>
      <w:r>
        <w:rPr>
          <w:rFonts w:ascii="宋体_GB2312" w:hAnsi="宋体_GB2312" w:eastAsia="宋体_GB2312"/>
          <w:sz w:val="24"/>
          <w:szCs w:val="24"/>
        </w:rPr>
        <w:t>50N (</w:t>
      </w:r>
      <w:r>
        <w:rPr>
          <w:rFonts w:hint="eastAsia" w:ascii="宋体_GB2312" w:hAnsi="宋体_GB2312" w:eastAsia="宋体_GB2312"/>
          <w:sz w:val="24"/>
          <w:szCs w:val="24"/>
        </w:rPr>
        <w:t>蝶形光缆</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时间</w:t>
      </w:r>
      <w:r>
        <w:rPr>
          <w:rFonts w:ascii="宋体_GB2312" w:hAnsi="宋体_GB2312" w:eastAsia="宋体_GB2312"/>
          <w:sz w:val="24"/>
          <w:szCs w:val="24"/>
        </w:rPr>
        <w:t>：10min；</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拉伸受试长度</w:t>
      </w:r>
      <w:r>
        <w:rPr>
          <w:rFonts w:ascii="宋体_GB2312" w:hAnsi="宋体_GB2312" w:eastAsia="宋体_GB2312"/>
          <w:sz w:val="24"/>
          <w:szCs w:val="24"/>
        </w:rPr>
        <w:t>A： 250mm</w:t>
      </w:r>
      <w:r>
        <w:rPr>
          <w:rFonts w:hint="eastAsia" w:ascii="宋体_GB2312" w:hAnsi="宋体_GB2312" w:eastAsia="宋体_GB2312"/>
          <w:sz w:val="24"/>
          <w:szCs w:val="24"/>
        </w:rPr>
        <w:t>±</w:t>
      </w:r>
      <w:r>
        <w:rPr>
          <w:rFonts w:ascii="宋体_GB2312" w:hAnsi="宋体_GB2312" w:eastAsia="宋体_GB2312"/>
          <w:sz w:val="24"/>
          <w:szCs w:val="24"/>
        </w:rPr>
        <w:t>20mm</w:t>
      </w:r>
      <w:r>
        <w:rPr>
          <w:rFonts w:hint="eastAsia" w:ascii="宋体_GB2312" w:hAnsi="宋体_GB2312" w:eastAsia="宋体_GB2312"/>
          <w:sz w:val="24"/>
          <w:szCs w:val="24"/>
        </w:rPr>
        <w:t>。</w:t>
      </w:r>
    </w:p>
    <w:p>
      <w:pPr>
        <w:spacing w:before="120" w:beforeLines="50" w:line="300" w:lineRule="auto"/>
        <w:ind w:firstLine="420" w:firstLineChars="200"/>
        <w:jc w:val="center"/>
        <w:rPr>
          <w:rFonts w:ascii="宋体_GB2312" w:hAnsi="宋体_GB2312" w:eastAsia="宋体_GB2312"/>
          <w:sz w:val="24"/>
          <w:szCs w:val="24"/>
        </w:rPr>
      </w:pPr>
      <w:r>
        <w:rPr>
          <w:rFonts w:ascii="宋体_GB2312" w:hAnsi="宋体_GB2312" w:eastAsia="宋体_GB2312"/>
        </w:rPr>
        <w:drawing>
          <wp:inline distT="0" distB="0" distL="0" distR="0">
            <wp:extent cx="2726690" cy="3236595"/>
            <wp:effectExtent l="0" t="0" r="0" b="19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15"/>
                    <a:stretch>
                      <a:fillRect/>
                    </a:stretch>
                  </pic:blipFill>
                  <pic:spPr>
                    <a:xfrm>
                      <a:off x="0" y="0"/>
                      <a:ext cx="2738133" cy="3249851"/>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9 </w:t>
      </w:r>
      <w:r>
        <w:rPr>
          <w:rFonts w:hint="eastAsia" w:ascii="宋体_GB2312" w:hAnsi="宋体_GB2312" w:eastAsia="宋体_GB2312"/>
          <w:sz w:val="24"/>
          <w:szCs w:val="24"/>
        </w:rPr>
        <w:t>拉伸、扭转试验示意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试验装置如图</w:t>
      </w:r>
      <w:r>
        <w:rPr>
          <w:rFonts w:ascii="宋体_GB2312" w:hAnsi="宋体_GB2312" w:eastAsia="宋体_GB2312"/>
          <w:sz w:val="24"/>
          <w:szCs w:val="24"/>
        </w:rPr>
        <w:t>9</w:t>
      </w:r>
      <w:r>
        <w:rPr>
          <w:rFonts w:hint="eastAsia" w:ascii="宋体_GB2312" w:hAnsi="宋体_GB2312" w:eastAsia="宋体_GB2312"/>
          <w:sz w:val="24"/>
          <w:szCs w:val="24"/>
        </w:rPr>
        <w:t>所示，连接器插头用适当的夹具夹持</w:t>
      </w:r>
      <w:r>
        <w:rPr>
          <w:rFonts w:ascii="宋体_GB2312" w:hAnsi="宋体_GB2312" w:eastAsia="宋体_GB2312"/>
          <w:sz w:val="24"/>
          <w:szCs w:val="24"/>
        </w:rPr>
        <w:t>；</w:t>
      </w:r>
      <w:r>
        <w:rPr>
          <w:rFonts w:hint="eastAsia" w:ascii="宋体_GB2312" w:hAnsi="宋体_GB2312" w:eastAsia="宋体_GB2312"/>
          <w:sz w:val="24"/>
          <w:szCs w:val="24"/>
        </w:rPr>
        <w:t>双端组件仅拉伸一端</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拉伸受试长度</w:t>
      </w:r>
      <w:r>
        <w:rPr>
          <w:rFonts w:ascii="宋体_GB2312" w:hAnsi="宋体_GB2312" w:eastAsia="宋体_GB2312"/>
          <w:sz w:val="24"/>
          <w:szCs w:val="24"/>
        </w:rPr>
        <w:t>A</w:t>
      </w:r>
      <w:r>
        <w:rPr>
          <w:rFonts w:hint="eastAsia" w:ascii="宋体_GB2312" w:hAnsi="宋体_GB2312" w:eastAsia="宋体_GB2312"/>
          <w:sz w:val="24"/>
          <w:szCs w:val="24"/>
        </w:rPr>
        <w:t>为</w:t>
      </w:r>
      <w:r>
        <w:rPr>
          <w:rFonts w:ascii="宋体_GB2312" w:hAnsi="宋体_GB2312" w:eastAsia="宋体_GB2312"/>
          <w:sz w:val="24"/>
          <w:szCs w:val="24"/>
        </w:rPr>
        <w:t>250mm</w:t>
      </w:r>
      <w:r>
        <w:rPr>
          <w:rFonts w:hint="eastAsia" w:ascii="宋体_GB2312" w:hAnsi="宋体_GB2312" w:eastAsia="宋体_GB2312"/>
          <w:sz w:val="24"/>
          <w:szCs w:val="24"/>
        </w:rPr>
        <w:t>±</w:t>
      </w:r>
      <w:r>
        <w:rPr>
          <w:rFonts w:ascii="宋体_GB2312" w:hAnsi="宋体_GB2312" w:eastAsia="宋体_GB2312"/>
          <w:sz w:val="24"/>
          <w:szCs w:val="24"/>
        </w:rPr>
        <w:t>20mm</w:t>
      </w:r>
      <w:r>
        <w:rPr>
          <w:rFonts w:hint="eastAsia" w:ascii="宋体_GB2312" w:hAnsi="宋体_GB2312" w:eastAsia="宋体_GB2312"/>
          <w:sz w:val="24"/>
          <w:szCs w:val="24"/>
        </w:rPr>
        <w:t>，光缆在绕缆轴上绕数圈，并用适当的顶压装置固定，使得试验时光缆不应在绕缆轴上打滑，绕缆时光缆不应重叠，绕缆轴直径宜为</w:t>
      </w:r>
      <w:r>
        <w:rPr>
          <w:rFonts w:ascii="宋体_GB2312" w:hAnsi="宋体_GB2312" w:eastAsia="宋体_GB2312"/>
          <w:sz w:val="24"/>
          <w:szCs w:val="24"/>
        </w:rPr>
        <w:t xml:space="preserve">80mm；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在绕缆轴下方施加配重块，使得拉力达到规定值，拉伸</w:t>
      </w:r>
      <w:r>
        <w:rPr>
          <w:rFonts w:ascii="宋体_GB2312" w:hAnsi="宋体_GB2312" w:eastAsia="宋体_GB2312"/>
          <w:sz w:val="24"/>
          <w:szCs w:val="24"/>
        </w:rPr>
        <w:t>10min</w:t>
      </w:r>
      <w:r>
        <w:rPr>
          <w:rFonts w:hint="eastAsia" w:ascii="宋体_GB2312" w:hAnsi="宋体_GB2312" w:eastAsia="宋体_GB2312"/>
          <w:sz w:val="24"/>
          <w:szCs w:val="24"/>
        </w:rPr>
        <w:t>，然后卸载配重块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取下试样，目视检查组件是否有机械损伤，如变形、龟裂、松弛、脱落等现象，测试组件在</w:t>
      </w:r>
      <w:r>
        <w:rPr>
          <w:rFonts w:ascii="宋体_GB2312" w:hAnsi="宋体_GB2312" w:eastAsia="宋体_GB2312"/>
          <w:sz w:val="24"/>
          <w:szCs w:val="24"/>
        </w:rPr>
        <w:t xml:space="preserve"> 1310nm </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波长下的插入损耗，测试结果应符合表</w:t>
      </w:r>
      <w:r>
        <w:rPr>
          <w:rFonts w:ascii="宋体_GB2312" w:hAnsi="宋体_GB2312" w:eastAsia="宋体_GB2312"/>
          <w:sz w:val="24"/>
          <w:szCs w:val="24"/>
        </w:rPr>
        <w:t>12</w:t>
      </w:r>
      <w:r>
        <w:rPr>
          <w:rFonts w:hint="eastAsia" w:ascii="宋体_GB2312" w:hAnsi="宋体_GB2312" w:eastAsia="宋体_GB2312"/>
          <w:sz w:val="24"/>
          <w:szCs w:val="24"/>
        </w:rPr>
        <w:t>的要求</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拉伸试验也可在拉力机上进行，拉伸速度为</w:t>
      </w:r>
      <w:r>
        <w:rPr>
          <w:rFonts w:ascii="宋体_GB2312" w:hAnsi="宋体_GB2312" w:eastAsia="宋体_GB2312"/>
          <w:sz w:val="24"/>
          <w:szCs w:val="24"/>
        </w:rPr>
        <w:t>25mm/min</w:t>
      </w:r>
      <w:r>
        <w:rPr>
          <w:rFonts w:hint="eastAsia" w:ascii="宋体_GB2312" w:hAnsi="宋体_GB2312" w:eastAsia="宋体_GB2312"/>
          <w:sz w:val="24"/>
          <w:szCs w:val="24"/>
        </w:rPr>
        <w:t>，然后以恒定拉力持续</w:t>
      </w:r>
      <w:r>
        <w:rPr>
          <w:rFonts w:ascii="宋体_GB2312" w:hAnsi="宋体_GB2312" w:eastAsia="宋体_GB2312"/>
          <w:sz w:val="24"/>
          <w:szCs w:val="24"/>
        </w:rPr>
        <w:t>10min</w:t>
      </w:r>
      <w:r>
        <w:rPr>
          <w:rFonts w:hint="eastAsia" w:ascii="宋体_GB2312" w:hAnsi="宋体_GB2312" w:eastAsia="宋体_GB2312"/>
          <w:sz w:val="24"/>
          <w:szCs w:val="24"/>
        </w:rPr>
        <w:t>。</w:t>
      </w:r>
    </w:p>
    <w:p>
      <w:pPr>
        <w:pStyle w:val="5"/>
        <w:spacing w:after="12"/>
        <w:rPr>
          <w:rFonts w:ascii="宋体_GB2312" w:hAnsi="宋体_GB2312" w:eastAsia="宋体_GB2312"/>
        </w:rPr>
      </w:pPr>
      <w:r>
        <w:rPr>
          <w:rFonts w:ascii="宋体_GB2312" w:hAnsi="宋体_GB2312" w:eastAsia="宋体_GB2312"/>
        </w:rPr>
        <w:t>3.6.5.2</w:t>
      </w:r>
      <w:r>
        <w:rPr>
          <w:rFonts w:hint="eastAsia" w:ascii="宋体_GB2312" w:hAnsi="宋体_GB2312" w:eastAsia="宋体_GB2312"/>
        </w:rPr>
        <w:t>扭转</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角度</w:t>
      </w:r>
      <w:r>
        <w:rPr>
          <w:rFonts w:ascii="宋体_GB2312" w:hAnsi="宋体_GB2312" w:eastAsia="宋体_GB2312"/>
          <w:sz w:val="24"/>
          <w:szCs w:val="24"/>
        </w:rPr>
        <w:t>：</w:t>
      </w:r>
      <w:r>
        <w:rPr>
          <w:rFonts w:hint="eastAsia" w:ascii="宋体_GB2312" w:hAnsi="宋体_GB2312" w:eastAsia="宋体_GB2312"/>
          <w:sz w:val="24"/>
          <w:szCs w:val="24"/>
        </w:rPr>
        <w:t>±</w:t>
      </w:r>
      <w:r>
        <w:rPr>
          <w:rFonts w:ascii="宋体_GB2312" w:hAnsi="宋体_GB2312" w:eastAsia="宋体_GB2312"/>
          <w:sz w:val="24"/>
          <w:szCs w:val="24"/>
        </w:rPr>
        <w:t>180</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张力</w:t>
      </w:r>
      <w:r>
        <w:rPr>
          <w:rFonts w:ascii="宋体_GB2312" w:hAnsi="宋体_GB2312" w:eastAsia="宋体_GB2312"/>
          <w:sz w:val="24"/>
          <w:szCs w:val="24"/>
        </w:rPr>
        <w:t xml:space="preserve">：40N；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扭转受试长度</w:t>
      </w:r>
      <w:r>
        <w:rPr>
          <w:rFonts w:ascii="宋体_GB2312" w:hAnsi="宋体_GB2312" w:eastAsia="宋体_GB2312"/>
          <w:sz w:val="24"/>
          <w:szCs w:val="24"/>
        </w:rPr>
        <w:t>A：250mm</w:t>
      </w:r>
      <w:r>
        <w:rPr>
          <w:rFonts w:hint="eastAsia" w:ascii="宋体_GB2312" w:hAnsi="宋体_GB2312" w:eastAsia="宋体_GB2312"/>
          <w:sz w:val="24"/>
          <w:szCs w:val="24"/>
        </w:rPr>
        <w:t>±</w:t>
      </w:r>
      <w:r>
        <w:rPr>
          <w:rFonts w:ascii="宋体_GB2312" w:hAnsi="宋体_GB2312" w:eastAsia="宋体_GB2312"/>
          <w:sz w:val="24"/>
          <w:szCs w:val="24"/>
        </w:rPr>
        <w:t xml:space="preserve">20mm；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扭转速率</w:t>
      </w:r>
      <w:r>
        <w:rPr>
          <w:rFonts w:ascii="宋体_GB2312" w:hAnsi="宋体_GB2312" w:eastAsia="宋体_GB2312"/>
          <w:sz w:val="24"/>
          <w:szCs w:val="24"/>
        </w:rPr>
        <w:t>：10</w:t>
      </w:r>
      <w:r>
        <w:rPr>
          <w:rFonts w:hint="eastAsia" w:ascii="宋体_GB2312" w:hAnsi="宋体_GB2312" w:eastAsia="宋体_GB2312"/>
          <w:sz w:val="24"/>
          <w:szCs w:val="24"/>
        </w:rPr>
        <w:t>次</w:t>
      </w:r>
      <w:r>
        <w:rPr>
          <w:rFonts w:ascii="宋体_GB2312" w:hAnsi="宋体_GB2312" w:eastAsia="宋体_GB2312"/>
          <w:sz w:val="24"/>
          <w:szCs w:val="24"/>
        </w:rPr>
        <w:t xml:space="preserve">/min；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次数</w:t>
      </w:r>
      <w:r>
        <w:rPr>
          <w:rFonts w:ascii="宋体_GB2312" w:hAnsi="宋体_GB2312" w:eastAsia="宋体_GB2312"/>
          <w:sz w:val="24"/>
          <w:szCs w:val="24"/>
        </w:rPr>
        <w:t>：200</w:t>
      </w:r>
      <w:r>
        <w:rPr>
          <w:rFonts w:hint="eastAsia" w:ascii="宋体_GB2312" w:hAnsi="宋体_GB2312" w:eastAsia="宋体_GB2312"/>
          <w:sz w:val="24"/>
          <w:szCs w:val="24"/>
        </w:rPr>
        <w:t>次。</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试验装置如图</w:t>
      </w:r>
      <w:r>
        <w:rPr>
          <w:rFonts w:ascii="宋体_GB2312" w:hAnsi="宋体_GB2312" w:eastAsia="宋体_GB2312"/>
          <w:sz w:val="24"/>
          <w:szCs w:val="24"/>
        </w:rPr>
        <w:t>9</w:t>
      </w:r>
      <w:r>
        <w:rPr>
          <w:rFonts w:hint="eastAsia" w:ascii="宋体_GB2312" w:hAnsi="宋体_GB2312" w:eastAsia="宋体_GB2312"/>
          <w:sz w:val="24"/>
          <w:szCs w:val="24"/>
        </w:rPr>
        <w:t>所示，连接器插头用适当的夹具夹持</w:t>
      </w:r>
      <w:r>
        <w:rPr>
          <w:rFonts w:ascii="宋体_GB2312" w:hAnsi="宋体_GB2312" w:eastAsia="宋体_GB2312"/>
          <w:sz w:val="24"/>
          <w:szCs w:val="24"/>
        </w:rPr>
        <w:t>；</w:t>
      </w:r>
      <w:r>
        <w:rPr>
          <w:rFonts w:hint="eastAsia" w:ascii="宋体_GB2312" w:hAnsi="宋体_GB2312" w:eastAsia="宋体_GB2312"/>
          <w:sz w:val="24"/>
          <w:szCs w:val="24"/>
        </w:rPr>
        <w:t>双端组件仅扭转一端</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扭转受试长度</w:t>
      </w:r>
      <w:r>
        <w:rPr>
          <w:rFonts w:ascii="宋体_GB2312" w:hAnsi="宋体_GB2312" w:eastAsia="宋体_GB2312"/>
          <w:sz w:val="24"/>
          <w:szCs w:val="24"/>
        </w:rPr>
        <w:t>A</w:t>
      </w:r>
      <w:r>
        <w:rPr>
          <w:rFonts w:hint="eastAsia" w:ascii="宋体_GB2312" w:hAnsi="宋体_GB2312" w:eastAsia="宋体_GB2312"/>
          <w:sz w:val="24"/>
          <w:szCs w:val="24"/>
        </w:rPr>
        <w:t>为</w:t>
      </w:r>
      <w:r>
        <w:rPr>
          <w:rFonts w:ascii="宋体_GB2312" w:hAnsi="宋体_GB2312" w:eastAsia="宋体_GB2312"/>
          <w:sz w:val="24"/>
          <w:szCs w:val="24"/>
        </w:rPr>
        <w:t>250mm</w:t>
      </w:r>
      <w:r>
        <w:rPr>
          <w:rFonts w:hint="eastAsia" w:ascii="宋体_GB2312" w:hAnsi="宋体_GB2312" w:eastAsia="宋体_GB2312"/>
          <w:sz w:val="24"/>
          <w:szCs w:val="24"/>
        </w:rPr>
        <w:t>±</w:t>
      </w:r>
      <w:r>
        <w:rPr>
          <w:rFonts w:ascii="宋体_GB2312" w:hAnsi="宋体_GB2312" w:eastAsia="宋体_GB2312"/>
          <w:sz w:val="24"/>
          <w:szCs w:val="24"/>
        </w:rPr>
        <w:t>20mm</w:t>
      </w:r>
      <w:r>
        <w:rPr>
          <w:rFonts w:hint="eastAsia" w:ascii="宋体_GB2312" w:hAnsi="宋体_GB2312" w:eastAsia="宋体_GB2312"/>
          <w:sz w:val="24"/>
          <w:szCs w:val="24"/>
        </w:rPr>
        <w:t>，光缆在绕缆轴上绕数圈，并用适当的顶压装置固定，使得试验时光缆不应在绕缆轴上打滑，绕缆时光缆不应重叠，绕缆轴直径宜为</w:t>
      </w:r>
      <w:r>
        <w:rPr>
          <w:rFonts w:ascii="宋体_GB2312" w:hAnsi="宋体_GB2312" w:eastAsia="宋体_GB2312"/>
          <w:sz w:val="24"/>
          <w:szCs w:val="24"/>
        </w:rPr>
        <w:t xml:space="preserve">80mm；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在绕缆轴下方施加配重块，使得张力达到</w:t>
      </w:r>
      <w:r>
        <w:rPr>
          <w:rFonts w:ascii="宋体_GB2312" w:hAnsi="宋体_GB2312" w:eastAsia="宋体_GB2312"/>
          <w:sz w:val="24"/>
          <w:szCs w:val="24"/>
        </w:rPr>
        <w:t xml:space="preserve">40N；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扭转连接器插头固定夹具±</w:t>
      </w:r>
      <w:r>
        <w:rPr>
          <w:rFonts w:ascii="宋体_GB2312" w:hAnsi="宋体_GB2312" w:eastAsia="宋体_GB2312"/>
          <w:sz w:val="24"/>
          <w:szCs w:val="24"/>
        </w:rPr>
        <w:t>180</w:t>
      </w:r>
      <w:r>
        <w:rPr>
          <w:rFonts w:hint="eastAsia" w:ascii="宋体_GB2312" w:hAnsi="宋体_GB2312" w:eastAsia="宋体_GB2312"/>
          <w:sz w:val="24"/>
          <w:szCs w:val="24"/>
        </w:rPr>
        <w:t>°，共扭转</w:t>
      </w:r>
      <w:r>
        <w:rPr>
          <w:rFonts w:ascii="宋体_GB2312" w:hAnsi="宋体_GB2312" w:eastAsia="宋体_GB2312"/>
          <w:sz w:val="24"/>
          <w:szCs w:val="24"/>
        </w:rPr>
        <w:t>200</w:t>
      </w:r>
      <w:r>
        <w:rPr>
          <w:rFonts w:hint="eastAsia" w:ascii="宋体_GB2312" w:hAnsi="宋体_GB2312" w:eastAsia="宋体_GB2312"/>
          <w:sz w:val="24"/>
          <w:szCs w:val="24"/>
        </w:rPr>
        <w:t>次</w:t>
      </w:r>
      <w:r>
        <w:rPr>
          <w:rFonts w:ascii="宋体_GB2312" w:hAnsi="宋体_GB2312" w:eastAsia="宋体_GB2312"/>
          <w:sz w:val="24"/>
          <w:szCs w:val="24"/>
        </w:rPr>
        <w:t>；</w:t>
      </w:r>
      <w:r>
        <w:rPr>
          <w:rFonts w:hint="eastAsia" w:ascii="宋体_GB2312" w:hAnsi="宋体_GB2312" w:eastAsia="宋体_GB2312"/>
          <w:sz w:val="24"/>
          <w:szCs w:val="24"/>
        </w:rPr>
        <w:t>扭转时绕缆轴及配重块不应随着连接器插头旋转</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卸载配重块，取下试样，目视检查组件是否有机械损伤，如变形、龟裂、松弛、脱落等现象，测试组件在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波长下的插入损耗，测试结果应符合表</w:t>
      </w:r>
      <w:r>
        <w:rPr>
          <w:rFonts w:ascii="宋体_GB2312" w:hAnsi="宋体_GB2312" w:eastAsia="宋体_GB2312"/>
          <w:sz w:val="24"/>
          <w:szCs w:val="24"/>
        </w:rPr>
        <w:t>12的要求</w:t>
      </w:r>
      <w:r>
        <w:rPr>
          <w:rFonts w:hint="eastAsia" w:ascii="宋体_GB2312" w:hAnsi="宋体_GB2312" w:eastAsia="宋体_GB2312"/>
          <w:sz w:val="24"/>
          <w:szCs w:val="24"/>
        </w:rPr>
        <w:t>。</w:t>
      </w:r>
    </w:p>
    <w:p>
      <w:pPr>
        <w:pStyle w:val="5"/>
        <w:spacing w:after="12"/>
        <w:rPr>
          <w:rFonts w:ascii="宋体_GB2312" w:hAnsi="宋体_GB2312" w:eastAsia="宋体_GB2312"/>
        </w:rPr>
      </w:pPr>
      <w:r>
        <w:rPr>
          <w:rFonts w:ascii="宋体_GB2312" w:hAnsi="宋体_GB2312" w:eastAsia="宋体_GB2312"/>
        </w:rPr>
        <w:t xml:space="preserve">3.6.5.3 </w:t>
      </w:r>
      <w:r>
        <w:rPr>
          <w:rFonts w:hint="eastAsia" w:ascii="宋体_GB2312" w:hAnsi="宋体_GB2312" w:eastAsia="宋体_GB2312"/>
        </w:rPr>
        <w:t>卷绕</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卷绕直径</w:t>
      </w:r>
      <w:r>
        <w:rPr>
          <w:rFonts w:ascii="宋体_GB2312" w:hAnsi="宋体_GB2312" w:eastAsia="宋体_GB2312"/>
          <w:sz w:val="24"/>
          <w:szCs w:val="24"/>
        </w:rPr>
        <w:t>：</w:t>
      </w:r>
      <w:r>
        <w:rPr>
          <w:rFonts w:hint="eastAsia" w:ascii="宋体_GB2312" w:hAnsi="宋体_GB2312" w:eastAsia="宋体_GB2312"/>
          <w:sz w:val="24"/>
          <w:szCs w:val="24"/>
        </w:rPr>
        <w:t>≤</w:t>
      </w:r>
      <w:r>
        <w:rPr>
          <w:rFonts w:ascii="宋体_GB2312" w:hAnsi="宋体_GB2312" w:eastAsia="宋体_GB2312"/>
          <w:sz w:val="24"/>
          <w:szCs w:val="24"/>
        </w:rPr>
        <w:t>20D（B6光纤），D为圆形光缆外径或蝶形光缆的短径，单位为mm；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卷绕圈数</w:t>
      </w:r>
      <w:r>
        <w:rPr>
          <w:rFonts w:ascii="宋体_GB2312" w:hAnsi="宋体_GB2312" w:eastAsia="宋体_GB2312"/>
          <w:sz w:val="24"/>
          <w:szCs w:val="24"/>
        </w:rPr>
        <w:t>：10</w:t>
      </w:r>
      <w:r>
        <w:rPr>
          <w:rFonts w:hint="eastAsia" w:ascii="宋体_GB2312" w:hAnsi="宋体_GB2312" w:eastAsia="宋体_GB2312"/>
          <w:sz w:val="24"/>
          <w:szCs w:val="24"/>
        </w:rPr>
        <w:t>圈。</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组件两端分别与光源和光功率计连接，测试在</w:t>
      </w:r>
      <w:r>
        <w:rPr>
          <w:rFonts w:ascii="宋体_GB2312" w:hAnsi="宋体_GB2312" w:eastAsia="宋体_GB2312"/>
          <w:sz w:val="24"/>
          <w:szCs w:val="24"/>
        </w:rPr>
        <w:t>1550nm</w:t>
      </w:r>
      <w:r>
        <w:rPr>
          <w:rFonts w:hint="eastAsia" w:ascii="宋体_GB2312" w:hAnsi="宋体_GB2312" w:eastAsia="宋体_GB2312"/>
          <w:sz w:val="24"/>
          <w:szCs w:val="24"/>
        </w:rPr>
        <w:t>波长下的损耗作为初始值，并保持试验过程组件两端与光源和光功率计的耦合状态不变</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将光缆卷绕在规定直径的卷筒上，紧密卷绕</w:t>
      </w:r>
      <w:r>
        <w:rPr>
          <w:rFonts w:ascii="宋体_GB2312" w:hAnsi="宋体_GB2312" w:eastAsia="宋体_GB2312"/>
          <w:sz w:val="24"/>
          <w:szCs w:val="24"/>
        </w:rPr>
        <w:t>10</w:t>
      </w:r>
      <w:r>
        <w:rPr>
          <w:rFonts w:hint="eastAsia" w:ascii="宋体_GB2312" w:hAnsi="宋体_GB2312" w:eastAsia="宋体_GB2312"/>
          <w:sz w:val="24"/>
          <w:szCs w:val="24"/>
        </w:rPr>
        <w:t>圈，卷绕的光缆不应重叠，卷绕点须远离组件端头至少</w:t>
      </w:r>
      <w:r>
        <w:rPr>
          <w:rFonts w:ascii="宋体_GB2312" w:hAnsi="宋体_GB2312" w:eastAsia="宋体_GB2312"/>
          <w:sz w:val="24"/>
          <w:szCs w:val="24"/>
        </w:rPr>
        <w:t>1m；</w:t>
      </w:r>
      <w:r>
        <w:rPr>
          <w:rFonts w:hint="eastAsia" w:ascii="宋体_GB2312" w:hAnsi="宋体_GB2312" w:eastAsia="宋体_GB2312"/>
          <w:sz w:val="24"/>
          <w:szCs w:val="24"/>
        </w:rPr>
        <w:t>如果光缆是自承式，则连同增强吊线一起卷绕</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卷绕保持</w:t>
      </w:r>
      <w:r>
        <w:rPr>
          <w:rFonts w:ascii="宋体_GB2312" w:hAnsi="宋体_GB2312" w:eastAsia="宋体_GB2312"/>
          <w:sz w:val="24"/>
          <w:szCs w:val="24"/>
        </w:rPr>
        <w:t>30s</w:t>
      </w:r>
      <w:r>
        <w:rPr>
          <w:rFonts w:hint="eastAsia" w:ascii="宋体_GB2312" w:hAnsi="宋体_GB2312" w:eastAsia="宋体_GB2312"/>
          <w:sz w:val="24"/>
          <w:szCs w:val="24"/>
        </w:rPr>
        <w:t>，然后读取</w:t>
      </w:r>
      <w:r>
        <w:rPr>
          <w:rFonts w:ascii="宋体_GB2312" w:hAnsi="宋体_GB2312" w:eastAsia="宋体_GB2312"/>
          <w:sz w:val="24"/>
          <w:szCs w:val="24"/>
        </w:rPr>
        <w:t>1550nm</w:t>
      </w:r>
      <w:r>
        <w:rPr>
          <w:rFonts w:hint="eastAsia" w:ascii="宋体_GB2312" w:hAnsi="宋体_GB2312" w:eastAsia="宋体_GB2312"/>
          <w:sz w:val="24"/>
          <w:szCs w:val="24"/>
        </w:rPr>
        <w:t>波长下的损耗变化值，损耗变化值应符合表</w:t>
      </w:r>
      <w:r>
        <w:rPr>
          <w:rFonts w:ascii="宋体_GB2312" w:hAnsi="宋体_GB2312" w:eastAsia="宋体_GB2312"/>
          <w:sz w:val="24"/>
          <w:szCs w:val="24"/>
        </w:rPr>
        <w:t>12</w:t>
      </w:r>
      <w:r>
        <w:rPr>
          <w:rFonts w:hint="eastAsia" w:ascii="宋体_GB2312" w:hAnsi="宋体_GB2312" w:eastAsia="宋体_GB2312"/>
          <w:sz w:val="24"/>
          <w:szCs w:val="24"/>
        </w:rPr>
        <w:t>的要求，从卷筒上取下组件，目视检查光缆外观是否有裂纹、变形等异常现象。</w:t>
      </w:r>
    </w:p>
    <w:p>
      <w:pPr>
        <w:pStyle w:val="5"/>
        <w:spacing w:after="12"/>
        <w:rPr>
          <w:rFonts w:ascii="宋体_GB2312" w:hAnsi="宋体_GB2312" w:eastAsia="宋体_GB2312"/>
        </w:rPr>
      </w:pPr>
      <w:r>
        <w:rPr>
          <w:rFonts w:ascii="宋体_GB2312" w:hAnsi="宋体_GB2312" w:eastAsia="宋体_GB2312"/>
          <w:lang w:eastAsia="zh-CN"/>
        </w:rPr>
        <w:t>3.6.5.4</w:t>
      </w:r>
      <w:r>
        <w:rPr>
          <w:rFonts w:hint="eastAsia" w:ascii="宋体_GB2312" w:hAnsi="宋体_GB2312" w:eastAsia="宋体_GB2312"/>
        </w:rPr>
        <w:t>跌落</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高度</w:t>
      </w:r>
      <w:r>
        <w:rPr>
          <w:rFonts w:ascii="宋体_GB2312" w:hAnsi="宋体_GB2312" w:eastAsia="宋体_GB2312"/>
          <w:sz w:val="24"/>
          <w:szCs w:val="24"/>
        </w:rPr>
        <w:t xml:space="preserve">：1.5m；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次数</w:t>
      </w:r>
      <w:r>
        <w:rPr>
          <w:rFonts w:ascii="宋体_GB2312" w:hAnsi="宋体_GB2312" w:eastAsia="宋体_GB2312"/>
          <w:sz w:val="24"/>
          <w:szCs w:val="24"/>
        </w:rPr>
        <w:t>：8</w:t>
      </w:r>
      <w:r>
        <w:rPr>
          <w:rFonts w:hint="eastAsia" w:ascii="宋体_GB2312" w:hAnsi="宋体_GB2312" w:eastAsia="宋体_GB2312"/>
          <w:sz w:val="24"/>
          <w:szCs w:val="24"/>
        </w:rPr>
        <w:t>次。</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波长下的插入损耗作为初始值</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试验装置如图</w:t>
      </w:r>
      <w:r>
        <w:rPr>
          <w:rFonts w:ascii="宋体_GB2312" w:hAnsi="宋体_GB2312" w:eastAsia="宋体_GB2312"/>
          <w:sz w:val="24"/>
          <w:szCs w:val="24"/>
        </w:rPr>
        <w:t>10</w:t>
      </w:r>
      <w:r>
        <w:rPr>
          <w:rFonts w:hint="eastAsia" w:ascii="宋体_GB2312" w:hAnsi="宋体_GB2312" w:eastAsia="宋体_GB2312"/>
          <w:sz w:val="24"/>
          <w:szCs w:val="24"/>
        </w:rPr>
        <w:t>所示，将试样光缆按照图</w:t>
      </w:r>
      <w:r>
        <w:rPr>
          <w:rFonts w:ascii="宋体_GB2312" w:hAnsi="宋体_GB2312" w:eastAsia="宋体_GB2312"/>
          <w:sz w:val="24"/>
          <w:szCs w:val="24"/>
        </w:rPr>
        <w:t>10</w:t>
      </w:r>
      <w:r>
        <w:rPr>
          <w:rFonts w:hint="eastAsia" w:ascii="宋体_GB2312" w:hAnsi="宋体_GB2312" w:eastAsia="宋体_GB2312"/>
          <w:sz w:val="24"/>
          <w:szCs w:val="24"/>
        </w:rPr>
        <w:t>进行垂直安装</w:t>
      </w:r>
      <w:r>
        <w:rPr>
          <w:rFonts w:ascii="宋体_GB2312" w:hAnsi="宋体_GB2312" w:eastAsia="宋体_GB2312"/>
          <w:sz w:val="24"/>
          <w:szCs w:val="24"/>
        </w:rPr>
        <w:t>；</w:t>
      </w:r>
    </w:p>
    <w:p>
      <w:pPr>
        <w:spacing w:before="120" w:beforeLines="50" w:line="300" w:lineRule="auto"/>
        <w:ind w:firstLine="420" w:firstLineChars="200"/>
        <w:jc w:val="center"/>
        <w:rPr>
          <w:rFonts w:ascii="宋体_GB2312" w:hAnsi="宋体_GB2312" w:eastAsia="宋体_GB2312"/>
          <w:sz w:val="24"/>
          <w:szCs w:val="24"/>
        </w:rPr>
      </w:pPr>
      <w:r>
        <w:rPr>
          <w:rFonts w:ascii="宋体_GB2312" w:hAnsi="宋体_GB2312" w:eastAsia="宋体_GB2312"/>
        </w:rPr>
        <w:drawing>
          <wp:inline distT="0" distB="0" distL="0" distR="0">
            <wp:extent cx="4200525" cy="302895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6"/>
                    <a:stretch>
                      <a:fillRect/>
                    </a:stretch>
                  </pic:blipFill>
                  <pic:spPr>
                    <a:xfrm>
                      <a:off x="0" y="0"/>
                      <a:ext cx="4200525" cy="3028950"/>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10 </w:t>
      </w:r>
      <w:r>
        <w:rPr>
          <w:rFonts w:hint="eastAsia" w:ascii="宋体_GB2312" w:hAnsi="宋体_GB2312" w:eastAsia="宋体_GB2312"/>
          <w:sz w:val="24"/>
          <w:szCs w:val="24"/>
        </w:rPr>
        <w:t>跌落试验示意</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将连接器插头抬高至</w:t>
      </w:r>
      <w:r>
        <w:rPr>
          <w:rFonts w:ascii="宋体_GB2312" w:hAnsi="宋体_GB2312" w:eastAsia="宋体_GB2312"/>
          <w:sz w:val="24"/>
          <w:szCs w:val="24"/>
        </w:rPr>
        <w:t>1.5m</w:t>
      </w:r>
      <w:r>
        <w:rPr>
          <w:rFonts w:hint="eastAsia" w:ascii="宋体_GB2312" w:hAnsi="宋体_GB2312" w:eastAsia="宋体_GB2312"/>
          <w:sz w:val="24"/>
          <w:szCs w:val="24"/>
        </w:rPr>
        <w:t>，然后自由降落，使连接器插头撞击到金属块上，撞击</w:t>
      </w:r>
      <w:r>
        <w:rPr>
          <w:rFonts w:ascii="宋体_GB2312" w:hAnsi="宋体_GB2312" w:eastAsia="宋体_GB2312"/>
          <w:sz w:val="24"/>
          <w:szCs w:val="24"/>
        </w:rPr>
        <w:t>8</w:t>
      </w:r>
      <w:r>
        <w:rPr>
          <w:rFonts w:hint="eastAsia" w:ascii="宋体_GB2312" w:hAnsi="宋体_GB2312" w:eastAsia="宋体_GB2312"/>
          <w:sz w:val="24"/>
          <w:szCs w:val="24"/>
        </w:rPr>
        <w:t>次</w:t>
      </w:r>
      <w:r>
        <w:rPr>
          <w:rFonts w:ascii="宋体_GB2312" w:hAnsi="宋体_GB2312" w:eastAsia="宋体_GB2312"/>
          <w:sz w:val="24"/>
          <w:szCs w:val="24"/>
        </w:rPr>
        <w:t>；</w:t>
      </w:r>
      <w:r>
        <w:rPr>
          <w:rFonts w:hint="eastAsia" w:ascii="宋体_GB2312" w:hAnsi="宋体_GB2312" w:eastAsia="宋体_GB2312"/>
          <w:sz w:val="24"/>
          <w:szCs w:val="24"/>
        </w:rPr>
        <w:t>双端组件仅测试一端</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取下试样，目视检查组件是否有机械损伤，如变形、龟裂、松弛、脱落等现象，测试组件在</w:t>
      </w:r>
      <w:r>
        <w:rPr>
          <w:rFonts w:ascii="宋体_GB2312" w:hAnsi="宋体_GB2312" w:eastAsia="宋体_GB2312"/>
          <w:sz w:val="24"/>
          <w:szCs w:val="24"/>
        </w:rPr>
        <w:t xml:space="preserve">1310nm </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波长下的插入损耗，测试结果应符合表</w:t>
      </w:r>
      <w:r>
        <w:rPr>
          <w:rFonts w:ascii="宋体_GB2312" w:hAnsi="宋体_GB2312" w:eastAsia="宋体_GB2312"/>
          <w:sz w:val="24"/>
          <w:szCs w:val="24"/>
        </w:rPr>
        <w:t>12</w:t>
      </w:r>
      <w:r>
        <w:rPr>
          <w:rFonts w:hint="eastAsia" w:ascii="宋体_GB2312" w:hAnsi="宋体_GB2312" w:eastAsia="宋体_GB2312"/>
          <w:sz w:val="24"/>
          <w:szCs w:val="24"/>
        </w:rPr>
        <w:t>的要求。</w:t>
      </w:r>
    </w:p>
    <w:p>
      <w:pPr>
        <w:pStyle w:val="5"/>
        <w:spacing w:after="12"/>
        <w:rPr>
          <w:rFonts w:ascii="宋体_GB2312" w:hAnsi="宋体_GB2312" w:eastAsia="宋体_GB2312"/>
        </w:rPr>
      </w:pPr>
      <w:r>
        <w:rPr>
          <w:rFonts w:ascii="宋体_GB2312" w:hAnsi="宋体_GB2312" w:eastAsia="宋体_GB2312"/>
          <w:lang w:eastAsia="zh-CN"/>
        </w:rPr>
        <w:t>3.6.5.5</w:t>
      </w:r>
      <w:r>
        <w:rPr>
          <w:rFonts w:hint="eastAsia" w:ascii="宋体_GB2312" w:hAnsi="宋体_GB2312" w:eastAsia="宋体_GB2312"/>
        </w:rPr>
        <w:t>振动</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频率</w:t>
      </w:r>
      <w:r>
        <w:rPr>
          <w:rFonts w:ascii="宋体_GB2312" w:hAnsi="宋体_GB2312" w:eastAsia="宋体_GB2312"/>
          <w:sz w:val="24"/>
          <w:szCs w:val="24"/>
        </w:rPr>
        <w:t>：10Hz</w:t>
      </w:r>
      <w:r>
        <w:rPr>
          <w:rFonts w:hint="eastAsia" w:ascii="宋体_GB2312" w:hAnsi="宋体_GB2312" w:eastAsia="宋体_GB2312"/>
          <w:sz w:val="24"/>
          <w:szCs w:val="24"/>
        </w:rPr>
        <w:t>～</w:t>
      </w:r>
      <w:r>
        <w:rPr>
          <w:rFonts w:ascii="宋体_GB2312" w:hAnsi="宋体_GB2312" w:eastAsia="宋体_GB2312"/>
          <w:sz w:val="24"/>
          <w:szCs w:val="24"/>
        </w:rPr>
        <w:t xml:space="preserve">55Hz；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扫频</w:t>
      </w:r>
      <w:r>
        <w:rPr>
          <w:rFonts w:ascii="宋体_GB2312" w:hAnsi="宋体_GB2312" w:eastAsia="宋体_GB2312"/>
          <w:sz w:val="24"/>
          <w:szCs w:val="24"/>
        </w:rPr>
        <w:t>：</w:t>
      </w:r>
      <w:r>
        <w:rPr>
          <w:rFonts w:hint="eastAsia" w:ascii="宋体_GB2312" w:hAnsi="宋体_GB2312" w:eastAsia="宋体_GB2312"/>
          <w:sz w:val="24"/>
          <w:szCs w:val="24"/>
        </w:rPr>
        <w:t>扫频</w:t>
      </w:r>
      <w:r>
        <w:rPr>
          <w:rFonts w:ascii="宋体_GB2312" w:hAnsi="宋体_GB2312" w:eastAsia="宋体_GB2312"/>
          <w:sz w:val="24"/>
          <w:szCs w:val="24"/>
        </w:rPr>
        <w:t>1</w:t>
      </w:r>
      <w:r>
        <w:rPr>
          <w:rFonts w:hint="eastAsia" w:ascii="宋体_GB2312" w:hAnsi="宋体_GB2312" w:eastAsia="宋体_GB2312"/>
          <w:sz w:val="24"/>
          <w:szCs w:val="24"/>
        </w:rPr>
        <w:t>次</w:t>
      </w:r>
      <w:r>
        <w:rPr>
          <w:rFonts w:ascii="宋体_GB2312" w:hAnsi="宋体_GB2312" w:eastAsia="宋体_GB2312"/>
          <w:sz w:val="24"/>
          <w:szCs w:val="24"/>
        </w:rPr>
        <w:t>/min,</w:t>
      </w:r>
      <w:r>
        <w:rPr>
          <w:rFonts w:hint="eastAsia" w:ascii="宋体_GB2312" w:hAnsi="宋体_GB2312" w:eastAsia="宋体_GB2312"/>
          <w:sz w:val="24"/>
          <w:szCs w:val="24"/>
        </w:rPr>
        <w:t>频程</w:t>
      </w:r>
      <w:r>
        <w:rPr>
          <w:rFonts w:ascii="宋体_GB2312" w:hAnsi="宋体_GB2312" w:eastAsia="宋体_GB2312"/>
          <w:sz w:val="24"/>
          <w:szCs w:val="24"/>
        </w:rPr>
        <w:t xml:space="preserve">45Hz；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振幅</w:t>
      </w:r>
      <w:r>
        <w:rPr>
          <w:rFonts w:ascii="宋体_GB2312" w:hAnsi="宋体_GB2312" w:eastAsia="宋体_GB2312"/>
          <w:sz w:val="24"/>
          <w:szCs w:val="24"/>
        </w:rPr>
        <w:t>：0.75mm</w:t>
      </w:r>
      <w:r>
        <w:rPr>
          <w:rFonts w:hint="eastAsia" w:ascii="宋体_GB2312" w:hAnsi="宋体_GB2312" w:eastAsia="宋体_GB2312"/>
          <w:sz w:val="24"/>
          <w:szCs w:val="24"/>
        </w:rPr>
        <w:t>单振幅</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时间</w:t>
      </w:r>
      <w:r>
        <w:rPr>
          <w:rFonts w:ascii="宋体_GB2312" w:hAnsi="宋体_GB2312" w:eastAsia="宋体_GB2312"/>
          <w:sz w:val="24"/>
          <w:szCs w:val="24"/>
        </w:rPr>
        <w:t>：</w:t>
      </w:r>
      <w:r>
        <w:rPr>
          <w:rFonts w:hint="eastAsia" w:ascii="宋体_GB2312" w:hAnsi="宋体_GB2312" w:eastAsia="宋体_GB2312"/>
          <w:sz w:val="24"/>
          <w:szCs w:val="24"/>
        </w:rPr>
        <w:t>两个方向，各</w:t>
      </w:r>
      <w:r>
        <w:rPr>
          <w:rFonts w:ascii="宋体_GB2312" w:hAnsi="宋体_GB2312" w:eastAsia="宋体_GB2312"/>
          <w:sz w:val="24"/>
          <w:szCs w:val="24"/>
        </w:rPr>
        <w:t>2h</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波长下的插入损耗值作为初始值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将组件成圈固定在振动台上，按照试验条件进行振动</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取下试样，目视检查组件是否有机械损伤，如变形、龟裂、松弛、脱落等现象，测试组件在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波长下的插入损耗，测试结果应符合表</w:t>
      </w:r>
      <w:r>
        <w:rPr>
          <w:rFonts w:ascii="宋体_GB2312" w:hAnsi="宋体_GB2312" w:eastAsia="宋体_GB2312"/>
          <w:sz w:val="24"/>
          <w:szCs w:val="24"/>
        </w:rPr>
        <w:t>12</w:t>
      </w:r>
      <w:r>
        <w:rPr>
          <w:rFonts w:hint="eastAsia" w:ascii="宋体_GB2312" w:hAnsi="宋体_GB2312" w:eastAsia="宋体_GB2312"/>
          <w:sz w:val="24"/>
          <w:szCs w:val="24"/>
        </w:rPr>
        <w:t>的要求。</w:t>
      </w:r>
    </w:p>
    <w:p>
      <w:pPr>
        <w:pStyle w:val="5"/>
        <w:spacing w:after="12"/>
        <w:rPr>
          <w:rFonts w:ascii="宋体_GB2312" w:hAnsi="宋体_GB2312" w:eastAsia="宋体_GB2312"/>
        </w:rPr>
      </w:pPr>
      <w:r>
        <w:rPr>
          <w:rFonts w:ascii="宋体_GB2312" w:hAnsi="宋体_GB2312" w:eastAsia="宋体_GB2312"/>
          <w:lang w:eastAsia="zh-CN"/>
        </w:rPr>
        <w:t>3.6.5.6</w:t>
      </w:r>
      <w:r>
        <w:rPr>
          <w:rFonts w:hint="eastAsia" w:ascii="宋体_GB2312" w:hAnsi="宋体_GB2312" w:eastAsia="宋体_GB2312"/>
        </w:rPr>
        <w:t>机械耐久性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插拔次数</w:t>
      </w:r>
      <w:r>
        <w:rPr>
          <w:rFonts w:ascii="宋体_GB2312" w:hAnsi="宋体_GB2312" w:eastAsia="宋体_GB2312"/>
          <w:sz w:val="24"/>
          <w:szCs w:val="24"/>
        </w:rPr>
        <w:t>：500</w:t>
      </w:r>
      <w:r>
        <w:rPr>
          <w:rFonts w:hint="eastAsia" w:ascii="宋体_GB2312" w:hAnsi="宋体_GB2312" w:eastAsia="宋体_GB2312"/>
          <w:sz w:val="24"/>
          <w:szCs w:val="24"/>
        </w:rPr>
        <w:t>次。</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试验样品为</w:t>
      </w:r>
      <w:r>
        <w:rPr>
          <w:rFonts w:ascii="宋体_GB2312" w:hAnsi="宋体_GB2312" w:eastAsia="宋体_GB2312"/>
          <w:sz w:val="24"/>
          <w:szCs w:val="24"/>
        </w:rPr>
        <w:t>2</w:t>
      </w:r>
      <w:r>
        <w:rPr>
          <w:rFonts w:hint="eastAsia" w:ascii="宋体_GB2312" w:hAnsi="宋体_GB2312" w:eastAsia="宋体_GB2312"/>
          <w:sz w:val="24"/>
          <w:szCs w:val="24"/>
        </w:rPr>
        <w:t>个组件，中间用适配器连接，两头分别与光源光功率计耦合，待测试系统稳定后，从光功率计分别读取在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保持光源和光功率计与组件的耦合状态不变，</w:t>
      </w:r>
      <w:r>
        <w:rPr>
          <w:rFonts w:ascii="宋体_GB2312" w:hAnsi="宋体_GB2312" w:eastAsia="宋体_GB2312"/>
          <w:sz w:val="24"/>
          <w:szCs w:val="24"/>
        </w:rPr>
        <w:t>2</w:t>
      </w:r>
      <w:r>
        <w:rPr>
          <w:rFonts w:hint="eastAsia" w:ascii="宋体_GB2312" w:hAnsi="宋体_GB2312" w:eastAsia="宋体_GB2312"/>
          <w:sz w:val="24"/>
          <w:szCs w:val="24"/>
        </w:rPr>
        <w:t>个组件的插头通过适配器进行反复插拔，每次插拔插头需插到正常使用位置</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插拔可以使用合适的设备进行机械式自动插拔，也可人工方式进行插拔。</w:t>
      </w:r>
      <w:r>
        <w:rPr>
          <w:rFonts w:ascii="宋体_GB2312" w:hAnsi="宋体_GB2312" w:eastAsia="宋体_GB2312"/>
          <w:sz w:val="24"/>
          <w:szCs w:val="24"/>
        </w:rPr>
        <w:t>FC</w:t>
      </w:r>
      <w:r>
        <w:rPr>
          <w:rFonts w:hint="eastAsia" w:ascii="宋体_GB2312" w:hAnsi="宋体_GB2312" w:eastAsia="宋体_GB2312"/>
          <w:sz w:val="24"/>
          <w:szCs w:val="24"/>
        </w:rPr>
        <w:t>型连接器的组件每次插拔可以不拧紧锁紧机构</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插拔</w:t>
      </w:r>
      <w:r>
        <w:rPr>
          <w:rFonts w:ascii="宋体_GB2312" w:hAnsi="宋体_GB2312" w:eastAsia="宋体_GB2312"/>
          <w:sz w:val="24"/>
          <w:szCs w:val="24"/>
        </w:rPr>
        <w:t>500</w:t>
      </w:r>
      <w:r>
        <w:rPr>
          <w:rFonts w:hint="eastAsia" w:ascii="宋体_GB2312" w:hAnsi="宋体_GB2312" w:eastAsia="宋体_GB2312"/>
          <w:sz w:val="24"/>
          <w:szCs w:val="24"/>
        </w:rPr>
        <w:t>次后再从功率计分别读取在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波长下的损耗变化值，目视检查组件是否有机械损伤，如变形、龟裂、松弛、脱落等现象。</w:t>
      </w:r>
    </w:p>
    <w:p>
      <w:pPr>
        <w:pStyle w:val="5"/>
        <w:spacing w:after="12"/>
        <w:rPr>
          <w:rFonts w:ascii="宋体_GB2312" w:hAnsi="宋体_GB2312" w:eastAsia="宋体_GB2312"/>
        </w:rPr>
      </w:pPr>
      <w:r>
        <w:rPr>
          <w:rFonts w:ascii="宋体_GB2312" w:hAnsi="宋体_GB2312" w:eastAsia="宋体_GB2312"/>
        </w:rPr>
        <w:t>3.6.5.7</w:t>
      </w:r>
      <w:r>
        <w:rPr>
          <w:rFonts w:hint="eastAsia" w:ascii="宋体_GB2312" w:hAnsi="宋体_GB2312" w:eastAsia="宋体_GB2312"/>
        </w:rPr>
        <w:t>插、拔力</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将适配器夹持在拉力机的上夹具上，手持连接器插头，与适配器插拔，从拉力机上读取最大拔出力和最大插入力</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插拔时应保证插头与适配器插孔同心，同时插头定位与适配器定位方向应一致</w:t>
      </w:r>
      <w:r>
        <w:rPr>
          <w:rFonts w:ascii="宋体_GB2312" w:hAnsi="宋体_GB2312" w:eastAsia="宋体_GB2312"/>
          <w:sz w:val="24"/>
          <w:szCs w:val="24"/>
        </w:rPr>
        <w:t>；</w:t>
      </w:r>
      <w:r>
        <w:rPr>
          <w:rFonts w:hint="eastAsia" w:ascii="宋体_GB2312" w:hAnsi="宋体_GB2312" w:eastAsia="宋体_GB2312"/>
          <w:sz w:val="24"/>
          <w:szCs w:val="24"/>
        </w:rPr>
        <w:t>手持连接器插头时，</w:t>
      </w:r>
      <w:r>
        <w:rPr>
          <w:rFonts w:ascii="宋体_GB2312" w:hAnsi="宋体_GB2312" w:eastAsia="宋体_GB2312"/>
          <w:sz w:val="24"/>
          <w:szCs w:val="24"/>
        </w:rPr>
        <w:t>SC</w:t>
      </w:r>
      <w:r>
        <w:rPr>
          <w:rFonts w:hint="eastAsia" w:ascii="宋体_GB2312" w:hAnsi="宋体_GB2312" w:eastAsia="宋体_GB2312"/>
          <w:sz w:val="24"/>
          <w:szCs w:val="24"/>
        </w:rPr>
        <w:t>连接器插头须手持在外壳</w:t>
      </w:r>
      <w:r>
        <w:rPr>
          <w:rFonts w:ascii="宋体_GB2312" w:hAnsi="宋体_GB2312" w:eastAsia="宋体_GB2312"/>
          <w:sz w:val="24"/>
          <w:szCs w:val="24"/>
        </w:rPr>
        <w:t xml:space="preserve"> (</w:t>
      </w:r>
      <w:r>
        <w:rPr>
          <w:rFonts w:hint="eastAsia" w:ascii="宋体_GB2312" w:hAnsi="宋体_GB2312" w:eastAsia="宋体_GB2312"/>
          <w:sz w:val="24"/>
          <w:szCs w:val="24"/>
        </w:rPr>
        <w:t>插入导向塑料件</w:t>
      </w:r>
      <w:r>
        <w:rPr>
          <w:rFonts w:ascii="宋体_GB2312" w:hAnsi="宋体_GB2312" w:eastAsia="宋体_GB2312"/>
          <w:sz w:val="24"/>
          <w:szCs w:val="24"/>
        </w:rPr>
        <w:t>)</w:t>
      </w:r>
      <w:r>
        <w:rPr>
          <w:rFonts w:hint="eastAsia" w:ascii="宋体_GB2312" w:hAnsi="宋体_GB2312" w:eastAsia="宋体_GB2312"/>
          <w:sz w:val="24"/>
          <w:szCs w:val="24"/>
        </w:rPr>
        <w:t>的尾部，以保证测试的是插拔力</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插拔</w:t>
      </w:r>
      <w:r>
        <w:rPr>
          <w:rFonts w:ascii="宋体_GB2312" w:hAnsi="宋体_GB2312" w:eastAsia="宋体_GB2312"/>
          <w:sz w:val="24"/>
          <w:szCs w:val="24"/>
        </w:rPr>
        <w:t>3</w:t>
      </w:r>
      <w:r>
        <w:rPr>
          <w:rFonts w:hint="eastAsia" w:ascii="宋体_GB2312" w:hAnsi="宋体_GB2312" w:eastAsia="宋体_GB2312"/>
          <w:sz w:val="24"/>
          <w:szCs w:val="24"/>
        </w:rPr>
        <w:t>次，分别得出</w:t>
      </w:r>
      <w:r>
        <w:rPr>
          <w:rFonts w:ascii="宋体_GB2312" w:hAnsi="宋体_GB2312" w:eastAsia="宋体_GB2312"/>
          <w:sz w:val="24"/>
          <w:szCs w:val="24"/>
        </w:rPr>
        <w:t>3</w:t>
      </w:r>
      <w:r>
        <w:rPr>
          <w:rFonts w:hint="eastAsia" w:ascii="宋体_GB2312" w:hAnsi="宋体_GB2312" w:eastAsia="宋体_GB2312"/>
          <w:sz w:val="24"/>
          <w:szCs w:val="24"/>
        </w:rPr>
        <w:t>个拔出力和</w:t>
      </w:r>
      <w:r>
        <w:rPr>
          <w:rFonts w:ascii="宋体_GB2312" w:hAnsi="宋体_GB2312" w:eastAsia="宋体_GB2312"/>
          <w:sz w:val="24"/>
          <w:szCs w:val="24"/>
        </w:rPr>
        <w:t>3</w:t>
      </w:r>
      <w:r>
        <w:rPr>
          <w:rFonts w:hint="eastAsia" w:ascii="宋体_GB2312" w:hAnsi="宋体_GB2312" w:eastAsia="宋体_GB2312"/>
          <w:sz w:val="24"/>
          <w:szCs w:val="24"/>
        </w:rPr>
        <w:t>个插入力，结果分别取</w:t>
      </w:r>
      <w:r>
        <w:rPr>
          <w:rFonts w:ascii="宋体_GB2312" w:hAnsi="宋体_GB2312" w:eastAsia="宋体_GB2312"/>
          <w:sz w:val="24"/>
          <w:szCs w:val="24"/>
        </w:rPr>
        <w:t>3</w:t>
      </w:r>
      <w:r>
        <w:rPr>
          <w:rFonts w:hint="eastAsia" w:ascii="宋体_GB2312" w:hAnsi="宋体_GB2312" w:eastAsia="宋体_GB2312"/>
          <w:sz w:val="24"/>
          <w:szCs w:val="24"/>
        </w:rPr>
        <w:t>个测试值的最大值，拔出力和插入力应符合表</w:t>
      </w:r>
      <w:r>
        <w:rPr>
          <w:rFonts w:ascii="宋体_GB2312" w:hAnsi="宋体_GB2312" w:eastAsia="宋体_GB2312"/>
          <w:sz w:val="24"/>
          <w:szCs w:val="24"/>
        </w:rPr>
        <w:t>12</w:t>
      </w:r>
      <w:r>
        <w:rPr>
          <w:rFonts w:hint="eastAsia" w:ascii="宋体_GB2312" w:hAnsi="宋体_GB2312" w:eastAsia="宋体_GB2312"/>
          <w:sz w:val="24"/>
          <w:szCs w:val="24"/>
        </w:rPr>
        <w:t>的要求，目视检查组件是否有机械损伤，如变形、龟裂、松弛、脱落等现象</w:t>
      </w:r>
      <w:r>
        <w:rPr>
          <w:rFonts w:ascii="宋体_GB2312" w:hAnsi="宋体_GB2312" w:eastAsia="宋体_GB2312"/>
          <w:sz w:val="24"/>
          <w:szCs w:val="24"/>
        </w:rPr>
        <w:t>；</w:t>
      </w:r>
      <w:r>
        <w:rPr>
          <w:rFonts w:hint="eastAsia" w:ascii="宋体_GB2312" w:hAnsi="宋体_GB2312" w:eastAsia="宋体_GB2312"/>
          <w:sz w:val="24"/>
          <w:szCs w:val="24"/>
        </w:rPr>
        <w:t>双端组件仅测试一端</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试验也可在具有显示插拔力功能的通用连接器插拔试验机上进行，插拔速度宜为</w:t>
      </w:r>
      <w:r>
        <w:rPr>
          <w:rFonts w:ascii="宋体_GB2312" w:hAnsi="宋体_GB2312" w:eastAsia="宋体_GB2312"/>
          <w:sz w:val="24"/>
          <w:szCs w:val="24"/>
        </w:rPr>
        <w:t>24</w:t>
      </w:r>
      <w:r>
        <w:rPr>
          <w:rFonts w:hint="eastAsia" w:ascii="宋体_GB2312" w:hAnsi="宋体_GB2312" w:eastAsia="宋体_GB2312"/>
          <w:sz w:val="24"/>
          <w:szCs w:val="24"/>
        </w:rPr>
        <w:t>次</w:t>
      </w:r>
      <w:r>
        <w:rPr>
          <w:rFonts w:ascii="宋体_GB2312" w:hAnsi="宋体_GB2312" w:eastAsia="宋体_GB2312"/>
          <w:sz w:val="24"/>
          <w:szCs w:val="24"/>
        </w:rPr>
        <w:t>/min</w:t>
      </w:r>
      <w:r>
        <w:rPr>
          <w:rFonts w:hint="eastAsia" w:ascii="宋体_GB2312" w:hAnsi="宋体_GB2312" w:eastAsia="宋体_GB2312"/>
          <w:sz w:val="24"/>
          <w:szCs w:val="24"/>
        </w:rPr>
        <w:t>。采用拉力机时：5mm/min。</w:t>
      </w:r>
    </w:p>
    <w:p>
      <w:pPr>
        <w:pStyle w:val="5"/>
        <w:spacing w:after="12"/>
        <w:rPr>
          <w:rFonts w:ascii="宋体_GB2312" w:hAnsi="宋体_GB2312" w:eastAsia="宋体_GB2312"/>
        </w:rPr>
      </w:pPr>
      <w:r>
        <w:rPr>
          <w:rFonts w:ascii="宋体_GB2312" w:hAnsi="宋体_GB2312" w:eastAsia="宋体_GB2312"/>
        </w:rPr>
        <w:t>3.6.5.8</w:t>
      </w:r>
      <w:r>
        <w:rPr>
          <w:rFonts w:hint="eastAsia" w:ascii="宋体_GB2312" w:hAnsi="宋体_GB2312" w:eastAsia="宋体_GB2312"/>
        </w:rPr>
        <w:t>锁紧机械强度</w:t>
      </w:r>
      <w:r>
        <w:rPr>
          <w:rFonts w:ascii="宋体_GB2312" w:hAnsi="宋体_GB2312" w:eastAsia="宋体_GB2312"/>
        </w:rPr>
        <w:t>(</w:t>
      </w:r>
      <w:r>
        <w:rPr>
          <w:rFonts w:hint="eastAsia" w:ascii="宋体_GB2312" w:hAnsi="宋体_GB2312" w:eastAsia="宋体_GB2312"/>
        </w:rPr>
        <w:t>适用于</w:t>
      </w:r>
      <w:r>
        <w:rPr>
          <w:rFonts w:ascii="宋体_GB2312" w:hAnsi="宋体_GB2312" w:eastAsia="宋体_GB2312"/>
        </w:rPr>
        <w:t>SC</w:t>
      </w:r>
      <w:r>
        <w:rPr>
          <w:rFonts w:hint="eastAsia" w:ascii="宋体_GB2312" w:hAnsi="宋体_GB2312" w:eastAsia="宋体_GB2312"/>
        </w:rPr>
        <w:t>型、</w:t>
      </w:r>
      <w:r>
        <w:rPr>
          <w:rFonts w:ascii="宋体_GB2312" w:hAnsi="宋体_GB2312" w:eastAsia="宋体_GB2312"/>
        </w:rPr>
        <w:t>LC</w:t>
      </w:r>
      <w:r>
        <w:rPr>
          <w:rFonts w:hint="eastAsia" w:ascii="宋体_GB2312" w:hAnsi="宋体_GB2312" w:eastAsia="宋体_GB2312"/>
        </w:rPr>
        <w:t>型连接器</w:t>
      </w:r>
      <w:r>
        <w:rPr>
          <w:rFonts w:ascii="宋体_GB2312" w:hAnsi="宋体_GB2312" w:eastAsia="宋体_GB2312"/>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拉力</w:t>
      </w:r>
      <w:r>
        <w:rPr>
          <w:rFonts w:ascii="宋体_GB2312" w:hAnsi="宋体_GB2312" w:eastAsia="宋体_GB2312"/>
          <w:sz w:val="24"/>
          <w:szCs w:val="24"/>
        </w:rPr>
        <w:t xml:space="preserve">：30N；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时间</w:t>
      </w:r>
      <w:r>
        <w:rPr>
          <w:rFonts w:ascii="宋体_GB2312" w:hAnsi="宋体_GB2312" w:eastAsia="宋体_GB2312"/>
          <w:sz w:val="24"/>
          <w:szCs w:val="24"/>
        </w:rPr>
        <w:t xml:space="preserve">：10min；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加力点距离连接器插头长度</w:t>
      </w:r>
      <w:r>
        <w:rPr>
          <w:rFonts w:ascii="宋体_GB2312" w:hAnsi="宋体_GB2312" w:eastAsia="宋体_GB2312"/>
          <w:sz w:val="24"/>
          <w:szCs w:val="24"/>
        </w:rPr>
        <w:t>A： 250mm</w:t>
      </w:r>
      <w:r>
        <w:rPr>
          <w:rFonts w:hint="eastAsia" w:ascii="宋体_GB2312" w:hAnsi="宋体_GB2312" w:eastAsia="宋体_GB2312"/>
          <w:sz w:val="24"/>
          <w:szCs w:val="24"/>
        </w:rPr>
        <w:t>±</w:t>
      </w:r>
      <w:r>
        <w:rPr>
          <w:rFonts w:ascii="宋体_GB2312" w:hAnsi="宋体_GB2312" w:eastAsia="宋体_GB2312"/>
          <w:sz w:val="24"/>
          <w:szCs w:val="24"/>
        </w:rPr>
        <w:t>20mm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试样安装如图</w:t>
      </w:r>
      <w:r>
        <w:rPr>
          <w:rFonts w:ascii="宋体_GB2312" w:hAnsi="宋体_GB2312" w:eastAsia="宋体_GB2312"/>
          <w:sz w:val="24"/>
          <w:szCs w:val="24"/>
        </w:rPr>
        <w:t>11</w:t>
      </w:r>
      <w:r>
        <w:rPr>
          <w:rFonts w:hint="eastAsia" w:ascii="宋体_GB2312" w:hAnsi="宋体_GB2312" w:eastAsia="宋体_GB2312"/>
          <w:sz w:val="24"/>
          <w:szCs w:val="24"/>
        </w:rPr>
        <w:t>所示</w:t>
      </w:r>
      <w:r>
        <w:rPr>
          <w:rFonts w:ascii="宋体_GB2312" w:hAnsi="宋体_GB2312" w:eastAsia="宋体_GB2312"/>
          <w:sz w:val="24"/>
          <w:szCs w:val="24"/>
        </w:rPr>
        <w:t>；</w:t>
      </w:r>
      <w:r>
        <w:rPr>
          <w:rFonts w:hint="eastAsia" w:ascii="宋体_GB2312" w:hAnsi="宋体_GB2312" w:eastAsia="宋体_GB2312"/>
          <w:sz w:val="24"/>
          <w:szCs w:val="24"/>
        </w:rPr>
        <w:t>双端组件仅测试一端</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连接器插头与适配器正常连接，加力点距离连接器插头的长度</w:t>
      </w:r>
      <w:r>
        <w:rPr>
          <w:rFonts w:ascii="宋体_GB2312" w:hAnsi="宋体_GB2312" w:eastAsia="宋体_GB2312"/>
          <w:sz w:val="24"/>
          <w:szCs w:val="24"/>
        </w:rPr>
        <w:t>A</w:t>
      </w:r>
      <w:r>
        <w:rPr>
          <w:rFonts w:hint="eastAsia" w:ascii="宋体_GB2312" w:hAnsi="宋体_GB2312" w:eastAsia="宋体_GB2312"/>
          <w:sz w:val="24"/>
          <w:szCs w:val="24"/>
        </w:rPr>
        <w:t>为</w:t>
      </w:r>
      <w:r>
        <w:rPr>
          <w:rFonts w:ascii="宋体_GB2312" w:hAnsi="宋体_GB2312" w:eastAsia="宋体_GB2312"/>
          <w:sz w:val="24"/>
          <w:szCs w:val="24"/>
        </w:rPr>
        <w:t>250mm</w:t>
      </w:r>
      <w:r>
        <w:rPr>
          <w:rFonts w:hint="eastAsia" w:ascii="宋体_GB2312" w:hAnsi="宋体_GB2312" w:eastAsia="宋体_GB2312"/>
          <w:sz w:val="24"/>
          <w:szCs w:val="24"/>
        </w:rPr>
        <w:t>±</w:t>
      </w:r>
      <w:r>
        <w:rPr>
          <w:rFonts w:ascii="宋体_GB2312" w:hAnsi="宋体_GB2312" w:eastAsia="宋体_GB2312"/>
          <w:sz w:val="24"/>
          <w:szCs w:val="24"/>
        </w:rPr>
        <w:t xml:space="preserve">20mm；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施加配重块，使拉力达到</w:t>
      </w:r>
      <w:r>
        <w:rPr>
          <w:rFonts w:ascii="宋体_GB2312" w:hAnsi="宋体_GB2312" w:eastAsia="宋体_GB2312"/>
          <w:sz w:val="24"/>
          <w:szCs w:val="24"/>
        </w:rPr>
        <w:t>30N</w:t>
      </w:r>
      <w:r>
        <w:rPr>
          <w:rFonts w:hint="eastAsia" w:ascii="宋体_GB2312" w:hAnsi="宋体_GB2312" w:eastAsia="宋体_GB2312"/>
          <w:sz w:val="24"/>
          <w:szCs w:val="24"/>
        </w:rPr>
        <w:t>，施加拉力时间</w:t>
      </w:r>
      <w:r>
        <w:rPr>
          <w:rFonts w:ascii="宋体_GB2312" w:hAnsi="宋体_GB2312" w:eastAsia="宋体_GB2312"/>
          <w:sz w:val="24"/>
          <w:szCs w:val="24"/>
        </w:rPr>
        <w:t xml:space="preserve">10min；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卸载配重块，取下试样，目视检查组件是否有机械损伤，如变形、龟裂</w:t>
      </w:r>
      <w:r>
        <w:rPr>
          <w:rFonts w:ascii="宋体_GB2312" w:hAnsi="宋体_GB2312" w:eastAsia="宋体_GB2312"/>
          <w:sz w:val="24"/>
          <w:szCs w:val="24"/>
        </w:rPr>
        <w:t xml:space="preserve"> </w:t>
      </w:r>
      <w:r>
        <w:rPr>
          <w:rFonts w:hint="eastAsia" w:ascii="宋体_GB2312" w:hAnsi="宋体_GB2312" w:eastAsia="宋体_GB2312"/>
          <w:sz w:val="24"/>
          <w:szCs w:val="24"/>
        </w:rPr>
        <w:t>、松弛、脱落等现象，测试组件在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波长下的插入损耗，测试结果应符合表</w:t>
      </w:r>
      <w:r>
        <w:rPr>
          <w:rFonts w:ascii="宋体_GB2312" w:hAnsi="宋体_GB2312" w:eastAsia="宋体_GB2312"/>
          <w:sz w:val="24"/>
          <w:szCs w:val="24"/>
        </w:rPr>
        <w:t>12</w:t>
      </w:r>
      <w:r>
        <w:rPr>
          <w:rFonts w:hint="eastAsia" w:ascii="宋体_GB2312" w:hAnsi="宋体_GB2312" w:eastAsia="宋体_GB2312"/>
          <w:sz w:val="24"/>
          <w:szCs w:val="24"/>
        </w:rPr>
        <w:t>的要求</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试验也可在拉力机上进行，拉伸速度为</w:t>
      </w:r>
      <w:r>
        <w:rPr>
          <w:rFonts w:ascii="宋体_GB2312" w:hAnsi="宋体_GB2312" w:eastAsia="宋体_GB2312"/>
          <w:sz w:val="24"/>
          <w:szCs w:val="24"/>
        </w:rPr>
        <w:t>25mm/min</w:t>
      </w:r>
      <w:r>
        <w:rPr>
          <w:rFonts w:hint="eastAsia" w:ascii="宋体_GB2312" w:hAnsi="宋体_GB2312" w:eastAsia="宋体_GB2312"/>
          <w:sz w:val="24"/>
          <w:szCs w:val="24"/>
        </w:rPr>
        <w:t>，然后以</w:t>
      </w:r>
      <w:r>
        <w:rPr>
          <w:rFonts w:ascii="宋体_GB2312" w:hAnsi="宋体_GB2312" w:eastAsia="宋体_GB2312"/>
          <w:sz w:val="24"/>
          <w:szCs w:val="24"/>
        </w:rPr>
        <w:t>30N</w:t>
      </w:r>
      <w:r>
        <w:rPr>
          <w:rFonts w:hint="eastAsia" w:ascii="宋体_GB2312" w:hAnsi="宋体_GB2312" w:eastAsia="宋体_GB2312"/>
          <w:sz w:val="24"/>
          <w:szCs w:val="24"/>
        </w:rPr>
        <w:t>的恒定拉力持续</w:t>
      </w:r>
      <w:r>
        <w:rPr>
          <w:rFonts w:ascii="宋体_GB2312" w:hAnsi="宋体_GB2312" w:eastAsia="宋体_GB2312"/>
          <w:sz w:val="24"/>
          <w:szCs w:val="24"/>
        </w:rPr>
        <w:t xml:space="preserve"> 10min</w:t>
      </w:r>
      <w:r>
        <w:rPr>
          <w:rFonts w:hint="eastAsia" w:ascii="宋体_GB2312" w:hAnsi="宋体_GB2312" w:eastAsia="宋体_GB2312"/>
          <w:sz w:val="24"/>
          <w:szCs w:val="24"/>
        </w:rPr>
        <w:t>。</w:t>
      </w:r>
    </w:p>
    <w:p>
      <w:pPr>
        <w:spacing w:before="120" w:beforeLines="50" w:line="300" w:lineRule="auto"/>
        <w:ind w:firstLine="420" w:firstLineChars="200"/>
        <w:jc w:val="center"/>
        <w:rPr>
          <w:rFonts w:ascii="宋体_GB2312" w:hAnsi="宋体_GB2312" w:eastAsia="宋体_GB2312"/>
          <w:sz w:val="24"/>
          <w:szCs w:val="24"/>
        </w:rPr>
      </w:pPr>
      <w:r>
        <w:rPr>
          <w:rFonts w:ascii="宋体_GB2312" w:hAnsi="宋体_GB2312" w:eastAsia="宋体_GB2312"/>
        </w:rPr>
        <w:drawing>
          <wp:inline distT="0" distB="0" distL="0" distR="0">
            <wp:extent cx="3000375" cy="31908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7"/>
                    <a:stretch>
                      <a:fillRect/>
                    </a:stretch>
                  </pic:blipFill>
                  <pic:spPr>
                    <a:xfrm>
                      <a:off x="0" y="0"/>
                      <a:ext cx="3000375" cy="3190875"/>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11 </w:t>
      </w:r>
      <w:r>
        <w:rPr>
          <w:rFonts w:hint="eastAsia" w:ascii="宋体_GB2312" w:hAnsi="宋体_GB2312" w:eastAsia="宋体_GB2312"/>
          <w:sz w:val="24"/>
          <w:szCs w:val="24"/>
        </w:rPr>
        <w:t>锁紧机械强度试验示意</w:t>
      </w:r>
    </w:p>
    <w:p>
      <w:pPr>
        <w:pStyle w:val="5"/>
        <w:spacing w:after="12"/>
        <w:rPr>
          <w:rFonts w:ascii="宋体_GB2312" w:hAnsi="宋体_GB2312" w:eastAsia="宋体_GB2312"/>
        </w:rPr>
      </w:pPr>
      <w:r>
        <w:rPr>
          <w:rFonts w:ascii="宋体_GB2312" w:hAnsi="宋体_GB2312" w:eastAsia="宋体_GB2312"/>
        </w:rPr>
        <w:t>3.6.5.9</w:t>
      </w:r>
      <w:r>
        <w:rPr>
          <w:rFonts w:hint="eastAsia" w:ascii="宋体_GB2312" w:hAnsi="宋体_GB2312" w:eastAsia="宋体_GB2312"/>
        </w:rPr>
        <w:t>光缆可分离性</w:t>
      </w:r>
      <w:r>
        <w:rPr>
          <w:rFonts w:ascii="宋体_GB2312" w:hAnsi="宋体_GB2312" w:eastAsia="宋体_GB2312"/>
        </w:rPr>
        <w:t xml:space="preserve"> (</w:t>
      </w:r>
      <w:r>
        <w:rPr>
          <w:rFonts w:hint="eastAsia" w:ascii="宋体_GB2312" w:hAnsi="宋体_GB2312" w:eastAsia="宋体_GB2312"/>
        </w:rPr>
        <w:t>适用于蝶形光缆</w:t>
      </w:r>
      <w:r>
        <w:rPr>
          <w:rFonts w:ascii="宋体_GB2312" w:hAnsi="宋体_GB2312" w:eastAsia="宋体_GB2312"/>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分离速度为</w:t>
      </w:r>
      <w:r>
        <w:rPr>
          <w:rFonts w:ascii="宋体_GB2312" w:hAnsi="宋体_GB2312" w:eastAsia="宋体_GB2312"/>
          <w:sz w:val="24"/>
          <w:szCs w:val="24"/>
        </w:rPr>
        <w:t xml:space="preserve"> ：500mm/min；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样品数量</w:t>
      </w:r>
      <w:r>
        <w:rPr>
          <w:rFonts w:ascii="宋体_GB2312" w:hAnsi="宋体_GB2312" w:eastAsia="宋体_GB2312"/>
          <w:sz w:val="24"/>
          <w:szCs w:val="24"/>
        </w:rPr>
        <w:t>：5</w:t>
      </w:r>
      <w:r>
        <w:rPr>
          <w:rFonts w:hint="eastAsia" w:ascii="宋体_GB2312" w:hAnsi="宋体_GB2312" w:eastAsia="宋体_GB2312"/>
          <w:sz w:val="24"/>
          <w:szCs w:val="24"/>
        </w:rPr>
        <w:t>个</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样品长度</w:t>
      </w:r>
      <w:r>
        <w:rPr>
          <w:rFonts w:ascii="宋体_GB2312" w:hAnsi="宋体_GB2312" w:eastAsia="宋体_GB2312"/>
          <w:sz w:val="24"/>
          <w:szCs w:val="24"/>
        </w:rPr>
        <w:t>：400mm</w:t>
      </w:r>
      <w:r>
        <w:rPr>
          <w:rFonts w:hint="eastAsia" w:ascii="宋体_GB2312" w:hAnsi="宋体_GB2312" w:eastAsia="宋体_GB2312"/>
          <w:sz w:val="24"/>
          <w:szCs w:val="24"/>
        </w:rPr>
        <w:t>～</w:t>
      </w:r>
      <w:r>
        <w:rPr>
          <w:rFonts w:ascii="宋体_GB2312" w:hAnsi="宋体_GB2312" w:eastAsia="宋体_GB2312"/>
          <w:sz w:val="24"/>
          <w:szCs w:val="24"/>
        </w:rPr>
        <w:t>500mm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从组件上截取</w:t>
      </w:r>
      <w:r>
        <w:rPr>
          <w:rFonts w:ascii="宋体_GB2312" w:hAnsi="宋体_GB2312" w:eastAsia="宋体_GB2312"/>
          <w:sz w:val="24"/>
          <w:szCs w:val="24"/>
        </w:rPr>
        <w:t>400mm</w:t>
      </w:r>
      <w:r>
        <w:rPr>
          <w:rFonts w:hint="eastAsia" w:ascii="宋体_GB2312" w:hAnsi="宋体_GB2312" w:eastAsia="宋体_GB2312"/>
          <w:sz w:val="24"/>
          <w:szCs w:val="24"/>
        </w:rPr>
        <w:t>～</w:t>
      </w:r>
      <w:r>
        <w:rPr>
          <w:rFonts w:ascii="宋体_GB2312" w:hAnsi="宋体_GB2312" w:eastAsia="宋体_GB2312"/>
          <w:sz w:val="24"/>
          <w:szCs w:val="24"/>
        </w:rPr>
        <w:t>500mm</w:t>
      </w:r>
      <w:r>
        <w:rPr>
          <w:rFonts w:hint="eastAsia" w:ascii="宋体_GB2312" w:hAnsi="宋体_GB2312" w:eastAsia="宋体_GB2312"/>
          <w:sz w:val="24"/>
          <w:szCs w:val="24"/>
        </w:rPr>
        <w:t>光缆</w:t>
      </w:r>
      <w:r>
        <w:rPr>
          <w:rFonts w:ascii="宋体_GB2312" w:hAnsi="宋体_GB2312" w:eastAsia="宋体_GB2312"/>
          <w:sz w:val="24"/>
          <w:szCs w:val="24"/>
        </w:rPr>
        <w:t xml:space="preserve"> </w:t>
      </w:r>
      <w:r>
        <w:rPr>
          <w:rFonts w:hint="eastAsia" w:ascii="宋体_GB2312" w:hAnsi="宋体_GB2312" w:eastAsia="宋体_GB2312"/>
          <w:sz w:val="24"/>
          <w:szCs w:val="24"/>
        </w:rPr>
        <w:t>，用刀片或合适的工具将光缆</w:t>
      </w:r>
      <w:r>
        <w:rPr>
          <w:rFonts w:ascii="宋体_GB2312" w:hAnsi="宋体_GB2312" w:eastAsia="宋体_GB2312"/>
          <w:sz w:val="24"/>
          <w:szCs w:val="24"/>
        </w:rPr>
        <w:t>从</w:t>
      </w:r>
      <w:r>
        <w:rPr>
          <w:rFonts w:hint="eastAsia" w:ascii="宋体_GB2312" w:hAnsi="宋体_GB2312" w:eastAsia="宋体_GB2312"/>
          <w:sz w:val="24"/>
          <w:szCs w:val="24"/>
        </w:rPr>
        <w:t>分离口处撕开一小段</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将撕开的两个端头分别夹持在拉力机的上下夹具上，在夹持中应将光纤悬空在夹具之外</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以</w:t>
      </w:r>
      <w:r>
        <w:rPr>
          <w:rFonts w:ascii="宋体_GB2312" w:hAnsi="宋体_GB2312" w:eastAsia="宋体_GB2312"/>
          <w:sz w:val="24"/>
          <w:szCs w:val="24"/>
        </w:rPr>
        <w:t>500mm/min</w:t>
      </w:r>
      <w:r>
        <w:rPr>
          <w:rFonts w:hint="eastAsia" w:ascii="宋体_GB2312" w:hAnsi="宋体_GB2312" w:eastAsia="宋体_GB2312"/>
          <w:sz w:val="24"/>
          <w:szCs w:val="24"/>
        </w:rPr>
        <w:t>的速度拉伸，拉伸长度为</w:t>
      </w:r>
      <w:r>
        <w:rPr>
          <w:rFonts w:ascii="宋体_GB2312" w:hAnsi="宋体_GB2312" w:eastAsia="宋体_GB2312"/>
          <w:sz w:val="24"/>
          <w:szCs w:val="24"/>
        </w:rPr>
        <w:t xml:space="preserve">200mm；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记录每个样品拉伸时最大拉力值，然后取</w:t>
      </w:r>
      <w:r>
        <w:rPr>
          <w:rFonts w:ascii="宋体_GB2312" w:hAnsi="宋体_GB2312" w:eastAsia="宋体_GB2312"/>
          <w:sz w:val="24"/>
          <w:szCs w:val="24"/>
        </w:rPr>
        <w:t>5</w:t>
      </w:r>
      <w:r>
        <w:rPr>
          <w:rFonts w:hint="eastAsia" w:ascii="宋体_GB2312" w:hAnsi="宋体_GB2312" w:eastAsia="宋体_GB2312"/>
          <w:sz w:val="24"/>
          <w:szCs w:val="24"/>
        </w:rPr>
        <w:t>个试样的平均值为分离力测试结果</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拉伸后的现象应符合表</w:t>
      </w:r>
      <w:r>
        <w:rPr>
          <w:rFonts w:ascii="宋体_GB2312" w:hAnsi="宋体_GB2312" w:eastAsia="宋体_GB2312"/>
          <w:sz w:val="24"/>
          <w:szCs w:val="24"/>
        </w:rPr>
        <w:t>12</w:t>
      </w:r>
      <w:r>
        <w:rPr>
          <w:rFonts w:hint="eastAsia" w:ascii="宋体_GB2312" w:hAnsi="宋体_GB2312" w:eastAsia="宋体_GB2312"/>
          <w:sz w:val="24"/>
          <w:szCs w:val="24"/>
        </w:rPr>
        <w:t>的规定。</w:t>
      </w:r>
    </w:p>
    <w:p>
      <w:pPr>
        <w:pStyle w:val="5"/>
        <w:spacing w:after="12"/>
        <w:rPr>
          <w:rFonts w:ascii="宋体_GB2312" w:hAnsi="宋体_GB2312" w:eastAsia="宋体_GB2312"/>
        </w:rPr>
      </w:pPr>
      <w:r>
        <w:rPr>
          <w:rFonts w:hint="eastAsia" w:ascii="宋体_GB2312" w:hAnsi="宋体_GB2312" w:eastAsia="宋体_GB2312"/>
          <w:lang w:eastAsia="zh-CN"/>
        </w:rPr>
        <w:t>3</w:t>
      </w:r>
      <w:r>
        <w:rPr>
          <w:rFonts w:ascii="宋体_GB2312" w:hAnsi="宋体_GB2312" w:eastAsia="宋体_GB2312"/>
          <w:lang w:eastAsia="zh-CN"/>
        </w:rPr>
        <w:t>.6.5.10</w:t>
      </w:r>
      <w:r>
        <w:rPr>
          <w:rFonts w:hint="eastAsia" w:ascii="宋体_GB2312" w:hAnsi="宋体_GB2312" w:eastAsia="宋体_GB2312"/>
        </w:rPr>
        <w:t>插芯弹力抗疲劳性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（1）插芯下压行程</w:t>
      </w:r>
      <w:r>
        <w:rPr>
          <w:rFonts w:ascii="宋体_GB2312" w:hAnsi="宋体_GB2312" w:eastAsia="宋体_GB2312"/>
          <w:sz w:val="24"/>
          <w:szCs w:val="24"/>
        </w:rPr>
        <w:t>0.6mm；</w:t>
      </w:r>
    </w:p>
    <w:p>
      <w:pPr>
        <w:spacing w:before="120" w:beforeLines="50" w:line="300" w:lineRule="auto"/>
        <w:ind w:firstLine="480" w:firstLineChars="200"/>
        <w:rPr>
          <w:rFonts w:ascii="宋体_GB2312" w:hAnsi="宋体_GB2312" w:eastAsia="宋体_GB2312"/>
          <w:szCs w:val="24"/>
        </w:rPr>
      </w:pPr>
      <w:r>
        <w:rPr>
          <w:rFonts w:hint="eastAsia" w:ascii="宋体_GB2312" w:hAnsi="宋体_GB2312" w:eastAsia="宋体_GB2312"/>
          <w:sz w:val="24"/>
          <w:szCs w:val="24"/>
        </w:rPr>
        <w:t>（2）插芯按压次数</w:t>
      </w:r>
      <w:r>
        <w:rPr>
          <w:rFonts w:ascii="宋体_GB2312" w:hAnsi="宋体_GB2312" w:eastAsia="宋体_GB2312"/>
          <w:sz w:val="24"/>
          <w:szCs w:val="24"/>
        </w:rPr>
        <w:t>500次。</w:t>
      </w:r>
    </w:p>
    <w:p>
      <w:pPr>
        <w:spacing w:before="120" w:beforeLines="50" w:line="300" w:lineRule="auto"/>
        <w:ind w:firstLine="480" w:firstLineChars="200"/>
        <w:rPr>
          <w:rFonts w:eastAsia="Yu Mincho"/>
        </w:rPr>
      </w:pPr>
      <w:r>
        <w:rPr>
          <w:rFonts w:hint="eastAsia" w:ascii="宋体_GB2312" w:hAnsi="宋体_GB2312" w:eastAsia="宋体_GB2312"/>
          <w:sz w:val="24"/>
          <w:szCs w:val="24"/>
        </w:rPr>
        <w:t>（3）试验后，</w:t>
      </w:r>
      <w:r>
        <w:rPr>
          <w:rFonts w:ascii="宋体_GB2312" w:hAnsi="宋体_GB2312" w:eastAsia="宋体_GB2312"/>
          <w:sz w:val="24"/>
          <w:szCs w:val="24"/>
        </w:rPr>
        <w:t>插入损耗变化量≤0.3dB</w:t>
      </w:r>
      <w:r>
        <w:rPr>
          <w:rFonts w:hint="eastAsia" w:ascii="宋体_GB2312" w:hAnsi="宋体_GB2312" w:eastAsia="宋体_GB2312"/>
          <w:sz w:val="24"/>
          <w:szCs w:val="24"/>
        </w:rPr>
        <w:t>，外观不得有机械损伤，插芯能够回到原基准面位置。</w:t>
      </w:r>
    </w:p>
    <w:p>
      <w:pPr>
        <w:pStyle w:val="4"/>
        <w:spacing w:after="12"/>
        <w:rPr>
          <w:rFonts w:ascii="宋体_GB2312" w:hAnsi="宋体_GB2312" w:eastAsia="宋体_GB2312"/>
        </w:rPr>
      </w:pPr>
      <w:bookmarkStart w:id="133" w:name="_Toc54084433"/>
      <w:bookmarkStart w:id="134" w:name="_Toc11408"/>
      <w:r>
        <w:rPr>
          <w:rFonts w:ascii="宋体_GB2312" w:hAnsi="宋体_GB2312" w:eastAsia="宋体_GB2312"/>
        </w:rPr>
        <w:t>3.6.6</w:t>
      </w:r>
      <w:r>
        <w:rPr>
          <w:rFonts w:hint="eastAsia" w:ascii="宋体_GB2312" w:hAnsi="宋体_GB2312" w:eastAsia="宋体_GB2312"/>
        </w:rPr>
        <w:t>环境性能</w:t>
      </w:r>
      <w:bookmarkEnd w:id="133"/>
      <w:bookmarkEnd w:id="134"/>
    </w:p>
    <w:p>
      <w:pPr>
        <w:pStyle w:val="5"/>
        <w:spacing w:after="12"/>
        <w:rPr>
          <w:rFonts w:ascii="宋体_GB2312" w:hAnsi="宋体_GB2312" w:eastAsia="宋体_GB2312"/>
        </w:rPr>
      </w:pPr>
      <w:r>
        <w:rPr>
          <w:rFonts w:ascii="宋体_GB2312" w:hAnsi="宋体_GB2312" w:eastAsia="宋体_GB2312"/>
        </w:rPr>
        <w:t>3.6.6.1</w:t>
      </w:r>
      <w:r>
        <w:rPr>
          <w:rFonts w:hint="eastAsia" w:ascii="宋体_GB2312" w:hAnsi="宋体_GB2312" w:eastAsia="宋体_GB2312"/>
        </w:rPr>
        <w:t>高温</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高温温度</w:t>
      </w:r>
      <w:r>
        <w:rPr>
          <w:rFonts w:ascii="宋体_GB2312" w:hAnsi="宋体_GB2312" w:eastAsia="宋体_GB2312"/>
          <w:sz w:val="24"/>
          <w:szCs w:val="24"/>
        </w:rPr>
        <w:t>：60</w:t>
      </w: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持续时间</w:t>
      </w:r>
      <w:r>
        <w:rPr>
          <w:rFonts w:ascii="宋体_GB2312" w:hAnsi="宋体_GB2312" w:eastAsia="宋体_GB2312"/>
          <w:sz w:val="24"/>
          <w:szCs w:val="24"/>
        </w:rPr>
        <w:t>：96h</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试验样品为</w:t>
      </w:r>
      <w:r>
        <w:rPr>
          <w:rFonts w:ascii="宋体_GB2312" w:hAnsi="宋体_GB2312" w:eastAsia="宋体_GB2312"/>
          <w:sz w:val="24"/>
          <w:szCs w:val="24"/>
        </w:rPr>
        <w:t>2</w:t>
      </w:r>
      <w:r>
        <w:rPr>
          <w:rFonts w:hint="eastAsia" w:ascii="宋体_GB2312" w:hAnsi="宋体_GB2312" w:eastAsia="宋体_GB2312"/>
          <w:sz w:val="24"/>
          <w:szCs w:val="24"/>
        </w:rPr>
        <w:t>个组件，中间用适配器连接，两头引出箱体，引出箱体的长度满足测试即可，其余均放入试验箱箱体内，如图</w:t>
      </w:r>
      <w:r>
        <w:rPr>
          <w:rFonts w:ascii="宋体_GB2312" w:hAnsi="宋体_GB2312" w:eastAsia="宋体_GB2312"/>
          <w:sz w:val="24"/>
          <w:szCs w:val="24"/>
        </w:rPr>
        <w:t>12</w:t>
      </w:r>
      <w:r>
        <w:rPr>
          <w:rFonts w:hint="eastAsia" w:ascii="宋体_GB2312" w:hAnsi="宋体_GB2312" w:eastAsia="宋体_GB2312"/>
          <w:sz w:val="24"/>
          <w:szCs w:val="24"/>
        </w:rPr>
        <w:t>所示</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适配器与组件宜为同一厂家的产品</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试样放入到试验箱内，测试试样在</w:t>
      </w:r>
      <w:r>
        <w:rPr>
          <w:rFonts w:ascii="宋体_GB2312" w:hAnsi="宋体_GB2312" w:eastAsia="宋体_GB2312"/>
          <w:sz w:val="24"/>
          <w:szCs w:val="24"/>
        </w:rPr>
        <w:t>1550nm</w:t>
      </w:r>
      <w:r>
        <w:rPr>
          <w:rFonts w:hint="eastAsia" w:ascii="宋体_GB2312" w:hAnsi="宋体_GB2312" w:eastAsia="宋体_GB2312"/>
          <w:sz w:val="24"/>
          <w:szCs w:val="24"/>
        </w:rPr>
        <w:t>波长下的损耗作为初始值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大约以</w:t>
      </w:r>
      <w:r>
        <w:rPr>
          <w:rFonts w:ascii="宋体_GB2312" w:hAnsi="宋体_GB2312" w:eastAsia="宋体_GB2312"/>
          <w:sz w:val="24"/>
          <w:szCs w:val="24"/>
        </w:rPr>
        <w:t>1</w:t>
      </w:r>
      <w:r>
        <w:rPr>
          <w:rFonts w:hint="eastAsia" w:ascii="宋体_GB2312" w:hAnsi="宋体_GB2312" w:eastAsia="宋体_GB2312"/>
          <w:sz w:val="24"/>
          <w:szCs w:val="24"/>
        </w:rPr>
        <w:t>℃</w:t>
      </w:r>
      <w:r>
        <w:rPr>
          <w:rFonts w:ascii="宋体_GB2312" w:hAnsi="宋体_GB2312" w:eastAsia="宋体_GB2312"/>
          <w:sz w:val="24"/>
          <w:szCs w:val="24"/>
        </w:rPr>
        <w:t>/min</w:t>
      </w:r>
      <w:r>
        <w:rPr>
          <w:rFonts w:hint="eastAsia" w:ascii="宋体_GB2312" w:hAnsi="宋体_GB2312" w:eastAsia="宋体_GB2312"/>
          <w:sz w:val="24"/>
          <w:szCs w:val="24"/>
        </w:rPr>
        <w:t>的速率升温至规定温度，保持</w:t>
      </w:r>
      <w:r>
        <w:rPr>
          <w:rFonts w:ascii="宋体_GB2312" w:hAnsi="宋体_GB2312" w:eastAsia="宋体_GB2312"/>
          <w:sz w:val="24"/>
          <w:szCs w:val="24"/>
        </w:rPr>
        <w:t xml:space="preserve">96h；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高温临结束前测试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试样在温度箱内自然冷却至室温，在室温状态下保持不少于</w:t>
      </w:r>
      <w:r>
        <w:rPr>
          <w:rFonts w:ascii="宋体_GB2312" w:hAnsi="宋体_GB2312" w:eastAsia="宋体_GB2312"/>
          <w:sz w:val="24"/>
          <w:szCs w:val="24"/>
        </w:rPr>
        <w:t>4h</w:t>
      </w:r>
      <w:r>
        <w:rPr>
          <w:rFonts w:hint="eastAsia" w:ascii="宋体_GB2312" w:hAnsi="宋体_GB2312" w:eastAsia="宋体_GB2312"/>
          <w:sz w:val="24"/>
          <w:szCs w:val="24"/>
        </w:rPr>
        <w:t>，然后测试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7)</w:t>
      </w:r>
      <w:r>
        <w:rPr>
          <w:rFonts w:hint="eastAsia" w:ascii="宋体_GB2312" w:hAnsi="宋体_GB2312" w:eastAsia="宋体_GB2312"/>
          <w:sz w:val="24"/>
          <w:szCs w:val="24"/>
        </w:rPr>
        <w:t>根据初始损耗值、高温下的损耗值、试验后的损耗值，计算出损耗变化量，试验中和试验后的损耗变化量均应符合表</w:t>
      </w:r>
      <w:r>
        <w:rPr>
          <w:rFonts w:ascii="宋体_GB2312" w:hAnsi="宋体_GB2312" w:eastAsia="宋体_GB2312"/>
          <w:sz w:val="24"/>
          <w:szCs w:val="24"/>
        </w:rPr>
        <w:t>13</w:t>
      </w:r>
      <w:r>
        <w:rPr>
          <w:rFonts w:hint="eastAsia" w:ascii="宋体_GB2312" w:hAnsi="宋体_GB2312" w:eastAsia="宋体_GB2312"/>
          <w:sz w:val="24"/>
          <w:szCs w:val="24"/>
        </w:rPr>
        <w:t>的要求</w:t>
      </w:r>
      <w:r>
        <w:rPr>
          <w:rFonts w:ascii="宋体_GB2312" w:hAnsi="宋体_GB2312" w:eastAsia="宋体_GB2312"/>
          <w:sz w:val="24"/>
          <w:szCs w:val="24"/>
        </w:rPr>
        <w:t>；</w:t>
      </w:r>
      <w:r>
        <w:rPr>
          <w:rFonts w:hint="eastAsia" w:ascii="宋体_GB2312" w:hAnsi="宋体_GB2312" w:eastAsia="宋体_GB2312"/>
          <w:sz w:val="24"/>
          <w:szCs w:val="24"/>
        </w:rPr>
        <w:t>目视检查组件是否有机械损伤，如变形、龟裂、松弛、脱落等现象。</w:t>
      </w:r>
    </w:p>
    <w:p>
      <w:pPr>
        <w:spacing w:before="120" w:beforeLines="50" w:line="300" w:lineRule="auto"/>
        <w:ind w:firstLine="420" w:firstLineChars="200"/>
        <w:jc w:val="center"/>
        <w:rPr>
          <w:rFonts w:ascii="宋体_GB2312" w:hAnsi="宋体_GB2312" w:eastAsia="宋体_GB2312"/>
        </w:rPr>
      </w:pPr>
      <w:r>
        <w:rPr>
          <w:rFonts w:ascii="宋体_GB2312" w:hAnsi="宋体_GB2312" w:eastAsia="宋体_GB2312"/>
        </w:rPr>
        <w:drawing>
          <wp:inline distT="0" distB="0" distL="0" distR="0">
            <wp:extent cx="4076700" cy="1609725"/>
            <wp:effectExtent l="0" t="0" r="0"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8"/>
                    <a:stretch>
                      <a:fillRect/>
                    </a:stretch>
                  </pic:blipFill>
                  <pic:spPr>
                    <a:xfrm>
                      <a:off x="0" y="0"/>
                      <a:ext cx="4076700" cy="1609725"/>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12 </w:t>
      </w:r>
      <w:r>
        <w:rPr>
          <w:rFonts w:hint="eastAsia" w:ascii="宋体_GB2312" w:hAnsi="宋体_GB2312" w:eastAsia="宋体_GB2312"/>
          <w:sz w:val="24"/>
          <w:szCs w:val="24"/>
        </w:rPr>
        <w:t>高温、低温、湿热试验示意图</w:t>
      </w:r>
    </w:p>
    <w:p>
      <w:pPr>
        <w:pStyle w:val="5"/>
        <w:spacing w:after="12"/>
        <w:rPr>
          <w:rFonts w:ascii="宋体_GB2312" w:hAnsi="宋体_GB2312" w:eastAsia="宋体_GB2312"/>
        </w:rPr>
      </w:pPr>
      <w:r>
        <w:rPr>
          <w:rFonts w:ascii="宋体_GB2312" w:hAnsi="宋体_GB2312" w:eastAsia="宋体_GB2312"/>
        </w:rPr>
        <w:t>3.6.6.2</w:t>
      </w:r>
      <w:r>
        <w:rPr>
          <w:rFonts w:hint="eastAsia" w:ascii="宋体_GB2312" w:hAnsi="宋体_GB2312" w:eastAsia="宋体_GB2312"/>
          <w:lang w:eastAsia="zh-CN"/>
        </w:rPr>
        <w:t>低</w:t>
      </w:r>
      <w:r>
        <w:rPr>
          <w:rFonts w:hint="eastAsia" w:ascii="宋体_GB2312" w:hAnsi="宋体_GB2312" w:eastAsia="宋体_GB2312"/>
        </w:rPr>
        <w:t>温</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低温温度</w:t>
      </w:r>
      <w:r>
        <w:rPr>
          <w:rFonts w:ascii="宋体_GB2312" w:hAnsi="宋体_GB2312" w:eastAsia="宋体_GB2312"/>
          <w:sz w:val="24"/>
          <w:szCs w:val="24"/>
        </w:rPr>
        <w:t xml:space="preserve">： </w:t>
      </w:r>
      <w:r>
        <w:rPr>
          <w:rFonts w:hint="eastAsia" w:ascii="宋体_GB2312" w:hAnsi="宋体_GB2312" w:eastAsia="宋体_GB2312"/>
          <w:sz w:val="24"/>
          <w:szCs w:val="24"/>
        </w:rPr>
        <w:t>一</w:t>
      </w:r>
      <w:r>
        <w:rPr>
          <w:rFonts w:ascii="宋体_GB2312" w:hAnsi="宋体_GB2312" w:eastAsia="宋体_GB2312"/>
          <w:sz w:val="24"/>
          <w:szCs w:val="24"/>
        </w:rPr>
        <w:t>40</w:t>
      </w: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持续时间</w:t>
      </w:r>
      <w:r>
        <w:rPr>
          <w:rFonts w:ascii="宋体_GB2312" w:hAnsi="宋体_GB2312" w:eastAsia="宋体_GB2312"/>
          <w:sz w:val="24"/>
          <w:szCs w:val="24"/>
        </w:rPr>
        <w:t>：96h</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试验样品为</w:t>
      </w:r>
      <w:r>
        <w:rPr>
          <w:rFonts w:ascii="宋体_GB2312" w:hAnsi="宋体_GB2312" w:eastAsia="宋体_GB2312"/>
          <w:sz w:val="24"/>
          <w:szCs w:val="24"/>
        </w:rPr>
        <w:t>2</w:t>
      </w:r>
      <w:r>
        <w:rPr>
          <w:rFonts w:hint="eastAsia" w:ascii="宋体_GB2312" w:hAnsi="宋体_GB2312" w:eastAsia="宋体_GB2312"/>
          <w:sz w:val="24"/>
          <w:szCs w:val="24"/>
        </w:rPr>
        <w:t>个组件，中间用适配器连接，两头引出箱体，引出箱体的长度满足测试即可，其余均放入试验箱箱体内，如图</w:t>
      </w:r>
      <w:r>
        <w:rPr>
          <w:rFonts w:ascii="宋体_GB2312" w:hAnsi="宋体_GB2312" w:eastAsia="宋体_GB2312"/>
          <w:sz w:val="24"/>
          <w:szCs w:val="24"/>
        </w:rPr>
        <w:t>12</w:t>
      </w:r>
      <w:r>
        <w:rPr>
          <w:rFonts w:hint="eastAsia" w:ascii="宋体_GB2312" w:hAnsi="宋体_GB2312" w:eastAsia="宋体_GB2312"/>
          <w:sz w:val="24"/>
          <w:szCs w:val="24"/>
        </w:rPr>
        <w:t>所示</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适配器与组件宜为同一厂家的产品</w:t>
      </w:r>
      <w:r>
        <w:rPr>
          <w:rFonts w:ascii="宋体_GB2312" w:hAnsi="宋体_GB2312" w:eastAsia="宋体_GB2312"/>
          <w:sz w:val="24"/>
          <w:szCs w:val="24"/>
        </w:rPr>
        <w:t xml:space="preserve"> ；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试样放入到试验箱内，测量试样在</w:t>
      </w:r>
      <w:r>
        <w:rPr>
          <w:rFonts w:ascii="宋体_GB2312" w:hAnsi="宋体_GB2312" w:eastAsia="宋体_GB2312"/>
          <w:sz w:val="24"/>
          <w:szCs w:val="24"/>
        </w:rPr>
        <w:t>1550nm</w:t>
      </w:r>
      <w:r>
        <w:rPr>
          <w:rFonts w:hint="eastAsia" w:ascii="宋体_GB2312" w:hAnsi="宋体_GB2312" w:eastAsia="宋体_GB2312"/>
          <w:sz w:val="24"/>
          <w:szCs w:val="24"/>
        </w:rPr>
        <w:t>波长下的损耗作为初始值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大约以</w:t>
      </w:r>
      <w:r>
        <w:rPr>
          <w:rFonts w:ascii="宋体_GB2312" w:hAnsi="宋体_GB2312" w:eastAsia="宋体_GB2312"/>
          <w:sz w:val="24"/>
          <w:szCs w:val="24"/>
        </w:rPr>
        <w:t>1</w:t>
      </w:r>
      <w:r>
        <w:rPr>
          <w:rFonts w:hint="eastAsia" w:ascii="宋体_GB2312" w:hAnsi="宋体_GB2312" w:eastAsia="宋体_GB2312"/>
          <w:sz w:val="24"/>
          <w:szCs w:val="24"/>
        </w:rPr>
        <w:t>℃</w:t>
      </w:r>
      <w:r>
        <w:rPr>
          <w:rFonts w:ascii="宋体_GB2312" w:hAnsi="宋体_GB2312" w:eastAsia="宋体_GB2312"/>
          <w:sz w:val="24"/>
          <w:szCs w:val="24"/>
        </w:rPr>
        <w:t xml:space="preserve"> /min</w:t>
      </w:r>
      <w:r>
        <w:rPr>
          <w:rFonts w:hint="eastAsia" w:ascii="宋体_GB2312" w:hAnsi="宋体_GB2312" w:eastAsia="宋体_GB2312"/>
          <w:sz w:val="24"/>
          <w:szCs w:val="24"/>
        </w:rPr>
        <w:t>的速率降温至规定温度，保持</w:t>
      </w:r>
      <w:r>
        <w:rPr>
          <w:rFonts w:ascii="宋体_GB2312" w:hAnsi="宋体_GB2312" w:eastAsia="宋体_GB2312"/>
          <w:sz w:val="24"/>
          <w:szCs w:val="24"/>
        </w:rPr>
        <w:t xml:space="preserve">96h；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低温临结束前测试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试样在温度箱内自然恢复至室温，在室温状态下保持不少于</w:t>
      </w:r>
      <w:r>
        <w:rPr>
          <w:rFonts w:ascii="宋体_GB2312" w:hAnsi="宋体_GB2312" w:eastAsia="宋体_GB2312"/>
          <w:sz w:val="24"/>
          <w:szCs w:val="24"/>
        </w:rPr>
        <w:t>4h</w:t>
      </w:r>
      <w:r>
        <w:rPr>
          <w:rFonts w:hint="eastAsia" w:ascii="宋体_GB2312" w:hAnsi="宋体_GB2312" w:eastAsia="宋体_GB2312"/>
          <w:sz w:val="24"/>
          <w:szCs w:val="24"/>
        </w:rPr>
        <w:t>，然后测试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7)</w:t>
      </w:r>
      <w:r>
        <w:rPr>
          <w:rFonts w:hint="eastAsia" w:ascii="宋体_GB2312" w:hAnsi="宋体_GB2312" w:eastAsia="宋体_GB2312"/>
          <w:sz w:val="24"/>
          <w:szCs w:val="24"/>
        </w:rPr>
        <w:t>根据初始损耗值、低温下的损耗值、试验后的损耗值，计算出损耗变化量，试验中和试验后的损耗变化量均应符合表</w:t>
      </w:r>
      <w:r>
        <w:rPr>
          <w:rFonts w:ascii="宋体_GB2312" w:hAnsi="宋体_GB2312" w:eastAsia="宋体_GB2312"/>
          <w:sz w:val="24"/>
          <w:szCs w:val="24"/>
        </w:rPr>
        <w:t>13</w:t>
      </w:r>
      <w:r>
        <w:rPr>
          <w:rFonts w:hint="eastAsia" w:ascii="宋体_GB2312" w:hAnsi="宋体_GB2312" w:eastAsia="宋体_GB2312"/>
          <w:sz w:val="24"/>
          <w:szCs w:val="24"/>
        </w:rPr>
        <w:t>的要求</w:t>
      </w:r>
      <w:r>
        <w:rPr>
          <w:rFonts w:ascii="宋体_GB2312" w:hAnsi="宋体_GB2312" w:eastAsia="宋体_GB2312"/>
          <w:sz w:val="24"/>
          <w:szCs w:val="24"/>
        </w:rPr>
        <w:t>；</w:t>
      </w:r>
      <w:r>
        <w:rPr>
          <w:rFonts w:hint="eastAsia" w:ascii="宋体_GB2312" w:hAnsi="宋体_GB2312" w:eastAsia="宋体_GB2312"/>
          <w:sz w:val="24"/>
          <w:szCs w:val="24"/>
        </w:rPr>
        <w:t>目视检查组件是否有机械损伤，如变形、龟裂、松弛、脱落等现象。</w:t>
      </w:r>
    </w:p>
    <w:p>
      <w:pPr>
        <w:pStyle w:val="5"/>
        <w:spacing w:after="12"/>
        <w:rPr>
          <w:rFonts w:ascii="宋体_GB2312" w:hAnsi="宋体_GB2312" w:eastAsia="宋体_GB2312"/>
        </w:rPr>
      </w:pPr>
      <w:r>
        <w:rPr>
          <w:rFonts w:ascii="宋体_GB2312" w:hAnsi="宋体_GB2312" w:eastAsia="宋体_GB2312"/>
        </w:rPr>
        <w:t>3.6.6.3</w:t>
      </w:r>
      <w:r>
        <w:rPr>
          <w:rFonts w:hint="eastAsia" w:ascii="宋体_GB2312" w:hAnsi="宋体_GB2312" w:eastAsia="宋体_GB2312"/>
        </w:rPr>
        <w:t>温度循环</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温度</w:t>
      </w:r>
      <w:r>
        <w:rPr>
          <w:rFonts w:ascii="宋体_GB2312" w:hAnsi="宋体_GB2312" w:eastAsia="宋体_GB2312"/>
          <w:sz w:val="24"/>
          <w:szCs w:val="24"/>
        </w:rPr>
        <w:t>：-40</w:t>
      </w:r>
      <w:r>
        <w:rPr>
          <w:rFonts w:hint="eastAsia" w:ascii="宋体_GB2312" w:hAnsi="宋体_GB2312" w:eastAsia="宋体_GB2312"/>
          <w:sz w:val="24"/>
          <w:szCs w:val="24"/>
        </w:rPr>
        <w:t>℃～</w:t>
      </w:r>
      <w:r>
        <w:rPr>
          <w:rFonts w:ascii="宋体_GB2312" w:hAnsi="宋体_GB2312" w:eastAsia="宋体_GB2312"/>
          <w:sz w:val="24"/>
          <w:szCs w:val="24"/>
        </w:rPr>
        <w:t>60</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温度曲线如图</w:t>
      </w:r>
      <w:r>
        <w:rPr>
          <w:rFonts w:ascii="宋体_GB2312" w:hAnsi="宋体_GB2312" w:eastAsia="宋体_GB2312"/>
          <w:sz w:val="24"/>
          <w:szCs w:val="24"/>
        </w:rPr>
        <w:t>13</w:t>
      </w:r>
      <w:r>
        <w:rPr>
          <w:rFonts w:hint="eastAsia" w:ascii="宋体_GB2312" w:hAnsi="宋体_GB2312" w:eastAsia="宋体_GB2312"/>
          <w:sz w:val="24"/>
          <w:szCs w:val="24"/>
        </w:rPr>
        <w:t>所示，每循环</w:t>
      </w:r>
      <w:r>
        <w:rPr>
          <w:rFonts w:ascii="宋体_GB2312" w:hAnsi="宋体_GB2312" w:eastAsia="宋体_GB2312"/>
          <w:sz w:val="24"/>
          <w:szCs w:val="24"/>
        </w:rPr>
        <w:t>8h</w:t>
      </w:r>
      <w:r>
        <w:rPr>
          <w:rFonts w:hint="eastAsia" w:ascii="宋体_GB2312" w:hAnsi="宋体_GB2312" w:eastAsia="宋体_GB2312"/>
          <w:sz w:val="24"/>
          <w:szCs w:val="24"/>
        </w:rPr>
        <w:t>，共</w:t>
      </w:r>
      <w:r>
        <w:rPr>
          <w:rFonts w:ascii="宋体_GB2312" w:hAnsi="宋体_GB2312" w:eastAsia="宋体_GB2312"/>
          <w:sz w:val="24"/>
          <w:szCs w:val="24"/>
        </w:rPr>
        <w:t>5</w:t>
      </w:r>
      <w:r>
        <w:rPr>
          <w:rFonts w:hint="eastAsia" w:ascii="宋体_GB2312" w:hAnsi="宋体_GB2312" w:eastAsia="宋体_GB2312"/>
          <w:sz w:val="24"/>
          <w:szCs w:val="24"/>
        </w:rPr>
        <w:t>个循环，持续时间</w:t>
      </w:r>
      <w:r>
        <w:rPr>
          <w:rFonts w:ascii="宋体_GB2312" w:hAnsi="宋体_GB2312" w:eastAsia="宋体_GB2312"/>
          <w:sz w:val="24"/>
          <w:szCs w:val="24"/>
        </w:rPr>
        <w:t>40h</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波长下的插入损耗值作为初始值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试样放入到试验箱，按照图</w:t>
      </w:r>
      <w:r>
        <w:rPr>
          <w:rFonts w:ascii="宋体_GB2312" w:hAnsi="宋体_GB2312" w:eastAsia="宋体_GB2312"/>
          <w:sz w:val="24"/>
          <w:szCs w:val="24"/>
        </w:rPr>
        <w:t>13</w:t>
      </w:r>
      <w:r>
        <w:rPr>
          <w:rFonts w:hint="eastAsia" w:ascii="宋体_GB2312" w:hAnsi="宋体_GB2312" w:eastAsia="宋体_GB2312"/>
          <w:sz w:val="24"/>
          <w:szCs w:val="24"/>
        </w:rPr>
        <w:t>所示曲线升温、降温和保温，保温时间为1</w:t>
      </w:r>
      <w:r>
        <w:rPr>
          <w:rFonts w:ascii="宋体_GB2312" w:hAnsi="宋体_GB2312" w:eastAsia="宋体_GB2312"/>
          <w:sz w:val="24"/>
          <w:szCs w:val="24"/>
        </w:rPr>
        <w:t xml:space="preserve">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试验后试样在室温下恢复不少于</w:t>
      </w:r>
      <w:r>
        <w:rPr>
          <w:rFonts w:ascii="宋体_GB2312" w:hAnsi="宋体_GB2312" w:eastAsia="宋体_GB2312"/>
          <w:sz w:val="24"/>
          <w:szCs w:val="24"/>
        </w:rPr>
        <w:t>4h</w:t>
      </w:r>
      <w:r>
        <w:rPr>
          <w:rFonts w:hint="eastAsia" w:ascii="宋体_GB2312" w:hAnsi="宋体_GB2312" w:eastAsia="宋体_GB2312"/>
          <w:sz w:val="24"/>
          <w:szCs w:val="24"/>
        </w:rPr>
        <w:t>，然后测试在</w:t>
      </w:r>
      <w:r>
        <w:rPr>
          <w:rFonts w:ascii="宋体_GB2312" w:hAnsi="宋体_GB2312" w:eastAsia="宋体_GB2312"/>
          <w:sz w:val="24"/>
          <w:szCs w:val="24"/>
        </w:rPr>
        <w:t>1310nm</w:t>
      </w:r>
      <w:r>
        <w:rPr>
          <w:rFonts w:hint="eastAsia" w:ascii="宋体_GB2312" w:hAnsi="宋体_GB2312" w:eastAsia="宋体_GB2312"/>
          <w:sz w:val="24"/>
          <w:szCs w:val="24"/>
        </w:rPr>
        <w:t>波长和</w:t>
      </w:r>
      <w:r>
        <w:rPr>
          <w:rFonts w:ascii="宋体_GB2312" w:hAnsi="宋体_GB2312" w:eastAsia="宋体_GB2312"/>
          <w:sz w:val="24"/>
          <w:szCs w:val="24"/>
        </w:rPr>
        <w:t>1550nm</w:t>
      </w:r>
      <w:r>
        <w:rPr>
          <w:rFonts w:hint="eastAsia" w:ascii="宋体_GB2312" w:hAnsi="宋体_GB2312" w:eastAsia="宋体_GB2312"/>
          <w:sz w:val="24"/>
          <w:szCs w:val="24"/>
        </w:rPr>
        <w:t>波长下的插入损耗，试验后的损耗变化量应符合表</w:t>
      </w:r>
      <w:r>
        <w:rPr>
          <w:rFonts w:ascii="宋体_GB2312" w:hAnsi="宋体_GB2312" w:eastAsia="宋体_GB2312"/>
          <w:sz w:val="24"/>
          <w:szCs w:val="24"/>
        </w:rPr>
        <w:t>13</w:t>
      </w:r>
      <w:r>
        <w:rPr>
          <w:rFonts w:hint="eastAsia" w:ascii="宋体_GB2312" w:hAnsi="宋体_GB2312" w:eastAsia="宋体_GB2312"/>
          <w:sz w:val="24"/>
          <w:szCs w:val="24"/>
        </w:rPr>
        <w:t>的要求</w:t>
      </w:r>
      <w:r>
        <w:rPr>
          <w:rFonts w:ascii="宋体_GB2312" w:hAnsi="宋体_GB2312" w:eastAsia="宋体_GB2312"/>
          <w:sz w:val="24"/>
          <w:szCs w:val="24"/>
        </w:rPr>
        <w:t>；</w:t>
      </w:r>
      <w:r>
        <w:rPr>
          <w:rFonts w:hint="eastAsia" w:ascii="宋体_GB2312" w:hAnsi="宋体_GB2312" w:eastAsia="宋体_GB2312"/>
          <w:sz w:val="24"/>
          <w:szCs w:val="24"/>
        </w:rPr>
        <w:t>目视检查组件是否有机械损伤，如变形、龟裂、松弛、脱落等现象。</w:t>
      </w:r>
    </w:p>
    <w:p>
      <w:pPr>
        <w:spacing w:before="120" w:beforeLines="50" w:line="300" w:lineRule="auto"/>
        <w:ind w:firstLine="420" w:firstLineChars="200"/>
        <w:jc w:val="center"/>
        <w:rPr>
          <w:rFonts w:ascii="宋体_GB2312" w:hAnsi="宋体_GB2312" w:eastAsia="宋体_GB2312"/>
          <w:sz w:val="24"/>
          <w:szCs w:val="24"/>
        </w:rPr>
      </w:pPr>
      <w:r>
        <w:rPr>
          <w:rFonts w:ascii="宋体_GB2312" w:hAnsi="宋体_GB2312" w:eastAsia="宋体_GB2312"/>
        </w:rPr>
        <w:drawing>
          <wp:inline distT="0" distB="0" distL="0" distR="0">
            <wp:extent cx="4724400" cy="2257425"/>
            <wp:effectExtent l="0" t="0" r="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9"/>
                    <a:stretch>
                      <a:fillRect/>
                    </a:stretch>
                  </pic:blipFill>
                  <pic:spPr>
                    <a:xfrm>
                      <a:off x="0" y="0"/>
                      <a:ext cx="4724400" cy="2257425"/>
                    </a:xfrm>
                    <a:prstGeom prst="rect">
                      <a:avLst/>
                    </a:prstGeom>
                  </pic:spPr>
                </pic:pic>
              </a:graphicData>
            </a:graphic>
          </wp:inline>
        </w:drawing>
      </w:r>
    </w:p>
    <w:p>
      <w:pPr>
        <w:spacing w:before="120" w:beforeLines="50" w:line="300" w:lineRule="auto"/>
        <w:ind w:firstLine="480" w:firstLineChars="200"/>
        <w:jc w:val="center"/>
        <w:rPr>
          <w:rFonts w:ascii="宋体_GB2312" w:hAnsi="宋体_GB2312" w:eastAsia="宋体_GB2312"/>
          <w:sz w:val="24"/>
          <w:szCs w:val="24"/>
        </w:rPr>
      </w:pPr>
      <w:r>
        <w:rPr>
          <w:rFonts w:hint="eastAsia" w:ascii="宋体_GB2312" w:hAnsi="宋体_GB2312" w:eastAsia="宋体_GB2312"/>
          <w:sz w:val="24"/>
          <w:szCs w:val="24"/>
        </w:rPr>
        <w:t>图</w:t>
      </w:r>
      <w:r>
        <w:rPr>
          <w:rFonts w:ascii="宋体_GB2312" w:hAnsi="宋体_GB2312" w:eastAsia="宋体_GB2312"/>
          <w:sz w:val="24"/>
          <w:szCs w:val="24"/>
        </w:rPr>
        <w:t xml:space="preserve">13 </w:t>
      </w:r>
      <w:r>
        <w:rPr>
          <w:rFonts w:hint="eastAsia" w:ascii="宋体_GB2312" w:hAnsi="宋体_GB2312" w:eastAsia="宋体_GB2312"/>
          <w:sz w:val="24"/>
          <w:szCs w:val="24"/>
        </w:rPr>
        <w:t>温度循环试验温度曲线</w:t>
      </w:r>
    </w:p>
    <w:p>
      <w:pPr>
        <w:pStyle w:val="5"/>
        <w:spacing w:after="12"/>
        <w:rPr>
          <w:rFonts w:ascii="宋体_GB2312" w:hAnsi="宋体_GB2312" w:eastAsia="宋体_GB2312"/>
        </w:rPr>
      </w:pPr>
      <w:r>
        <w:rPr>
          <w:rFonts w:ascii="宋体_GB2312" w:hAnsi="宋体_GB2312" w:eastAsia="宋体_GB2312"/>
        </w:rPr>
        <w:t>3.6.6.4</w:t>
      </w:r>
      <w:r>
        <w:rPr>
          <w:rFonts w:hint="eastAsia" w:ascii="宋体_GB2312" w:hAnsi="宋体_GB2312" w:eastAsia="宋体_GB2312"/>
        </w:rPr>
        <w:t>湿热</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温度</w:t>
      </w:r>
      <w:r>
        <w:rPr>
          <w:rFonts w:ascii="宋体_GB2312" w:hAnsi="宋体_GB2312" w:eastAsia="宋体_GB2312"/>
          <w:sz w:val="24"/>
          <w:szCs w:val="24"/>
        </w:rPr>
        <w:t>：40</w:t>
      </w: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湿度</w:t>
      </w:r>
      <w:r>
        <w:rPr>
          <w:rFonts w:ascii="宋体_GB2312" w:hAnsi="宋体_GB2312" w:eastAsia="宋体_GB2312"/>
          <w:sz w:val="24"/>
          <w:szCs w:val="24"/>
        </w:rPr>
        <w:t xml:space="preserve">：95%；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持续时间</w:t>
      </w:r>
      <w:r>
        <w:rPr>
          <w:rFonts w:ascii="宋体_GB2312" w:hAnsi="宋体_GB2312" w:eastAsia="宋体_GB2312"/>
          <w:sz w:val="24"/>
          <w:szCs w:val="24"/>
        </w:rPr>
        <w:t>：96h</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试验样品为</w:t>
      </w:r>
      <w:r>
        <w:rPr>
          <w:rFonts w:ascii="宋体_GB2312" w:hAnsi="宋体_GB2312" w:eastAsia="宋体_GB2312"/>
          <w:sz w:val="24"/>
          <w:szCs w:val="24"/>
        </w:rPr>
        <w:t>2</w:t>
      </w:r>
      <w:r>
        <w:rPr>
          <w:rFonts w:hint="eastAsia" w:ascii="宋体_GB2312" w:hAnsi="宋体_GB2312" w:eastAsia="宋体_GB2312"/>
          <w:sz w:val="24"/>
          <w:szCs w:val="24"/>
        </w:rPr>
        <w:t>个组件，中间用适配器连接，两头引出箱体，引出箱体的长度满足测试即可，其余均放入试验箱箱体内，如图</w:t>
      </w:r>
      <w:r>
        <w:rPr>
          <w:rFonts w:ascii="宋体_GB2312" w:hAnsi="宋体_GB2312" w:eastAsia="宋体_GB2312"/>
          <w:sz w:val="24"/>
          <w:szCs w:val="24"/>
        </w:rPr>
        <w:t>12</w:t>
      </w:r>
      <w:r>
        <w:rPr>
          <w:rFonts w:hint="eastAsia" w:ascii="宋体_GB2312" w:hAnsi="宋体_GB2312" w:eastAsia="宋体_GB2312"/>
          <w:sz w:val="24"/>
          <w:szCs w:val="24"/>
        </w:rPr>
        <w:t>所示</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适配器与组件宜为同一厂家的产品</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试样放入到试验箱内，测量试样在</w:t>
      </w:r>
      <w:r>
        <w:rPr>
          <w:rFonts w:ascii="宋体_GB2312" w:hAnsi="宋体_GB2312" w:eastAsia="宋体_GB2312"/>
          <w:sz w:val="24"/>
          <w:szCs w:val="24"/>
        </w:rPr>
        <w:t>1550nm</w:t>
      </w:r>
      <w:r>
        <w:rPr>
          <w:rFonts w:hint="eastAsia" w:ascii="宋体_GB2312" w:hAnsi="宋体_GB2312" w:eastAsia="宋体_GB2312"/>
          <w:sz w:val="24"/>
          <w:szCs w:val="24"/>
        </w:rPr>
        <w:t>波长下的损耗作为初始值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4)</w:t>
      </w:r>
      <w:r>
        <w:rPr>
          <w:rFonts w:hint="eastAsia" w:ascii="宋体_GB2312" w:hAnsi="宋体_GB2312" w:eastAsia="宋体_GB2312"/>
          <w:sz w:val="24"/>
          <w:szCs w:val="24"/>
        </w:rPr>
        <w:t>加温加湿至规定条件，保持</w:t>
      </w:r>
      <w:r>
        <w:rPr>
          <w:rFonts w:ascii="宋体_GB2312" w:hAnsi="宋体_GB2312" w:eastAsia="宋体_GB2312"/>
          <w:sz w:val="24"/>
          <w:szCs w:val="24"/>
        </w:rPr>
        <w:t xml:space="preserve">96h；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试验临结束前测试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试样在温度箱内自然恢复至室温，在室温状态下保持不少于</w:t>
      </w:r>
      <w:r>
        <w:rPr>
          <w:rFonts w:ascii="宋体_GB2312" w:hAnsi="宋体_GB2312" w:eastAsia="宋体_GB2312"/>
          <w:sz w:val="24"/>
          <w:szCs w:val="24"/>
        </w:rPr>
        <w:t>4h</w:t>
      </w:r>
      <w:r>
        <w:rPr>
          <w:rFonts w:hint="eastAsia" w:ascii="宋体_GB2312" w:hAnsi="宋体_GB2312" w:eastAsia="宋体_GB2312"/>
          <w:sz w:val="24"/>
          <w:szCs w:val="24"/>
        </w:rPr>
        <w:t>，然后测试</w:t>
      </w:r>
      <w:r>
        <w:rPr>
          <w:rFonts w:ascii="宋体_GB2312" w:hAnsi="宋体_GB2312" w:eastAsia="宋体_GB2312"/>
          <w:sz w:val="24"/>
          <w:szCs w:val="24"/>
        </w:rPr>
        <w:t>1550nm</w:t>
      </w:r>
      <w:r>
        <w:rPr>
          <w:rFonts w:hint="eastAsia" w:ascii="宋体_GB2312" w:hAnsi="宋体_GB2312" w:eastAsia="宋体_GB2312"/>
          <w:sz w:val="24"/>
          <w:szCs w:val="24"/>
        </w:rPr>
        <w:t>波长下的损耗</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7)</w:t>
      </w:r>
      <w:r>
        <w:rPr>
          <w:rFonts w:hint="eastAsia" w:ascii="宋体_GB2312" w:hAnsi="宋体_GB2312" w:eastAsia="宋体_GB2312"/>
          <w:sz w:val="24"/>
          <w:szCs w:val="24"/>
        </w:rPr>
        <w:t>根据初始损耗值、湿热下的损耗值、试验后的损耗值，计算出损耗变化量，试验中和试验后的损耗变化量均应符合表</w:t>
      </w:r>
      <w:r>
        <w:rPr>
          <w:rFonts w:ascii="宋体_GB2312" w:hAnsi="宋体_GB2312" w:eastAsia="宋体_GB2312"/>
          <w:sz w:val="24"/>
          <w:szCs w:val="24"/>
        </w:rPr>
        <w:t>13</w:t>
      </w:r>
      <w:r>
        <w:rPr>
          <w:rFonts w:hint="eastAsia" w:ascii="宋体_GB2312" w:hAnsi="宋体_GB2312" w:eastAsia="宋体_GB2312"/>
          <w:sz w:val="24"/>
          <w:szCs w:val="24"/>
        </w:rPr>
        <w:t>的要求</w:t>
      </w:r>
      <w:r>
        <w:rPr>
          <w:rFonts w:ascii="宋体_GB2312" w:hAnsi="宋体_GB2312" w:eastAsia="宋体_GB2312"/>
          <w:sz w:val="24"/>
          <w:szCs w:val="24"/>
        </w:rPr>
        <w:t>；</w:t>
      </w:r>
      <w:r>
        <w:rPr>
          <w:rFonts w:hint="eastAsia" w:ascii="宋体_GB2312" w:hAnsi="宋体_GB2312" w:eastAsia="宋体_GB2312"/>
          <w:sz w:val="24"/>
          <w:szCs w:val="24"/>
        </w:rPr>
        <w:t>目视检查组件是否有机械损伤，如变形、龟裂、松弛、脱落等现象。</w:t>
      </w:r>
    </w:p>
    <w:p>
      <w:pPr>
        <w:pStyle w:val="5"/>
        <w:spacing w:after="12"/>
        <w:rPr>
          <w:rFonts w:ascii="宋体_GB2312" w:hAnsi="宋体_GB2312" w:eastAsia="宋体_GB2312"/>
        </w:rPr>
      </w:pPr>
      <w:r>
        <w:rPr>
          <w:rFonts w:ascii="宋体_GB2312" w:hAnsi="宋体_GB2312" w:eastAsia="宋体_GB2312"/>
        </w:rPr>
        <w:t>3.6.6.5</w:t>
      </w:r>
      <w:r>
        <w:rPr>
          <w:rFonts w:hint="eastAsia" w:ascii="宋体_GB2312" w:hAnsi="宋体_GB2312" w:eastAsia="宋体_GB2312"/>
        </w:rPr>
        <w:t>浸水</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水源</w:t>
      </w:r>
      <w:r>
        <w:rPr>
          <w:rFonts w:ascii="宋体_GB2312" w:hAnsi="宋体_GB2312" w:eastAsia="宋体_GB2312"/>
          <w:sz w:val="24"/>
          <w:szCs w:val="24"/>
        </w:rPr>
        <w:t>：</w:t>
      </w:r>
      <w:r>
        <w:rPr>
          <w:rFonts w:hint="eastAsia" w:ascii="宋体_GB2312" w:hAnsi="宋体_GB2312" w:eastAsia="宋体_GB2312"/>
          <w:sz w:val="24"/>
          <w:szCs w:val="24"/>
        </w:rPr>
        <w:t>室温自来水</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持续时间</w:t>
      </w:r>
      <w:r>
        <w:rPr>
          <w:rFonts w:ascii="宋体_GB2312" w:hAnsi="宋体_GB2312" w:eastAsia="宋体_GB2312"/>
          <w:sz w:val="24"/>
          <w:szCs w:val="24"/>
        </w:rPr>
        <w:t>：168h</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测试组件在</w:t>
      </w:r>
      <w:r>
        <w:rPr>
          <w:rFonts w:ascii="宋体_GB2312" w:hAnsi="宋体_GB2312" w:eastAsia="宋体_GB2312"/>
          <w:sz w:val="24"/>
          <w:szCs w:val="24"/>
        </w:rPr>
        <w:t>1310nm</w:t>
      </w:r>
      <w:r>
        <w:rPr>
          <w:rFonts w:hint="eastAsia" w:ascii="宋体_GB2312" w:hAnsi="宋体_GB2312" w:eastAsia="宋体_GB2312"/>
          <w:sz w:val="24"/>
          <w:szCs w:val="24"/>
        </w:rPr>
        <w:t>和</w:t>
      </w:r>
      <w:r>
        <w:rPr>
          <w:rFonts w:ascii="宋体_GB2312" w:hAnsi="宋体_GB2312" w:eastAsia="宋体_GB2312"/>
          <w:sz w:val="24"/>
          <w:szCs w:val="24"/>
        </w:rPr>
        <w:t>1550nm</w:t>
      </w:r>
      <w:r>
        <w:rPr>
          <w:rFonts w:hint="eastAsia" w:ascii="宋体_GB2312" w:hAnsi="宋体_GB2312" w:eastAsia="宋体_GB2312"/>
          <w:sz w:val="24"/>
          <w:szCs w:val="24"/>
        </w:rPr>
        <w:t>波长下的插入损耗作为初始值</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将试样放入盛有室温自来水的容器中，并保证水淹没整个试样，试样不连接适配器，不带封帽</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浸水</w:t>
      </w:r>
      <w:r>
        <w:rPr>
          <w:rFonts w:ascii="宋体_GB2312" w:hAnsi="宋体_GB2312" w:eastAsia="宋体_GB2312"/>
          <w:sz w:val="24"/>
          <w:szCs w:val="24"/>
        </w:rPr>
        <w:t>168h</w:t>
      </w:r>
      <w:r>
        <w:rPr>
          <w:rFonts w:hint="eastAsia" w:ascii="宋体_GB2312" w:hAnsi="宋体_GB2312" w:eastAsia="宋体_GB2312"/>
          <w:sz w:val="24"/>
          <w:szCs w:val="24"/>
        </w:rPr>
        <w:t>后将试样从水中取出，轻轻擦拭表面水迹，在室温下恢复不少于</w:t>
      </w:r>
      <w:r>
        <w:rPr>
          <w:rFonts w:ascii="宋体_GB2312" w:hAnsi="宋体_GB2312" w:eastAsia="宋体_GB2312"/>
          <w:sz w:val="24"/>
          <w:szCs w:val="24"/>
        </w:rPr>
        <w:t>2h</w:t>
      </w:r>
      <w:r>
        <w:rPr>
          <w:rFonts w:hint="eastAsia" w:ascii="宋体_GB2312" w:hAnsi="宋体_GB2312" w:eastAsia="宋体_GB2312"/>
          <w:sz w:val="24"/>
          <w:szCs w:val="24"/>
        </w:rPr>
        <w:t>，测试在</w:t>
      </w:r>
      <w:r>
        <w:rPr>
          <w:rFonts w:ascii="宋体_GB2312" w:hAnsi="宋体_GB2312" w:eastAsia="宋体_GB2312"/>
          <w:sz w:val="24"/>
          <w:szCs w:val="24"/>
        </w:rPr>
        <w:t>1310mn</w:t>
      </w:r>
      <w:r>
        <w:rPr>
          <w:rFonts w:hint="eastAsia" w:ascii="宋体_GB2312" w:hAnsi="宋体_GB2312" w:eastAsia="宋体_GB2312"/>
          <w:sz w:val="24"/>
          <w:szCs w:val="24"/>
        </w:rPr>
        <w:t>和</w:t>
      </w:r>
      <w:r>
        <w:rPr>
          <w:rFonts w:ascii="宋体_GB2312" w:hAnsi="宋体_GB2312" w:eastAsia="宋体_GB2312"/>
          <w:sz w:val="24"/>
          <w:szCs w:val="24"/>
        </w:rPr>
        <w:t>1550nm</w:t>
      </w:r>
      <w:r>
        <w:rPr>
          <w:rFonts w:hint="eastAsia" w:ascii="宋体_GB2312" w:hAnsi="宋体_GB2312" w:eastAsia="宋体_GB2312"/>
          <w:sz w:val="24"/>
          <w:szCs w:val="24"/>
        </w:rPr>
        <w:t>波长下的插入损耗，试验后的损耗变化量应符合表</w:t>
      </w:r>
      <w:r>
        <w:rPr>
          <w:rFonts w:ascii="宋体_GB2312" w:hAnsi="宋体_GB2312" w:eastAsia="宋体_GB2312"/>
          <w:sz w:val="24"/>
          <w:szCs w:val="24"/>
        </w:rPr>
        <w:t>13</w:t>
      </w:r>
      <w:r>
        <w:rPr>
          <w:rFonts w:hint="eastAsia" w:ascii="宋体_GB2312" w:hAnsi="宋体_GB2312" w:eastAsia="宋体_GB2312"/>
          <w:sz w:val="24"/>
          <w:szCs w:val="24"/>
        </w:rPr>
        <w:t>的要求</w:t>
      </w:r>
      <w:r>
        <w:rPr>
          <w:rFonts w:ascii="宋体_GB2312" w:hAnsi="宋体_GB2312" w:eastAsia="宋体_GB2312"/>
          <w:sz w:val="24"/>
          <w:szCs w:val="24"/>
        </w:rPr>
        <w:t>；</w:t>
      </w:r>
      <w:r>
        <w:rPr>
          <w:rFonts w:hint="eastAsia" w:ascii="宋体_GB2312" w:hAnsi="宋体_GB2312" w:eastAsia="宋体_GB2312"/>
          <w:sz w:val="24"/>
          <w:szCs w:val="24"/>
        </w:rPr>
        <w:t>目视检查组件是否有变形、起泡、</w:t>
      </w:r>
      <w:r>
        <w:rPr>
          <w:rFonts w:ascii="宋体_GB2312" w:hAnsi="宋体_GB2312" w:eastAsia="宋体_GB2312"/>
          <w:sz w:val="24"/>
          <w:szCs w:val="24"/>
        </w:rPr>
        <w:t xml:space="preserve"> </w:t>
      </w:r>
      <w:r>
        <w:rPr>
          <w:rFonts w:hint="eastAsia" w:ascii="宋体_GB2312" w:hAnsi="宋体_GB2312" w:eastAsia="宋体_GB2312"/>
          <w:sz w:val="24"/>
          <w:szCs w:val="24"/>
        </w:rPr>
        <w:t>松弛、脱落等现象。</w:t>
      </w:r>
    </w:p>
    <w:p>
      <w:pPr>
        <w:pStyle w:val="5"/>
        <w:spacing w:after="12"/>
        <w:rPr>
          <w:rFonts w:ascii="宋体_GB2312" w:hAnsi="宋体_GB2312" w:eastAsia="宋体_GB2312"/>
        </w:rPr>
      </w:pPr>
      <w:r>
        <w:rPr>
          <w:rFonts w:ascii="宋体_GB2312" w:hAnsi="宋体_GB2312" w:eastAsia="宋体_GB2312"/>
          <w:lang w:eastAsia="zh-CN"/>
        </w:rPr>
        <w:t>3.6.6.6</w:t>
      </w:r>
      <w:r>
        <w:rPr>
          <w:rFonts w:hint="eastAsia" w:ascii="宋体_GB2312" w:hAnsi="宋体_GB2312" w:eastAsia="宋体_GB2312"/>
        </w:rPr>
        <w:t>盐雾</w:t>
      </w:r>
      <w:r>
        <w:rPr>
          <w:rFonts w:ascii="宋体_GB2312" w:hAnsi="宋体_GB2312" w:eastAsia="宋体_GB2312"/>
        </w:rPr>
        <w:t xml:space="preserve"> (</w:t>
      </w:r>
      <w:r>
        <w:rPr>
          <w:rFonts w:hint="eastAsia" w:ascii="宋体_GB2312" w:hAnsi="宋体_GB2312" w:eastAsia="宋体_GB2312"/>
        </w:rPr>
        <w:t>适用于</w:t>
      </w:r>
      <w:r>
        <w:rPr>
          <w:rFonts w:ascii="宋体_GB2312" w:hAnsi="宋体_GB2312" w:eastAsia="宋体_GB2312"/>
        </w:rPr>
        <w:t xml:space="preserve"> FC</w:t>
      </w:r>
      <w:r>
        <w:rPr>
          <w:rFonts w:hint="eastAsia" w:ascii="宋体_GB2312" w:hAnsi="宋体_GB2312" w:eastAsia="宋体_GB2312"/>
        </w:rPr>
        <w:t>型连接器</w:t>
      </w:r>
      <w:r>
        <w:rPr>
          <w:rFonts w:ascii="宋体_GB2312" w:hAnsi="宋体_GB2312" w:eastAsia="宋体_GB2312"/>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试验条件</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盐雾</w:t>
      </w:r>
      <w:r>
        <w:rPr>
          <w:rFonts w:ascii="宋体_GB2312" w:hAnsi="宋体_GB2312" w:eastAsia="宋体_GB2312"/>
          <w:sz w:val="24"/>
          <w:szCs w:val="24"/>
        </w:rPr>
        <w:t>：5%NaCl</w:t>
      </w:r>
      <w:r>
        <w:rPr>
          <w:rFonts w:hint="eastAsia" w:ascii="宋体_GB2312" w:hAnsi="宋体_GB2312" w:eastAsia="宋体_GB2312"/>
          <w:sz w:val="24"/>
          <w:szCs w:val="24"/>
        </w:rPr>
        <w:t>喷雾</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温度</w:t>
      </w:r>
      <w:r>
        <w:rPr>
          <w:rFonts w:ascii="宋体_GB2312" w:hAnsi="宋体_GB2312" w:eastAsia="宋体_GB2312"/>
          <w:sz w:val="24"/>
          <w:szCs w:val="24"/>
        </w:rPr>
        <w:t>：35</w:t>
      </w:r>
      <w:r>
        <w:rPr>
          <w:rFonts w:hint="eastAsia" w:ascii="宋体_GB2312" w:hAnsi="宋体_GB2312" w:eastAsia="宋体_GB2312"/>
          <w:sz w:val="24"/>
          <w:szCs w:val="24"/>
        </w:rPr>
        <w:t>℃</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w:t>
      </w:r>
      <w:r>
        <w:rPr>
          <w:rFonts w:hint="eastAsia" w:ascii="宋体_GB2312" w:hAnsi="宋体_GB2312" w:eastAsia="宋体_GB2312"/>
          <w:sz w:val="24"/>
          <w:szCs w:val="24"/>
        </w:rPr>
        <w:t>持续时间</w:t>
      </w:r>
      <w:r>
        <w:rPr>
          <w:rFonts w:ascii="宋体_GB2312" w:hAnsi="宋体_GB2312" w:eastAsia="宋体_GB2312"/>
          <w:sz w:val="24"/>
          <w:szCs w:val="24"/>
        </w:rPr>
        <w:t>：48h</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试验步骤</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1)</w:t>
      </w:r>
      <w:r>
        <w:rPr>
          <w:rFonts w:hint="eastAsia" w:ascii="宋体_GB2312" w:hAnsi="宋体_GB2312" w:eastAsia="宋体_GB2312"/>
          <w:sz w:val="24"/>
          <w:szCs w:val="24"/>
        </w:rPr>
        <w:t>将组件放置于盐雾箱内，在</w:t>
      </w:r>
      <w:r>
        <w:rPr>
          <w:rFonts w:ascii="宋体_GB2312" w:hAnsi="宋体_GB2312" w:eastAsia="宋体_GB2312"/>
          <w:sz w:val="24"/>
          <w:szCs w:val="24"/>
        </w:rPr>
        <w:t>35</w:t>
      </w:r>
      <w:r>
        <w:rPr>
          <w:rFonts w:hint="eastAsia" w:ascii="宋体_GB2312" w:hAnsi="宋体_GB2312" w:eastAsia="宋体_GB2312"/>
          <w:sz w:val="24"/>
          <w:szCs w:val="24"/>
        </w:rPr>
        <w:t>℃，</w:t>
      </w:r>
      <w:r>
        <w:rPr>
          <w:rFonts w:ascii="宋体_GB2312" w:hAnsi="宋体_GB2312" w:eastAsia="宋体_GB2312"/>
          <w:sz w:val="24"/>
          <w:szCs w:val="24"/>
        </w:rPr>
        <w:t>5%NaCl</w:t>
      </w:r>
      <w:r>
        <w:rPr>
          <w:rFonts w:hint="eastAsia" w:ascii="宋体_GB2312" w:hAnsi="宋体_GB2312" w:eastAsia="宋体_GB2312"/>
          <w:sz w:val="24"/>
          <w:szCs w:val="24"/>
        </w:rPr>
        <w:t>下保持</w:t>
      </w:r>
      <w:r>
        <w:rPr>
          <w:rFonts w:ascii="宋体_GB2312" w:hAnsi="宋体_GB2312" w:eastAsia="宋体_GB2312"/>
          <w:sz w:val="24"/>
          <w:szCs w:val="24"/>
        </w:rPr>
        <w:t>48h；</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2)</w:t>
      </w:r>
      <w:r>
        <w:rPr>
          <w:rFonts w:hint="eastAsia" w:ascii="宋体_GB2312" w:hAnsi="宋体_GB2312" w:eastAsia="宋体_GB2312"/>
          <w:sz w:val="24"/>
          <w:szCs w:val="24"/>
        </w:rPr>
        <w:t>取出样品，将组件擦拭干净，目视检查连接器插头金属构件是否有锈蚀。</w:t>
      </w:r>
    </w:p>
    <w:p>
      <w:pPr>
        <w:pStyle w:val="4"/>
        <w:spacing w:after="12"/>
        <w:rPr>
          <w:rFonts w:ascii="宋体_GB2312" w:hAnsi="宋体_GB2312" w:eastAsia="宋体_GB2312"/>
        </w:rPr>
      </w:pPr>
      <w:bookmarkStart w:id="135" w:name="_Toc30499"/>
      <w:bookmarkStart w:id="136" w:name="_Toc54084434"/>
      <w:r>
        <w:rPr>
          <w:rFonts w:ascii="宋体_GB2312" w:hAnsi="宋体_GB2312" w:eastAsia="宋体_GB2312"/>
          <w:lang w:eastAsia="zh-CN"/>
        </w:rPr>
        <w:t>3.6.7</w:t>
      </w:r>
      <w:r>
        <w:rPr>
          <w:rFonts w:hint="eastAsia" w:ascii="宋体_GB2312" w:hAnsi="宋体_GB2312" w:eastAsia="宋体_GB2312"/>
        </w:rPr>
        <w:t>阻燃性能</w:t>
      </w:r>
      <w:bookmarkEnd w:id="135"/>
      <w:bookmarkEnd w:id="136"/>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连接器插头阻燃性能</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SC</w:t>
      </w:r>
      <w:r>
        <w:rPr>
          <w:rFonts w:hint="eastAsia" w:ascii="宋体_GB2312" w:hAnsi="宋体_GB2312" w:eastAsia="宋体_GB2312"/>
          <w:sz w:val="24"/>
          <w:szCs w:val="24"/>
        </w:rPr>
        <w:t>型、</w:t>
      </w:r>
      <w:r>
        <w:rPr>
          <w:rFonts w:ascii="宋体_GB2312" w:hAnsi="宋体_GB2312" w:eastAsia="宋体_GB2312"/>
          <w:sz w:val="24"/>
          <w:szCs w:val="24"/>
        </w:rPr>
        <w:t>LC</w:t>
      </w:r>
      <w:r>
        <w:rPr>
          <w:rFonts w:hint="eastAsia" w:ascii="宋体_GB2312" w:hAnsi="宋体_GB2312" w:eastAsia="宋体_GB2312"/>
          <w:sz w:val="24"/>
          <w:szCs w:val="24"/>
        </w:rPr>
        <w:t>型连接器插头塑料件阻燃性能试验方法按照</w:t>
      </w:r>
      <w:r>
        <w:rPr>
          <w:rFonts w:ascii="宋体_GB2312" w:hAnsi="宋体_GB2312" w:eastAsia="宋体_GB2312"/>
          <w:sz w:val="24"/>
          <w:szCs w:val="24"/>
        </w:rPr>
        <w:t>GB/T 5169.5-2008</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光缆阻燃性能</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光缆阻燃性能试验方法按照</w:t>
      </w:r>
      <w:r>
        <w:rPr>
          <w:rFonts w:ascii="宋体_GB2312" w:hAnsi="宋体_GB2312" w:eastAsia="宋体_GB2312"/>
          <w:sz w:val="24"/>
          <w:szCs w:val="24"/>
        </w:rPr>
        <w:t>GB/T 18380.12-2008</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137" w:name="_Toc54084435"/>
      <w:bookmarkStart w:id="138" w:name="_Toc9475"/>
      <w:r>
        <w:rPr>
          <w:rFonts w:ascii="宋体_GB2312" w:hAnsi="宋体_GB2312" w:eastAsia="宋体_GB2312"/>
          <w:lang w:eastAsia="zh-CN"/>
        </w:rPr>
        <w:t>3.6.8</w:t>
      </w:r>
      <w:r>
        <w:rPr>
          <w:rFonts w:hint="eastAsia" w:ascii="宋体_GB2312" w:hAnsi="宋体_GB2312" w:eastAsia="宋体_GB2312"/>
        </w:rPr>
        <w:t>环保性能</w:t>
      </w:r>
      <w:bookmarkEnd w:id="137"/>
      <w:bookmarkEnd w:id="138"/>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环保性能试验方法按照</w:t>
      </w:r>
      <w:r>
        <w:rPr>
          <w:rFonts w:ascii="宋体_GB2312" w:hAnsi="宋体_GB2312" w:eastAsia="宋体_GB2312"/>
          <w:sz w:val="24"/>
          <w:szCs w:val="24"/>
        </w:rPr>
        <w:t>GB/T 26125-2011</w:t>
      </w:r>
      <w:r>
        <w:rPr>
          <w:rFonts w:hint="eastAsia" w:ascii="宋体_GB2312" w:hAnsi="宋体_GB2312" w:eastAsia="宋体_GB2312"/>
          <w:sz w:val="24"/>
          <w:szCs w:val="24"/>
        </w:rPr>
        <w:t>。</w:t>
      </w:r>
    </w:p>
    <w:p>
      <w:pPr>
        <w:pStyle w:val="4"/>
        <w:spacing w:after="12"/>
        <w:rPr>
          <w:rFonts w:ascii="宋体_GB2312" w:hAnsi="宋体_GB2312" w:eastAsia="宋体_GB2312"/>
        </w:rPr>
      </w:pPr>
      <w:bookmarkStart w:id="139" w:name="_Toc21832"/>
      <w:bookmarkStart w:id="140" w:name="_Toc54084436"/>
      <w:r>
        <w:rPr>
          <w:rFonts w:ascii="宋体_GB2312" w:hAnsi="宋体_GB2312" w:eastAsia="宋体_GB2312"/>
          <w:lang w:eastAsia="zh-CN"/>
        </w:rPr>
        <w:t>3.6.9</w:t>
      </w:r>
      <w:r>
        <w:rPr>
          <w:rFonts w:hint="eastAsia" w:ascii="宋体_GB2312" w:hAnsi="宋体_GB2312" w:eastAsia="宋体_GB2312"/>
        </w:rPr>
        <w:t>光缆计米误差</w:t>
      </w:r>
      <w:bookmarkEnd w:id="139"/>
      <w:bookmarkEnd w:id="140"/>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在适当长度上用分辨率不大于</w:t>
      </w:r>
      <w:r>
        <w:rPr>
          <w:rFonts w:ascii="宋体_GB2312" w:hAnsi="宋体_GB2312" w:eastAsia="宋体_GB2312"/>
          <w:sz w:val="24"/>
          <w:szCs w:val="24"/>
        </w:rPr>
        <w:t>1mm</w:t>
      </w:r>
      <w:r>
        <w:rPr>
          <w:rFonts w:hint="eastAsia" w:ascii="宋体_GB2312" w:hAnsi="宋体_GB2312" w:eastAsia="宋体_GB2312"/>
          <w:sz w:val="24"/>
          <w:szCs w:val="24"/>
        </w:rPr>
        <w:t>的钢卷尺沿光缆量得长度减去用计米数字确定的长度对前者的相对差。</w:t>
      </w:r>
    </w:p>
    <w:p>
      <w:pPr>
        <w:pStyle w:val="2"/>
        <w:spacing w:before="0" w:after="0" w:line="276" w:lineRule="auto"/>
        <w:rPr>
          <w:rFonts w:ascii="宋体_GB2312" w:hAnsi="宋体_GB2312" w:eastAsia="宋体_GB2312"/>
          <w:sz w:val="24"/>
          <w:szCs w:val="24"/>
        </w:rPr>
      </w:pPr>
      <w:bookmarkStart w:id="141" w:name="_Toc11963"/>
      <w:bookmarkStart w:id="142" w:name="_Toc54084437"/>
      <w:r>
        <w:rPr>
          <w:rFonts w:ascii="宋体_GB2312" w:hAnsi="宋体_GB2312" w:eastAsia="宋体_GB2312"/>
          <w:sz w:val="24"/>
          <w:szCs w:val="24"/>
        </w:rPr>
        <w:t>3.7 其它</w:t>
      </w:r>
      <w:r>
        <w:rPr>
          <w:rFonts w:hint="eastAsia" w:ascii="宋体_GB2312" w:hAnsi="宋体_GB2312" w:eastAsia="宋体_GB2312"/>
          <w:sz w:val="24"/>
          <w:szCs w:val="24"/>
        </w:rPr>
        <w:t>性能和要求</w:t>
      </w:r>
      <w:bookmarkEnd w:id="141"/>
      <w:bookmarkEnd w:id="142"/>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本</w:t>
      </w:r>
      <w:r>
        <w:rPr>
          <w:rFonts w:ascii="宋体_GB2312" w:hAnsi="宋体_GB2312" w:eastAsia="宋体_GB2312"/>
          <w:sz w:val="24"/>
          <w:szCs w:val="24"/>
        </w:rPr>
        <w:t>技术规范书中</w:t>
      </w:r>
      <w:r>
        <w:rPr>
          <w:rFonts w:hint="eastAsia" w:ascii="宋体_GB2312" w:hAnsi="宋体_GB2312" w:eastAsia="宋体_GB2312"/>
          <w:sz w:val="24"/>
          <w:szCs w:val="24"/>
        </w:rPr>
        <w:t>未</w:t>
      </w:r>
      <w:r>
        <w:rPr>
          <w:rFonts w:ascii="宋体_GB2312" w:hAnsi="宋体_GB2312" w:eastAsia="宋体_GB2312"/>
          <w:sz w:val="24"/>
          <w:szCs w:val="24"/>
        </w:rPr>
        <w:t>规定的</w:t>
      </w:r>
      <w:r>
        <w:rPr>
          <w:rFonts w:hint="eastAsia" w:ascii="宋体_GB2312" w:hAnsi="宋体_GB2312" w:eastAsia="宋体_GB2312"/>
          <w:sz w:val="24"/>
          <w:szCs w:val="24"/>
        </w:rPr>
        <w:t>其它</w:t>
      </w:r>
      <w:r>
        <w:rPr>
          <w:rFonts w:ascii="宋体_GB2312" w:hAnsi="宋体_GB2312" w:eastAsia="宋体_GB2312"/>
          <w:sz w:val="24"/>
          <w:szCs w:val="24"/>
        </w:rPr>
        <w:t>技术指标，应满足YD/T 1997.3-2015</w:t>
      </w:r>
      <w:r>
        <w:rPr>
          <w:rFonts w:hint="eastAsia" w:ascii="宋体_GB2312" w:hAnsi="宋体_GB2312" w:eastAsia="宋体_GB2312"/>
          <w:sz w:val="24"/>
          <w:szCs w:val="24"/>
        </w:rPr>
        <w:t>《通信用引入光缆</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 xml:space="preserve">3部分： </w:t>
      </w:r>
      <w:r>
        <w:rPr>
          <w:rFonts w:hint="eastAsia" w:ascii="宋体_GB2312" w:hAnsi="宋体_GB2312" w:eastAsia="宋体_GB2312"/>
          <w:sz w:val="24"/>
          <w:szCs w:val="24"/>
        </w:rPr>
        <w:t>预制成端光缆组件》</w:t>
      </w:r>
      <w:r>
        <w:rPr>
          <w:rFonts w:ascii="宋体_GB2312" w:hAnsi="宋体_GB2312" w:eastAsia="宋体_GB2312"/>
          <w:sz w:val="24"/>
          <w:szCs w:val="24"/>
        </w:rPr>
        <w:t>中的</w:t>
      </w:r>
      <w:r>
        <w:rPr>
          <w:rFonts w:hint="eastAsia" w:ascii="宋体_GB2312" w:hAnsi="宋体_GB2312" w:eastAsia="宋体_GB2312"/>
          <w:sz w:val="24"/>
          <w:szCs w:val="24"/>
        </w:rPr>
        <w:t>规定</w:t>
      </w:r>
      <w:r>
        <w:rPr>
          <w:rFonts w:ascii="宋体_GB2312" w:hAnsi="宋体_GB2312" w:eastAsia="宋体_GB2312"/>
          <w:sz w:val="24"/>
          <w:szCs w:val="24"/>
        </w:rPr>
        <w:t>要求。</w:t>
      </w:r>
    </w:p>
    <w:p>
      <w:pPr>
        <w:pStyle w:val="2"/>
        <w:spacing w:before="0" w:after="0" w:line="276" w:lineRule="auto"/>
        <w:rPr>
          <w:rFonts w:ascii="宋体_GB2312" w:hAnsi="宋体_GB2312" w:eastAsia="宋体_GB2312"/>
          <w:sz w:val="24"/>
          <w:szCs w:val="24"/>
        </w:rPr>
      </w:pPr>
      <w:bookmarkStart w:id="143" w:name="_Toc54084438"/>
      <w:bookmarkStart w:id="144" w:name="_Toc326160338"/>
      <w:bookmarkStart w:id="145" w:name="_Toc23503"/>
      <w:r>
        <w:rPr>
          <w:rFonts w:ascii="宋体_GB2312" w:hAnsi="宋体_GB2312" w:eastAsia="宋体_GB2312"/>
          <w:sz w:val="24"/>
          <w:szCs w:val="24"/>
        </w:rPr>
        <w:t>3.8</w:t>
      </w:r>
      <w:r>
        <w:rPr>
          <w:rFonts w:hint="eastAsia" w:ascii="宋体_GB2312" w:hAnsi="宋体_GB2312" w:eastAsia="宋体_GB2312"/>
          <w:sz w:val="24"/>
          <w:szCs w:val="24"/>
        </w:rPr>
        <w:t>标识、包装、运输和贮存</w:t>
      </w:r>
      <w:bookmarkEnd w:id="143"/>
      <w:bookmarkEnd w:id="144"/>
      <w:bookmarkEnd w:id="145"/>
    </w:p>
    <w:p>
      <w:pPr>
        <w:spacing w:before="120" w:beforeLines="50" w:line="300" w:lineRule="auto"/>
        <w:ind w:firstLine="480" w:firstLineChars="200"/>
        <w:rPr>
          <w:rFonts w:ascii="宋体_GB2312" w:hAnsi="宋体_GB2312" w:eastAsia="宋体_GB2312"/>
          <w:kern w:val="2"/>
          <w:sz w:val="24"/>
          <w:szCs w:val="24"/>
        </w:rPr>
      </w:pPr>
      <w:bookmarkStart w:id="146" w:name="_Toc326160339"/>
      <w:r>
        <w:rPr>
          <w:rFonts w:ascii="宋体_GB2312" w:hAnsi="宋体_GB2312" w:eastAsia="宋体_GB2312"/>
          <w:kern w:val="2"/>
          <w:sz w:val="24"/>
          <w:szCs w:val="24"/>
        </w:rPr>
        <w:t xml:space="preserve">3.8.1  </w:t>
      </w:r>
      <w:r>
        <w:rPr>
          <w:rFonts w:hint="eastAsia" w:ascii="宋体_GB2312" w:hAnsi="宋体_GB2312" w:eastAsia="宋体_GB2312"/>
          <w:kern w:val="2"/>
          <w:sz w:val="24"/>
          <w:szCs w:val="24"/>
        </w:rPr>
        <w:t>标识</w:t>
      </w:r>
      <w:bookmarkEnd w:id="146"/>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预制成端型蝶形光缆的标识应符合以下要求：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a）SC/UPC型预制成端型蝶形光缆的插头外部件一般为蓝色。</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）预制成端型蝶形光缆的插头外部件应有明显的、永久性一体化注塑成型、非印刷形式的制造厂家的</w:t>
      </w:r>
      <w:r>
        <w:rPr>
          <w:rFonts w:ascii="宋体_GB2312" w:hAnsi="宋体_GB2312" w:eastAsia="宋体_GB2312"/>
          <w:sz w:val="24"/>
          <w:szCs w:val="24"/>
        </w:rPr>
        <w:t>LOGO，此标志在光缆的寿命期间内必须是永久和清晰的，应不影响预制成端型蝶形光缆的任何性能。</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c）光缆护套上应印有永久性标志，标志内容应包括光缆型号、计米长度、生产日期，光缆生产商 </w:t>
      </w:r>
      <w:r>
        <w:rPr>
          <w:rFonts w:hint="eastAsia" w:ascii="宋体_GB2312" w:hAnsi="宋体_GB2312" w:eastAsia="宋体_GB2312"/>
          <w:sz w:val="24"/>
          <w:szCs w:val="24"/>
        </w:rPr>
        <w:t>名称或商标。相邻标志始点的距离为</w:t>
      </w:r>
      <w:r>
        <w:rPr>
          <w:rFonts w:ascii="宋体_GB2312" w:hAnsi="宋体_GB2312" w:eastAsia="宋体_GB2312"/>
          <w:sz w:val="24"/>
          <w:szCs w:val="24"/>
        </w:rPr>
        <w:t xml:space="preserve"> 1m。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d</w:t>
      </w:r>
      <w:r>
        <w:rPr>
          <w:rFonts w:hint="eastAsia" w:ascii="宋体_GB2312" w:hAnsi="宋体_GB2312" w:eastAsia="宋体_GB2312"/>
          <w:sz w:val="24"/>
          <w:szCs w:val="24"/>
        </w:rPr>
        <w:t>）光缆护套上的计米长度误差应为</w:t>
      </w:r>
      <w:r>
        <w:rPr>
          <w:rFonts w:ascii="宋体_GB2312" w:hAnsi="宋体_GB2312" w:eastAsia="宋体_GB2312"/>
          <w:sz w:val="24"/>
          <w:szCs w:val="24"/>
        </w:rPr>
        <w:t>0.0%</w:t>
      </w:r>
      <w:r>
        <w:rPr>
          <w:rFonts w:hint="eastAsia" w:ascii="宋体_GB2312" w:hAnsi="宋体_GB2312" w:eastAsia="宋体_GB2312"/>
          <w:sz w:val="24"/>
          <w:szCs w:val="24"/>
        </w:rPr>
        <w:t>～</w:t>
      </w:r>
      <w:r>
        <w:rPr>
          <w:rFonts w:ascii="宋体_GB2312" w:hAnsi="宋体_GB2312" w:eastAsia="宋体_GB2312"/>
          <w:sz w:val="24"/>
          <w:szCs w:val="24"/>
        </w:rPr>
        <w:t>1.0%之间，以保证真实长度不小于计米长度。</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e</w:t>
      </w:r>
      <w:r>
        <w:rPr>
          <w:rFonts w:hint="eastAsia" w:ascii="宋体_GB2312" w:hAnsi="宋体_GB2312" w:eastAsia="宋体_GB2312"/>
          <w:sz w:val="24"/>
          <w:szCs w:val="24"/>
        </w:rPr>
        <w:t>）光缆护套表面应印有：</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(1) </w:t>
      </w:r>
      <w:r>
        <w:rPr>
          <w:rFonts w:hint="eastAsia" w:ascii="宋体_GB2312" w:hAnsi="宋体_GB2312" w:eastAsia="宋体_GB2312"/>
          <w:sz w:val="24"/>
          <w:szCs w:val="24"/>
        </w:rPr>
        <w:t>计米长度（</w:t>
      </w:r>
      <w:r>
        <w:rPr>
          <w:rFonts w:ascii="宋体_GB2312" w:hAnsi="宋体_GB2312" w:eastAsia="宋体_GB2312"/>
          <w:sz w:val="24"/>
          <w:szCs w:val="24"/>
        </w:rPr>
        <w:t>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(2) </w:t>
      </w:r>
      <w:r>
        <w:rPr>
          <w:rFonts w:hint="eastAsia" w:ascii="宋体_GB2312" w:hAnsi="宋体_GB2312" w:eastAsia="宋体_GB2312"/>
          <w:sz w:val="24"/>
          <w:szCs w:val="24"/>
        </w:rPr>
        <w:t>光纤品牌及光缆型号</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(3) CHINA UNICOM</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(4) </w:t>
      </w:r>
      <w:r>
        <w:rPr>
          <w:rFonts w:hint="eastAsia" w:ascii="宋体_GB2312" w:hAnsi="宋体_GB2312" w:eastAsia="宋体_GB2312"/>
          <w:sz w:val="24"/>
          <w:szCs w:val="24"/>
        </w:rPr>
        <w:t>制造厂家（英文名缩写）</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(5) </w:t>
      </w:r>
      <w:r>
        <w:rPr>
          <w:rFonts w:hint="eastAsia" w:ascii="宋体_GB2312" w:hAnsi="宋体_GB2312" w:eastAsia="宋体_GB2312"/>
          <w:sz w:val="24"/>
          <w:szCs w:val="24"/>
        </w:rPr>
        <w:t>产地（精确到地市，拼音）</w:t>
      </w:r>
      <w:bookmarkStart w:id="149" w:name="_GoBack"/>
      <w:bookmarkEnd w:id="149"/>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(6) </w:t>
      </w:r>
      <w:r>
        <w:rPr>
          <w:rFonts w:hint="eastAsia" w:ascii="宋体_GB2312" w:hAnsi="宋体_GB2312" w:eastAsia="宋体_GB2312"/>
          <w:sz w:val="24"/>
          <w:szCs w:val="24"/>
        </w:rPr>
        <w:t>制造年月</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f</w:t>
      </w:r>
      <w:r>
        <w:rPr>
          <w:rFonts w:hint="eastAsia" w:ascii="宋体_GB2312" w:hAnsi="宋体_GB2312" w:eastAsia="宋体_GB2312"/>
          <w:sz w:val="24"/>
          <w:szCs w:val="24"/>
        </w:rPr>
        <w:t>）以上标志在光缆的寿命期间内必须是永久和清晰的。</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g</w:t>
      </w:r>
      <w:r>
        <w:rPr>
          <w:rFonts w:hint="eastAsia" w:ascii="宋体_GB2312" w:hAnsi="宋体_GB2312" w:eastAsia="宋体_GB2312"/>
          <w:sz w:val="24"/>
          <w:szCs w:val="24"/>
        </w:rPr>
        <w:t>）标志应清晰，并与护套粘附牢固，经过磨损试验后应仍可辨认。</w:t>
      </w:r>
    </w:p>
    <w:p>
      <w:pPr>
        <w:spacing w:before="120" w:beforeLines="50" w:line="300" w:lineRule="auto"/>
        <w:ind w:firstLine="480" w:firstLineChars="200"/>
        <w:rPr>
          <w:rFonts w:ascii="宋体_GB2312" w:hAnsi="宋体_GB2312" w:eastAsia="宋体_GB2312"/>
          <w:kern w:val="2"/>
          <w:sz w:val="24"/>
          <w:szCs w:val="24"/>
        </w:rPr>
      </w:pPr>
      <w:bookmarkStart w:id="147" w:name="_Toc326160340"/>
      <w:r>
        <w:rPr>
          <w:rFonts w:ascii="宋体_GB2312" w:hAnsi="宋体_GB2312" w:eastAsia="宋体_GB2312"/>
          <w:kern w:val="2"/>
          <w:sz w:val="24"/>
          <w:szCs w:val="24"/>
        </w:rPr>
        <w:t xml:space="preserve">3.8.2  </w:t>
      </w:r>
      <w:r>
        <w:rPr>
          <w:rFonts w:hint="eastAsia" w:ascii="宋体_GB2312" w:hAnsi="宋体_GB2312" w:eastAsia="宋体_GB2312"/>
          <w:kern w:val="2"/>
          <w:sz w:val="24"/>
          <w:szCs w:val="24"/>
        </w:rPr>
        <w:t>包装、运输</w:t>
      </w:r>
      <w:bookmarkEnd w:id="14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预制成端型蝶形光缆连接器</w:t>
      </w:r>
      <w:r>
        <w:rPr>
          <w:rFonts w:ascii="宋体_GB2312" w:hAnsi="宋体_GB2312" w:eastAsia="宋体_GB2312"/>
          <w:sz w:val="24"/>
          <w:szCs w:val="24"/>
        </w:rPr>
        <w:t>插头</w:t>
      </w:r>
      <w:r>
        <w:rPr>
          <w:rFonts w:hint="eastAsia" w:ascii="宋体_GB2312" w:hAnsi="宋体_GB2312" w:eastAsia="宋体_GB2312"/>
          <w:sz w:val="24"/>
          <w:szCs w:val="24"/>
        </w:rPr>
        <w:t>应当配备防尘帽。包装分基本包装和大包装，每个组件应进行基本包装，若干个基本包装可装入一个大包装箱。</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基本包装可多种方式。大长度（如大于等于</w:t>
      </w:r>
      <w:r>
        <w:rPr>
          <w:rFonts w:ascii="宋体_GB2312" w:hAnsi="宋体_GB2312" w:eastAsia="宋体_GB2312"/>
          <w:sz w:val="24"/>
          <w:szCs w:val="24"/>
        </w:rPr>
        <w:t xml:space="preserve"> 50m）的组件宜盘绕在塑料小盘具上，或者成圈，并用塑料膜缠绕包装，盘绕或成圈最小直径不小于100mm。小长度（如小于 50m）</w:t>
      </w:r>
      <w:r>
        <w:rPr>
          <w:rFonts w:hint="eastAsia" w:ascii="宋体_GB2312" w:hAnsi="宋体_GB2312" w:eastAsia="宋体_GB2312"/>
          <w:sz w:val="24"/>
          <w:szCs w:val="24"/>
        </w:rPr>
        <w:t>的组件可直接装入塑料袋。组件也可以是其它合适的包装方式，例如吸塑塑料盒，泡沫塑料盒、硬纸盒等。</w:t>
      </w:r>
      <w:r>
        <w:rPr>
          <w:rFonts w:ascii="宋体_GB2312" w:hAnsi="宋体_GB2312" w:eastAsia="宋体_GB2312"/>
          <w:sz w:val="24"/>
          <w:szCs w:val="24"/>
        </w:rPr>
        <w:t xml:space="preserve">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 xml:space="preserve">3）基本包装内应附有产品合格证。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 xml:space="preserve">4）大包装箱上应标明：产品型号、生产单位、产品数量、生产日期、毛重等。 </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5）大包装箱内应放置装箱清单，产品使用说明。</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6）</w:t>
      </w:r>
      <w:r>
        <w:rPr>
          <w:rFonts w:hint="eastAsia" w:ascii="宋体_GB2312" w:hAnsi="宋体_GB2312" w:eastAsia="宋体_GB2312"/>
          <w:sz w:val="24"/>
          <w:szCs w:val="24"/>
        </w:rPr>
        <w:t>在运输中应避免碰撞、跌落、挤压、雨雪的直接淋袭和阳光暴晒。</w:t>
      </w:r>
    </w:p>
    <w:p>
      <w:pPr>
        <w:spacing w:before="120" w:beforeLines="50" w:line="300" w:lineRule="auto"/>
        <w:ind w:firstLine="480" w:firstLineChars="200"/>
        <w:rPr>
          <w:rFonts w:ascii="宋体_GB2312" w:hAnsi="宋体_GB2312" w:eastAsia="宋体_GB2312"/>
          <w:kern w:val="2"/>
          <w:sz w:val="24"/>
          <w:szCs w:val="24"/>
        </w:rPr>
      </w:pPr>
      <w:bookmarkStart w:id="148" w:name="_Toc326160341"/>
      <w:r>
        <w:rPr>
          <w:rFonts w:ascii="宋体_GB2312" w:hAnsi="宋体_GB2312" w:eastAsia="宋体_GB2312"/>
          <w:kern w:val="2"/>
          <w:sz w:val="24"/>
          <w:szCs w:val="24"/>
        </w:rPr>
        <w:t xml:space="preserve">3.8.3  </w:t>
      </w:r>
      <w:r>
        <w:rPr>
          <w:rFonts w:hint="eastAsia" w:ascii="宋体_GB2312" w:hAnsi="宋体_GB2312" w:eastAsia="宋体_GB2312"/>
          <w:kern w:val="2"/>
          <w:sz w:val="24"/>
          <w:szCs w:val="24"/>
        </w:rPr>
        <w:t>贮存</w:t>
      </w:r>
      <w:bookmarkEnd w:id="148"/>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预制成端型蝶形光缆应贮存在通风良好、干燥的仓库中，其周围不应有腐蚀性气体存在。</w:t>
      </w:r>
      <w:bookmarkEnd w:id="62"/>
    </w:p>
    <w:sectPr>
      <w:headerReference r:id="rId3" w:type="default"/>
      <w:footerReference r:id="rId4" w:type="default"/>
      <w:footerReference r:id="rId5" w:type="even"/>
      <w:pgSz w:w="11907" w:h="16840"/>
      <w:pgMar w:top="1440" w:right="1080" w:bottom="1440" w:left="1080" w:header="851" w:footer="992" w:gutter="0"/>
      <w:pgNumType w:start="0"/>
      <w:cols w:space="425"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ì.">
    <w:altName w:val="微软雅黑"/>
    <w:panose1 w:val="00000000000000000000"/>
    <w:charset w:val="86"/>
    <w:family w:val="swiss"/>
    <w:pitch w:val="default"/>
    <w:sig w:usb0="00000000" w:usb1="00000000" w:usb2="00000010" w:usb3="00000000" w:csb0="00040000" w:csb1="00000000"/>
  </w:font>
  <w:font w:name="arial,sans-serif">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宋体_GB2312">
    <w:panose1 w:val="02010600030101010101"/>
    <w:charset w:val="86"/>
    <w:family w:val="auto"/>
    <w:pitch w:val="default"/>
    <w:sig w:usb0="800002BF" w:usb1="28CF7CFA" w:usb2="00000016" w:usb3="00000000" w:csb0="6016019D" w:csb1="D3F7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349" w:wrap="around" w:vAnchor="text" w:hAnchor="page" w:x="5578" w:y="93"/>
      <w:rPr>
        <w:rStyle w:val="55"/>
      </w:rPr>
    </w:pPr>
    <w:r>
      <w:rPr>
        <w:rStyle w:val="55"/>
      </w:rPr>
      <w:fldChar w:fldCharType="begin"/>
    </w:r>
    <w:r>
      <w:rPr>
        <w:rStyle w:val="55"/>
      </w:rPr>
      <w:instrText xml:space="preserve">PAGE  </w:instrText>
    </w:r>
    <w:r>
      <w:rPr>
        <w:rStyle w:val="55"/>
      </w:rPr>
      <w:fldChar w:fldCharType="separate"/>
    </w:r>
    <w:r>
      <w:rPr>
        <w:rStyle w:val="55"/>
      </w:rPr>
      <w:t>4</w:t>
    </w:r>
    <w:r>
      <w:rPr>
        <w:rStyle w:val="55"/>
      </w:rPr>
      <w:fldChar w:fldCharType="end"/>
    </w:r>
  </w:p>
  <w:p>
    <w:pPr>
      <w:pStyle w:val="30"/>
      <w:pBdr>
        <w:top w:val="single" w:color="auto" w:sz="12" w:space="5"/>
      </w:pBdr>
      <w:ind w:firstLine="3420" w:firstLineChars="1900"/>
    </w:pPr>
    <w:r>
      <w:rPr>
        <w:rFonts w:hint="eastAsia"/>
      </w:rPr>
      <w:t xml:space="preserve">        第</w:t>
    </w:r>
    <w:r>
      <w:t xml:space="preserve">    </w:t>
    </w:r>
    <w:r>
      <w:rPr>
        <w:rStyle w:val="55"/>
      </w:rPr>
      <w:t xml:space="preserve">  </w:t>
    </w:r>
    <w:r>
      <w:rPr>
        <w:rStyle w:val="55"/>
        <w:rFonts w:hint="eastAsia"/>
      </w:rPr>
      <w:t>页</w:t>
    </w:r>
    <w:r>
      <w:t xml:space="preserve">       </w:t>
    </w:r>
    <w:r>
      <w:rPr>
        <w:rStyle w:val="5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3</w:t>
    </w:r>
    <w:r>
      <w:rPr>
        <w:rStyle w:val="55"/>
      </w:rPr>
      <w:fldChar w:fldCharType="end"/>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rPr>
        <w:rFonts w:hint="eastAsia"/>
      </w:rPr>
    </w:pPr>
    <w:r>
      <w:rPr>
        <w:rFonts w:hint="eastAsia"/>
      </w:rPr>
      <w:t>中国联通蝶形光缆、预成端蝶形光缆技术规范书（2020版）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89"/>
      <w:suff w:val="nothing"/>
      <w:lvlText w:val="%1%2.%3　"/>
      <w:lvlJc w:val="left"/>
      <w:pPr>
        <w:ind w:left="0" w:firstLine="0"/>
      </w:pPr>
      <w:rPr>
        <w:rFonts w:hint="eastAsia" w:ascii="黑体" w:hAnsi="Times New Roman" w:eastAsia="黑体"/>
        <w:b w:val="0"/>
        <w:i w:val="0"/>
        <w:sz w:val="21"/>
      </w:rPr>
    </w:lvl>
    <w:lvl w:ilvl="3" w:tentative="0">
      <w:start w:val="1"/>
      <w:numFmt w:val="decimal"/>
      <w:pStyle w:val="185"/>
      <w:suff w:val="nothing"/>
      <w:lvlText w:val="%1%2.%3.%4　"/>
      <w:lvlJc w:val="left"/>
      <w:pPr>
        <w:ind w:left="0" w:firstLine="0"/>
      </w:pPr>
      <w:rPr>
        <w:rFonts w:hint="eastAsia" w:ascii="黑体" w:hAnsi="Times New Roman" w:eastAsia="黑体"/>
        <w:b w:val="0"/>
        <w:i w:val="0"/>
        <w:sz w:val="21"/>
      </w:rPr>
    </w:lvl>
    <w:lvl w:ilvl="4" w:tentative="0">
      <w:start w:val="1"/>
      <w:numFmt w:val="decimal"/>
      <w:pStyle w:val="186"/>
      <w:suff w:val="nothing"/>
      <w:lvlText w:val="%1%2.%3.%4.%5　"/>
      <w:lvlJc w:val="left"/>
      <w:pPr>
        <w:ind w:left="0" w:firstLine="0"/>
      </w:pPr>
      <w:rPr>
        <w:rFonts w:hint="eastAsia" w:ascii="黑体" w:hAnsi="Times New Roman" w:eastAsia="黑体"/>
        <w:b w:val="0"/>
        <w:i w:val="0"/>
        <w:sz w:val="21"/>
      </w:rPr>
    </w:lvl>
    <w:lvl w:ilvl="5" w:tentative="0">
      <w:start w:val="1"/>
      <w:numFmt w:val="decimal"/>
      <w:pStyle w:val="187"/>
      <w:suff w:val="nothing"/>
      <w:lvlText w:val="%1%2.%3.%4.%5.%6　"/>
      <w:lvlJc w:val="left"/>
      <w:pPr>
        <w:ind w:left="0" w:firstLine="0"/>
      </w:pPr>
      <w:rPr>
        <w:rFonts w:hint="eastAsia" w:ascii="黑体" w:hAnsi="Times New Roman" w:eastAsia="黑体"/>
        <w:b w:val="0"/>
        <w:i w:val="0"/>
        <w:sz w:val="21"/>
      </w:rPr>
    </w:lvl>
    <w:lvl w:ilvl="6" w:tentative="0">
      <w:start w:val="1"/>
      <w:numFmt w:val="decimal"/>
      <w:pStyle w:val="18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93C6778"/>
    <w:multiLevelType w:val="multilevel"/>
    <w:tmpl w:val="093C6778"/>
    <w:lvl w:ilvl="0" w:tentative="0">
      <w:start w:val="1"/>
      <w:numFmt w:val="decimal"/>
      <w:pStyle w:val="15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150A4A0C"/>
    <w:multiLevelType w:val="singleLevel"/>
    <w:tmpl w:val="150A4A0C"/>
    <w:lvl w:ilvl="0" w:tentative="0">
      <w:start w:val="6"/>
      <w:numFmt w:val="decimal"/>
      <w:pStyle w:val="97"/>
      <w:lvlText w:val="2.%1 "/>
      <w:legacy w:legacy="1" w:legacySpace="0" w:legacyIndent="425"/>
      <w:lvlJc w:val="left"/>
      <w:pPr>
        <w:ind w:left="1025" w:hanging="425"/>
      </w:pPr>
      <w:rPr>
        <w:b w:val="0"/>
        <w:i w:val="0"/>
        <w:sz w:val="28"/>
      </w:rPr>
    </w:lvl>
  </w:abstractNum>
  <w:abstractNum w:abstractNumId="3">
    <w:nsid w:val="1C9711CA"/>
    <w:multiLevelType w:val="singleLevel"/>
    <w:tmpl w:val="1C9711CA"/>
    <w:lvl w:ilvl="0" w:tentative="0">
      <w:start w:val="5"/>
      <w:numFmt w:val="decimal"/>
      <w:pStyle w:val="161"/>
      <w:lvlText w:val="%1"/>
      <w:lvlJc w:val="left"/>
      <w:pPr>
        <w:tabs>
          <w:tab w:val="left" w:pos="360"/>
        </w:tabs>
        <w:ind w:left="360" w:hanging="360"/>
      </w:pPr>
      <w:rPr>
        <w:rFonts w:hint="default"/>
      </w:rPr>
    </w:lvl>
  </w:abstractNum>
  <w:abstractNum w:abstractNumId="4">
    <w:nsid w:val="1DBF583A"/>
    <w:multiLevelType w:val="multilevel"/>
    <w:tmpl w:val="1DBF583A"/>
    <w:lvl w:ilvl="0" w:tentative="0">
      <w:start w:val="1"/>
      <w:numFmt w:val="decimal"/>
      <w:pStyle w:val="10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8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81"/>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85"/>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4E47BC4"/>
    <w:multiLevelType w:val="singleLevel"/>
    <w:tmpl w:val="24E47BC4"/>
    <w:lvl w:ilvl="0" w:tentative="0">
      <w:start w:val="5"/>
      <w:numFmt w:val="decimal"/>
      <w:pStyle w:val="156"/>
      <w:lvlText w:val="%1"/>
      <w:lvlJc w:val="left"/>
      <w:pPr>
        <w:tabs>
          <w:tab w:val="left" w:pos="360"/>
        </w:tabs>
        <w:ind w:left="360" w:hanging="360"/>
      </w:pPr>
      <w:rPr>
        <w:rFonts w:hint="default"/>
      </w:rPr>
    </w:lvl>
  </w:abstractNum>
  <w:abstractNum w:abstractNumId="7">
    <w:nsid w:val="2A8F7113"/>
    <w:multiLevelType w:val="multilevel"/>
    <w:tmpl w:val="2A8F7113"/>
    <w:lvl w:ilvl="0" w:tentative="0">
      <w:start w:val="1"/>
      <w:numFmt w:val="upperLetter"/>
      <w:pStyle w:val="137"/>
      <w:suff w:val="space"/>
      <w:lvlText w:val="%1"/>
      <w:lvlJc w:val="left"/>
      <w:pPr>
        <w:ind w:left="623" w:hanging="425"/>
      </w:pPr>
      <w:rPr>
        <w:rFonts w:hint="eastAsia"/>
      </w:rPr>
    </w:lvl>
    <w:lvl w:ilvl="1" w:tentative="0">
      <w:start w:val="1"/>
      <w:numFmt w:val="decimal"/>
      <w:pStyle w:val="13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87"/>
      <w:suff w:val="nothing"/>
      <w:lvlText w:val="%1——"/>
      <w:lvlJc w:val="left"/>
      <w:pPr>
        <w:ind w:left="976"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9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2E0829C9"/>
    <w:multiLevelType w:val="singleLevel"/>
    <w:tmpl w:val="2E0829C9"/>
    <w:lvl w:ilvl="0" w:tentative="0">
      <w:start w:val="2"/>
      <w:numFmt w:val="decimal"/>
      <w:pStyle w:val="96"/>
      <w:lvlText w:val="%1."/>
      <w:legacy w:legacy="1" w:legacySpace="0" w:legacyIndent="300"/>
      <w:lvlJc w:val="left"/>
      <w:pPr>
        <w:ind w:left="900" w:hanging="300"/>
      </w:pPr>
      <w:rPr>
        <w:b w:val="0"/>
        <w:i w:val="0"/>
        <w:sz w:val="28"/>
      </w:rPr>
    </w:lvl>
  </w:abstractNum>
  <w:abstractNum w:abstractNumId="10">
    <w:nsid w:val="3D733618"/>
    <w:multiLevelType w:val="multilevel"/>
    <w:tmpl w:val="3D733618"/>
    <w:lvl w:ilvl="0" w:tentative="0">
      <w:start w:val="1"/>
      <w:numFmt w:val="decimal"/>
      <w:pStyle w:val="3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9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3"/>
      <w:lvlText w:val="%2)"/>
      <w:lvlJc w:val="left"/>
      <w:pPr>
        <w:tabs>
          <w:tab w:val="left" w:pos="1260"/>
        </w:tabs>
        <w:ind w:left="1259" w:hanging="419"/>
      </w:pPr>
      <w:rPr>
        <w:rFonts w:hint="eastAsia"/>
      </w:rPr>
    </w:lvl>
    <w:lvl w:ilvl="2" w:tentative="0">
      <w:start w:val="1"/>
      <w:numFmt w:val="decimal"/>
      <w:pStyle w:val="10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0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70"/>
      <w:suff w:val="nothing"/>
      <w:lvlText w:val="图%1　"/>
      <w:lvlJc w:val="left"/>
      <w:pPr>
        <w:ind w:left="0" w:firstLine="0"/>
      </w:pPr>
      <w:rPr>
        <w:rFonts w:hint="eastAsia" w:ascii="黑体" w:hAnsi="Times New Roman" w:eastAsia="黑体"/>
        <w:b w:val="0"/>
        <w:i w:val="0"/>
        <w:sz w:val="21"/>
        <w:lang w:val="en-US"/>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25"/>
      <w:lvlText w:val="%1"/>
      <w:lvlJc w:val="left"/>
      <w:pPr>
        <w:tabs>
          <w:tab w:val="left" w:pos="0"/>
        </w:tabs>
        <w:ind w:left="0" w:hanging="425"/>
      </w:pPr>
      <w:rPr>
        <w:rFonts w:hint="eastAsia"/>
      </w:rPr>
    </w:lvl>
    <w:lvl w:ilvl="1" w:tentative="0">
      <w:start w:val="1"/>
      <w:numFmt w:val="decimal"/>
      <w:pStyle w:val="12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68"/>
      <w:suff w:val="nothing"/>
      <w:lvlText w:val="表%1　"/>
      <w:lvlJc w:val="left"/>
      <w:pPr>
        <w:ind w:left="0" w:firstLine="0"/>
      </w:pPr>
      <w:rPr>
        <w:rFonts w:hint="eastAsia" w:ascii="黑体" w:hAnsi="Times New Roman" w:eastAsia="黑体"/>
        <w:b w:val="0"/>
        <w:i w:val="0"/>
        <w:sz w:val="21"/>
        <w:lang w:val="fr-FR"/>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2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4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42"/>
      <w:suff w:val="nothing"/>
      <w:lvlText w:val="%1.%2.%3　"/>
      <w:lvlJc w:val="left"/>
      <w:pPr>
        <w:ind w:left="0" w:firstLine="0"/>
      </w:pPr>
      <w:rPr>
        <w:rFonts w:hint="eastAsia" w:ascii="黑体" w:hAnsi="Times New Roman" w:eastAsia="黑体"/>
        <w:b w:val="0"/>
        <w:i w:val="0"/>
        <w:sz w:val="21"/>
      </w:rPr>
    </w:lvl>
    <w:lvl w:ilvl="3" w:tentative="0">
      <w:start w:val="1"/>
      <w:numFmt w:val="decimal"/>
      <w:pStyle w:val="127"/>
      <w:suff w:val="nothing"/>
      <w:lvlText w:val="%1.%2.%3.%4　"/>
      <w:lvlJc w:val="left"/>
      <w:pPr>
        <w:ind w:left="0" w:firstLine="0"/>
      </w:pPr>
      <w:rPr>
        <w:rFonts w:hint="eastAsia" w:ascii="黑体" w:hAnsi="Times New Roman" w:eastAsia="黑体"/>
        <w:b w:val="0"/>
        <w:i w:val="0"/>
        <w:sz w:val="21"/>
      </w:rPr>
    </w:lvl>
    <w:lvl w:ilvl="4" w:tentative="0">
      <w:start w:val="1"/>
      <w:numFmt w:val="decimal"/>
      <w:pStyle w:val="132"/>
      <w:suff w:val="nothing"/>
      <w:lvlText w:val="%1.%2.%3.%4.%5　"/>
      <w:lvlJc w:val="left"/>
      <w:pPr>
        <w:ind w:left="0" w:firstLine="0"/>
      </w:pPr>
      <w:rPr>
        <w:rFonts w:hint="eastAsia" w:ascii="黑体" w:hAnsi="Times New Roman" w:eastAsia="黑体"/>
        <w:b w:val="0"/>
        <w:i w:val="0"/>
        <w:sz w:val="21"/>
      </w:rPr>
    </w:lvl>
    <w:lvl w:ilvl="5" w:tentative="0">
      <w:start w:val="1"/>
      <w:numFmt w:val="decimal"/>
      <w:pStyle w:val="135"/>
      <w:suff w:val="nothing"/>
      <w:lvlText w:val="%1.%2.%3.%4.%5.%6　"/>
      <w:lvlJc w:val="left"/>
      <w:pPr>
        <w:ind w:left="0" w:firstLine="0"/>
      </w:pPr>
      <w:rPr>
        <w:rFonts w:hint="eastAsia" w:ascii="黑体" w:hAnsi="Times New Roman" w:eastAsia="黑体"/>
        <w:b w:val="0"/>
        <w:i w:val="0"/>
        <w:sz w:val="21"/>
      </w:rPr>
    </w:lvl>
    <w:lvl w:ilvl="6" w:tentative="0">
      <w:start w:val="1"/>
      <w:numFmt w:val="decimal"/>
      <w:pStyle w:val="13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67268E3"/>
    <w:multiLevelType w:val="singleLevel"/>
    <w:tmpl w:val="667268E3"/>
    <w:lvl w:ilvl="0" w:tentative="0">
      <w:start w:val="5"/>
      <w:numFmt w:val="decimal"/>
      <w:pStyle w:val="91"/>
      <w:lvlText w:val="%1."/>
      <w:legacy w:legacy="1" w:legacySpace="0" w:legacyIndent="300"/>
      <w:lvlJc w:val="left"/>
      <w:pPr>
        <w:ind w:left="900" w:hanging="300"/>
      </w:pPr>
      <w:rPr>
        <w:b w:val="0"/>
        <w:i w:val="0"/>
        <w:sz w:val="28"/>
      </w:rPr>
    </w:lvl>
  </w:abstractNum>
  <w:abstractNum w:abstractNumId="18">
    <w:nsid w:val="6D6C07CD"/>
    <w:multiLevelType w:val="multilevel"/>
    <w:tmpl w:val="6D6C07CD"/>
    <w:lvl w:ilvl="0" w:tentative="0">
      <w:start w:val="1"/>
      <w:numFmt w:val="lowerLetter"/>
      <w:pStyle w:val="144"/>
      <w:lvlText w:val="%1)"/>
      <w:lvlJc w:val="left"/>
      <w:pPr>
        <w:tabs>
          <w:tab w:val="left" w:pos="839"/>
        </w:tabs>
        <w:ind w:left="839" w:hanging="419"/>
      </w:pPr>
      <w:rPr>
        <w:rFonts w:hint="eastAsia" w:ascii="宋体" w:eastAsia="宋体"/>
        <w:b w:val="0"/>
        <w:i w:val="0"/>
        <w:sz w:val="21"/>
      </w:rPr>
    </w:lvl>
    <w:lvl w:ilvl="1" w:tentative="0">
      <w:start w:val="1"/>
      <w:numFmt w:val="decimal"/>
      <w:pStyle w:val="13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10"/>
  </w:num>
  <w:num w:numId="2">
    <w:abstractNumId w:val="5"/>
  </w:num>
  <w:num w:numId="3">
    <w:abstractNumId w:val="8"/>
  </w:num>
  <w:num w:numId="4">
    <w:abstractNumId w:val="17"/>
  </w:num>
  <w:num w:numId="5">
    <w:abstractNumId w:val="11"/>
  </w:num>
  <w:num w:numId="6">
    <w:abstractNumId w:val="9"/>
  </w:num>
  <w:num w:numId="7">
    <w:abstractNumId w:val="2"/>
  </w:num>
  <w:num w:numId="8">
    <w:abstractNumId w:val="12"/>
  </w:num>
  <w:num w:numId="9">
    <w:abstractNumId w:val="4"/>
  </w:num>
  <w:num w:numId="10">
    <w:abstractNumId w:val="16"/>
  </w:num>
  <w:num w:numId="11">
    <w:abstractNumId w:val="14"/>
  </w:num>
  <w:num w:numId="12">
    <w:abstractNumId w:val="18"/>
  </w:num>
  <w:num w:numId="13">
    <w:abstractNumId w:val="7"/>
  </w:num>
  <w:num w:numId="14">
    <w:abstractNumId w:val="6"/>
  </w:num>
  <w:num w:numId="15">
    <w:abstractNumId w:val="1"/>
  </w:num>
  <w:num w:numId="16">
    <w:abstractNumId w:val="3"/>
  </w:num>
  <w:num w:numId="17">
    <w:abstractNumId w:val="15"/>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0"/>
  <w:bordersDoNotSurroundFooter w:val="0"/>
  <w:trackRevisions w:val="1"/>
  <w:documentProtection w:enforcement="0"/>
  <w:defaultTabStop w:val="425"/>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CD8"/>
    <w:rsid w:val="00001A5B"/>
    <w:rsid w:val="000035D8"/>
    <w:rsid w:val="000055CA"/>
    <w:rsid w:val="000065A0"/>
    <w:rsid w:val="00006A26"/>
    <w:rsid w:val="00006B94"/>
    <w:rsid w:val="00006CB5"/>
    <w:rsid w:val="00011F6A"/>
    <w:rsid w:val="00012467"/>
    <w:rsid w:val="000124EB"/>
    <w:rsid w:val="000153DE"/>
    <w:rsid w:val="0001590A"/>
    <w:rsid w:val="00015B33"/>
    <w:rsid w:val="0002223E"/>
    <w:rsid w:val="0002258B"/>
    <w:rsid w:val="00022AE7"/>
    <w:rsid w:val="00022E90"/>
    <w:rsid w:val="0002354A"/>
    <w:rsid w:val="0002389B"/>
    <w:rsid w:val="0002418D"/>
    <w:rsid w:val="00026385"/>
    <w:rsid w:val="00026741"/>
    <w:rsid w:val="00030002"/>
    <w:rsid w:val="00030903"/>
    <w:rsid w:val="00031E02"/>
    <w:rsid w:val="00032DC1"/>
    <w:rsid w:val="00033A14"/>
    <w:rsid w:val="00034A6C"/>
    <w:rsid w:val="00034B25"/>
    <w:rsid w:val="00035502"/>
    <w:rsid w:val="000428BF"/>
    <w:rsid w:val="00043B4D"/>
    <w:rsid w:val="00044594"/>
    <w:rsid w:val="000455B3"/>
    <w:rsid w:val="000462D1"/>
    <w:rsid w:val="000474DA"/>
    <w:rsid w:val="00047922"/>
    <w:rsid w:val="00047DF6"/>
    <w:rsid w:val="00050823"/>
    <w:rsid w:val="00050A66"/>
    <w:rsid w:val="0005238D"/>
    <w:rsid w:val="000543BE"/>
    <w:rsid w:val="00054C51"/>
    <w:rsid w:val="00056502"/>
    <w:rsid w:val="0005650C"/>
    <w:rsid w:val="00056F9E"/>
    <w:rsid w:val="000571AA"/>
    <w:rsid w:val="00057981"/>
    <w:rsid w:val="00061900"/>
    <w:rsid w:val="00063EAC"/>
    <w:rsid w:val="0006532A"/>
    <w:rsid w:val="00065C95"/>
    <w:rsid w:val="00066E64"/>
    <w:rsid w:val="00066E81"/>
    <w:rsid w:val="00070AE6"/>
    <w:rsid w:val="00072EBA"/>
    <w:rsid w:val="0007354B"/>
    <w:rsid w:val="00075B17"/>
    <w:rsid w:val="00075D65"/>
    <w:rsid w:val="0008125B"/>
    <w:rsid w:val="00081F6A"/>
    <w:rsid w:val="0008368D"/>
    <w:rsid w:val="00083C7C"/>
    <w:rsid w:val="000841F6"/>
    <w:rsid w:val="00084753"/>
    <w:rsid w:val="00086368"/>
    <w:rsid w:val="000864EF"/>
    <w:rsid w:val="00087FB4"/>
    <w:rsid w:val="00090656"/>
    <w:rsid w:val="00091274"/>
    <w:rsid w:val="000914F4"/>
    <w:rsid w:val="000922F1"/>
    <w:rsid w:val="00093461"/>
    <w:rsid w:val="00093C86"/>
    <w:rsid w:val="00093D17"/>
    <w:rsid w:val="00096889"/>
    <w:rsid w:val="000A02C8"/>
    <w:rsid w:val="000A1E5B"/>
    <w:rsid w:val="000A2E19"/>
    <w:rsid w:val="000A372F"/>
    <w:rsid w:val="000A3DC4"/>
    <w:rsid w:val="000A44CE"/>
    <w:rsid w:val="000A58BC"/>
    <w:rsid w:val="000A61DB"/>
    <w:rsid w:val="000A72DF"/>
    <w:rsid w:val="000B0E80"/>
    <w:rsid w:val="000B1907"/>
    <w:rsid w:val="000B245B"/>
    <w:rsid w:val="000B347E"/>
    <w:rsid w:val="000B357F"/>
    <w:rsid w:val="000B60EC"/>
    <w:rsid w:val="000B6267"/>
    <w:rsid w:val="000B74D5"/>
    <w:rsid w:val="000B79ED"/>
    <w:rsid w:val="000C0C2E"/>
    <w:rsid w:val="000C0CD4"/>
    <w:rsid w:val="000C10FC"/>
    <w:rsid w:val="000C162E"/>
    <w:rsid w:val="000C1AE0"/>
    <w:rsid w:val="000C2B02"/>
    <w:rsid w:val="000C3E3B"/>
    <w:rsid w:val="000C6B68"/>
    <w:rsid w:val="000D0AAB"/>
    <w:rsid w:val="000D0D9E"/>
    <w:rsid w:val="000D0E5D"/>
    <w:rsid w:val="000D1430"/>
    <w:rsid w:val="000D26EB"/>
    <w:rsid w:val="000D2994"/>
    <w:rsid w:val="000D4715"/>
    <w:rsid w:val="000D6041"/>
    <w:rsid w:val="000D692F"/>
    <w:rsid w:val="000E00B5"/>
    <w:rsid w:val="000E0BB0"/>
    <w:rsid w:val="000E19E0"/>
    <w:rsid w:val="000E1AC0"/>
    <w:rsid w:val="000E27AD"/>
    <w:rsid w:val="000E2D73"/>
    <w:rsid w:val="000E316E"/>
    <w:rsid w:val="000E3BC0"/>
    <w:rsid w:val="000E3C4F"/>
    <w:rsid w:val="000E4AD7"/>
    <w:rsid w:val="000E64C8"/>
    <w:rsid w:val="000E6E91"/>
    <w:rsid w:val="000E6E9A"/>
    <w:rsid w:val="000E7864"/>
    <w:rsid w:val="000F0ED9"/>
    <w:rsid w:val="000F1A09"/>
    <w:rsid w:val="000F1CBA"/>
    <w:rsid w:val="000F2AD9"/>
    <w:rsid w:val="000F38D1"/>
    <w:rsid w:val="000F42E3"/>
    <w:rsid w:val="000F7321"/>
    <w:rsid w:val="00102BA4"/>
    <w:rsid w:val="00104A3A"/>
    <w:rsid w:val="00106D1B"/>
    <w:rsid w:val="0010775A"/>
    <w:rsid w:val="001112D2"/>
    <w:rsid w:val="00111ADE"/>
    <w:rsid w:val="00120017"/>
    <w:rsid w:val="001205F4"/>
    <w:rsid w:val="00120B20"/>
    <w:rsid w:val="00120B83"/>
    <w:rsid w:val="001214CC"/>
    <w:rsid w:val="0012171C"/>
    <w:rsid w:val="001227C8"/>
    <w:rsid w:val="00122CA4"/>
    <w:rsid w:val="00123B7C"/>
    <w:rsid w:val="00124269"/>
    <w:rsid w:val="00124DC0"/>
    <w:rsid w:val="0012566C"/>
    <w:rsid w:val="00125EB9"/>
    <w:rsid w:val="00126C6B"/>
    <w:rsid w:val="00131232"/>
    <w:rsid w:val="00131FA6"/>
    <w:rsid w:val="0013229F"/>
    <w:rsid w:val="00132A61"/>
    <w:rsid w:val="00132B67"/>
    <w:rsid w:val="0013462F"/>
    <w:rsid w:val="0013548B"/>
    <w:rsid w:val="00136056"/>
    <w:rsid w:val="00136672"/>
    <w:rsid w:val="00143988"/>
    <w:rsid w:val="00146DF0"/>
    <w:rsid w:val="0014715A"/>
    <w:rsid w:val="00152B53"/>
    <w:rsid w:val="00154ECE"/>
    <w:rsid w:val="001551CD"/>
    <w:rsid w:val="00155C93"/>
    <w:rsid w:val="0015621E"/>
    <w:rsid w:val="001567F5"/>
    <w:rsid w:val="00162C8E"/>
    <w:rsid w:val="00164989"/>
    <w:rsid w:val="00164F6B"/>
    <w:rsid w:val="00165656"/>
    <w:rsid w:val="0016628B"/>
    <w:rsid w:val="001666B3"/>
    <w:rsid w:val="00170E48"/>
    <w:rsid w:val="00172EF5"/>
    <w:rsid w:val="001740C8"/>
    <w:rsid w:val="00174703"/>
    <w:rsid w:val="001754AF"/>
    <w:rsid w:val="001760B7"/>
    <w:rsid w:val="00177A6E"/>
    <w:rsid w:val="00177F33"/>
    <w:rsid w:val="00181590"/>
    <w:rsid w:val="001836A0"/>
    <w:rsid w:val="00184582"/>
    <w:rsid w:val="00184661"/>
    <w:rsid w:val="00184C30"/>
    <w:rsid w:val="00186ECC"/>
    <w:rsid w:val="00187AA0"/>
    <w:rsid w:val="00190E7D"/>
    <w:rsid w:val="0019238B"/>
    <w:rsid w:val="001924BC"/>
    <w:rsid w:val="00192FA3"/>
    <w:rsid w:val="001934F5"/>
    <w:rsid w:val="0019610D"/>
    <w:rsid w:val="00196F84"/>
    <w:rsid w:val="0019703E"/>
    <w:rsid w:val="001979C5"/>
    <w:rsid w:val="001A1C97"/>
    <w:rsid w:val="001A213A"/>
    <w:rsid w:val="001A2244"/>
    <w:rsid w:val="001A3264"/>
    <w:rsid w:val="001A36AE"/>
    <w:rsid w:val="001B013F"/>
    <w:rsid w:val="001B0D4E"/>
    <w:rsid w:val="001B28FE"/>
    <w:rsid w:val="001B37A9"/>
    <w:rsid w:val="001B4432"/>
    <w:rsid w:val="001B569E"/>
    <w:rsid w:val="001B5BEE"/>
    <w:rsid w:val="001B6227"/>
    <w:rsid w:val="001B6B79"/>
    <w:rsid w:val="001B6BB6"/>
    <w:rsid w:val="001B7671"/>
    <w:rsid w:val="001B7817"/>
    <w:rsid w:val="001C059F"/>
    <w:rsid w:val="001C2B96"/>
    <w:rsid w:val="001C566D"/>
    <w:rsid w:val="001C5F63"/>
    <w:rsid w:val="001C6091"/>
    <w:rsid w:val="001C659A"/>
    <w:rsid w:val="001C6B60"/>
    <w:rsid w:val="001C6BF1"/>
    <w:rsid w:val="001C705C"/>
    <w:rsid w:val="001D137B"/>
    <w:rsid w:val="001D362B"/>
    <w:rsid w:val="001D364D"/>
    <w:rsid w:val="001D4F81"/>
    <w:rsid w:val="001E02B9"/>
    <w:rsid w:val="001E3958"/>
    <w:rsid w:val="001E4456"/>
    <w:rsid w:val="001E6BCB"/>
    <w:rsid w:val="001E76D6"/>
    <w:rsid w:val="001F0756"/>
    <w:rsid w:val="001F31B8"/>
    <w:rsid w:val="001F3696"/>
    <w:rsid w:val="001F436A"/>
    <w:rsid w:val="001F68E5"/>
    <w:rsid w:val="001F7C33"/>
    <w:rsid w:val="0020046F"/>
    <w:rsid w:val="002048B2"/>
    <w:rsid w:val="00206920"/>
    <w:rsid w:val="00206DD9"/>
    <w:rsid w:val="002071C6"/>
    <w:rsid w:val="00210842"/>
    <w:rsid w:val="0021084E"/>
    <w:rsid w:val="00210F43"/>
    <w:rsid w:val="0021184C"/>
    <w:rsid w:val="00212388"/>
    <w:rsid w:val="00212907"/>
    <w:rsid w:val="0021290C"/>
    <w:rsid w:val="00213714"/>
    <w:rsid w:val="0021445E"/>
    <w:rsid w:val="00216009"/>
    <w:rsid w:val="00220E09"/>
    <w:rsid w:val="00222301"/>
    <w:rsid w:val="00225548"/>
    <w:rsid w:val="00227602"/>
    <w:rsid w:val="00227835"/>
    <w:rsid w:val="00231617"/>
    <w:rsid w:val="0023233E"/>
    <w:rsid w:val="0023345A"/>
    <w:rsid w:val="00233B7D"/>
    <w:rsid w:val="00235802"/>
    <w:rsid w:val="00235F2D"/>
    <w:rsid w:val="00235F9E"/>
    <w:rsid w:val="00237F8B"/>
    <w:rsid w:val="0024120C"/>
    <w:rsid w:val="002425F6"/>
    <w:rsid w:val="00244B87"/>
    <w:rsid w:val="00244F42"/>
    <w:rsid w:val="00245B28"/>
    <w:rsid w:val="00247220"/>
    <w:rsid w:val="00247BF9"/>
    <w:rsid w:val="0025034F"/>
    <w:rsid w:val="0025188C"/>
    <w:rsid w:val="0025204D"/>
    <w:rsid w:val="00252466"/>
    <w:rsid w:val="0025299C"/>
    <w:rsid w:val="00252DC4"/>
    <w:rsid w:val="00254644"/>
    <w:rsid w:val="00255186"/>
    <w:rsid w:val="002605C8"/>
    <w:rsid w:val="002606DC"/>
    <w:rsid w:val="00261582"/>
    <w:rsid w:val="00261674"/>
    <w:rsid w:val="00262EFA"/>
    <w:rsid w:val="00263A57"/>
    <w:rsid w:val="00265212"/>
    <w:rsid w:val="00267497"/>
    <w:rsid w:val="002677D9"/>
    <w:rsid w:val="002679F4"/>
    <w:rsid w:val="00267F29"/>
    <w:rsid w:val="00267F7E"/>
    <w:rsid w:val="00270039"/>
    <w:rsid w:val="00271844"/>
    <w:rsid w:val="002728B1"/>
    <w:rsid w:val="00274299"/>
    <w:rsid w:val="002744D5"/>
    <w:rsid w:val="002744D9"/>
    <w:rsid w:val="00275111"/>
    <w:rsid w:val="00275E0A"/>
    <w:rsid w:val="002760ED"/>
    <w:rsid w:val="002769EC"/>
    <w:rsid w:val="00276DD2"/>
    <w:rsid w:val="0027754A"/>
    <w:rsid w:val="00277B6A"/>
    <w:rsid w:val="00277C2C"/>
    <w:rsid w:val="0028035E"/>
    <w:rsid w:val="00281133"/>
    <w:rsid w:val="002824D2"/>
    <w:rsid w:val="002837EE"/>
    <w:rsid w:val="00285486"/>
    <w:rsid w:val="00286A02"/>
    <w:rsid w:val="002873CB"/>
    <w:rsid w:val="00287CB8"/>
    <w:rsid w:val="00287E57"/>
    <w:rsid w:val="00290241"/>
    <w:rsid w:val="002950CC"/>
    <w:rsid w:val="002968F0"/>
    <w:rsid w:val="002972D7"/>
    <w:rsid w:val="002975DA"/>
    <w:rsid w:val="002A0094"/>
    <w:rsid w:val="002A050C"/>
    <w:rsid w:val="002A0B6E"/>
    <w:rsid w:val="002A1A22"/>
    <w:rsid w:val="002A1ED0"/>
    <w:rsid w:val="002A1EF5"/>
    <w:rsid w:val="002A2C58"/>
    <w:rsid w:val="002A3447"/>
    <w:rsid w:val="002A56B0"/>
    <w:rsid w:val="002A631D"/>
    <w:rsid w:val="002B076E"/>
    <w:rsid w:val="002B1786"/>
    <w:rsid w:val="002B2EF9"/>
    <w:rsid w:val="002B34FC"/>
    <w:rsid w:val="002B3B80"/>
    <w:rsid w:val="002B42BC"/>
    <w:rsid w:val="002B5329"/>
    <w:rsid w:val="002B7A28"/>
    <w:rsid w:val="002C2413"/>
    <w:rsid w:val="002C26B3"/>
    <w:rsid w:val="002C2BC8"/>
    <w:rsid w:val="002C3539"/>
    <w:rsid w:val="002C5A88"/>
    <w:rsid w:val="002C6207"/>
    <w:rsid w:val="002C7675"/>
    <w:rsid w:val="002D176E"/>
    <w:rsid w:val="002D2964"/>
    <w:rsid w:val="002D31E5"/>
    <w:rsid w:val="002D37D9"/>
    <w:rsid w:val="002D4613"/>
    <w:rsid w:val="002D6596"/>
    <w:rsid w:val="002D6C2D"/>
    <w:rsid w:val="002D7FE7"/>
    <w:rsid w:val="002E0ED5"/>
    <w:rsid w:val="002E1651"/>
    <w:rsid w:val="002E219A"/>
    <w:rsid w:val="002E28A8"/>
    <w:rsid w:val="002E426F"/>
    <w:rsid w:val="002E50A4"/>
    <w:rsid w:val="002E5EF9"/>
    <w:rsid w:val="002E666A"/>
    <w:rsid w:val="002E73D4"/>
    <w:rsid w:val="002E79DC"/>
    <w:rsid w:val="002F026E"/>
    <w:rsid w:val="002F04FD"/>
    <w:rsid w:val="002F0DBD"/>
    <w:rsid w:val="002F1259"/>
    <w:rsid w:val="002F162A"/>
    <w:rsid w:val="002F2A75"/>
    <w:rsid w:val="002F3063"/>
    <w:rsid w:val="002F378F"/>
    <w:rsid w:val="002F425C"/>
    <w:rsid w:val="002F6AB4"/>
    <w:rsid w:val="002F719B"/>
    <w:rsid w:val="002F773F"/>
    <w:rsid w:val="00300AB9"/>
    <w:rsid w:val="00300C96"/>
    <w:rsid w:val="00300C98"/>
    <w:rsid w:val="00301208"/>
    <w:rsid w:val="00302B6D"/>
    <w:rsid w:val="003042D3"/>
    <w:rsid w:val="00305060"/>
    <w:rsid w:val="00306428"/>
    <w:rsid w:val="00306A52"/>
    <w:rsid w:val="003123DE"/>
    <w:rsid w:val="00314294"/>
    <w:rsid w:val="0031472C"/>
    <w:rsid w:val="00315E03"/>
    <w:rsid w:val="00316071"/>
    <w:rsid w:val="00316DD4"/>
    <w:rsid w:val="00321F4D"/>
    <w:rsid w:val="00323202"/>
    <w:rsid w:val="00324233"/>
    <w:rsid w:val="00324C72"/>
    <w:rsid w:val="00326AF7"/>
    <w:rsid w:val="00326DE9"/>
    <w:rsid w:val="00326F85"/>
    <w:rsid w:val="00327344"/>
    <w:rsid w:val="00331A27"/>
    <w:rsid w:val="00332AE9"/>
    <w:rsid w:val="003332F6"/>
    <w:rsid w:val="00333C24"/>
    <w:rsid w:val="00334D64"/>
    <w:rsid w:val="00335CB9"/>
    <w:rsid w:val="003363E6"/>
    <w:rsid w:val="00336CC4"/>
    <w:rsid w:val="00337D30"/>
    <w:rsid w:val="00340B6D"/>
    <w:rsid w:val="00340D55"/>
    <w:rsid w:val="003417B7"/>
    <w:rsid w:val="00343786"/>
    <w:rsid w:val="00343BD4"/>
    <w:rsid w:val="00344FF8"/>
    <w:rsid w:val="00346A22"/>
    <w:rsid w:val="00350133"/>
    <w:rsid w:val="0035026E"/>
    <w:rsid w:val="00350715"/>
    <w:rsid w:val="00351A7B"/>
    <w:rsid w:val="00353F51"/>
    <w:rsid w:val="003549BD"/>
    <w:rsid w:val="00356F78"/>
    <w:rsid w:val="00361016"/>
    <w:rsid w:val="003635EC"/>
    <w:rsid w:val="003636E7"/>
    <w:rsid w:val="00363FD4"/>
    <w:rsid w:val="00364C92"/>
    <w:rsid w:val="00370BDF"/>
    <w:rsid w:val="00372296"/>
    <w:rsid w:val="0037466C"/>
    <w:rsid w:val="003761F6"/>
    <w:rsid w:val="003769F6"/>
    <w:rsid w:val="00376A3A"/>
    <w:rsid w:val="003804AB"/>
    <w:rsid w:val="00380B33"/>
    <w:rsid w:val="00381E9E"/>
    <w:rsid w:val="00382AF1"/>
    <w:rsid w:val="00382DC5"/>
    <w:rsid w:val="00383EA4"/>
    <w:rsid w:val="00384051"/>
    <w:rsid w:val="0038482E"/>
    <w:rsid w:val="0038516B"/>
    <w:rsid w:val="00386D87"/>
    <w:rsid w:val="00387AE6"/>
    <w:rsid w:val="0039005A"/>
    <w:rsid w:val="003934F6"/>
    <w:rsid w:val="00394B9F"/>
    <w:rsid w:val="00397420"/>
    <w:rsid w:val="003A180C"/>
    <w:rsid w:val="003A3057"/>
    <w:rsid w:val="003A3F16"/>
    <w:rsid w:val="003A4CD5"/>
    <w:rsid w:val="003A72BF"/>
    <w:rsid w:val="003B1746"/>
    <w:rsid w:val="003B2469"/>
    <w:rsid w:val="003B2CD0"/>
    <w:rsid w:val="003B3FBD"/>
    <w:rsid w:val="003B54AA"/>
    <w:rsid w:val="003B61E3"/>
    <w:rsid w:val="003B771E"/>
    <w:rsid w:val="003B77C9"/>
    <w:rsid w:val="003C009F"/>
    <w:rsid w:val="003C03B2"/>
    <w:rsid w:val="003C0B76"/>
    <w:rsid w:val="003C3600"/>
    <w:rsid w:val="003C4291"/>
    <w:rsid w:val="003C468A"/>
    <w:rsid w:val="003C58DB"/>
    <w:rsid w:val="003C5947"/>
    <w:rsid w:val="003C6497"/>
    <w:rsid w:val="003C6FB1"/>
    <w:rsid w:val="003C7D10"/>
    <w:rsid w:val="003D01F0"/>
    <w:rsid w:val="003D0E2A"/>
    <w:rsid w:val="003D0FEF"/>
    <w:rsid w:val="003D1529"/>
    <w:rsid w:val="003D1A10"/>
    <w:rsid w:val="003D2157"/>
    <w:rsid w:val="003D2740"/>
    <w:rsid w:val="003D65DC"/>
    <w:rsid w:val="003D6A82"/>
    <w:rsid w:val="003D7A81"/>
    <w:rsid w:val="003E4EFC"/>
    <w:rsid w:val="003E51AE"/>
    <w:rsid w:val="003E5F55"/>
    <w:rsid w:val="003E6458"/>
    <w:rsid w:val="003E6EE2"/>
    <w:rsid w:val="003E7D00"/>
    <w:rsid w:val="003F05AE"/>
    <w:rsid w:val="003F17BC"/>
    <w:rsid w:val="003F22D1"/>
    <w:rsid w:val="003F3D1C"/>
    <w:rsid w:val="003F4708"/>
    <w:rsid w:val="003F4B03"/>
    <w:rsid w:val="003F4B77"/>
    <w:rsid w:val="003F5D4E"/>
    <w:rsid w:val="003F5D8B"/>
    <w:rsid w:val="004004E6"/>
    <w:rsid w:val="004016F1"/>
    <w:rsid w:val="004031DA"/>
    <w:rsid w:val="0040433A"/>
    <w:rsid w:val="00404F64"/>
    <w:rsid w:val="0040598D"/>
    <w:rsid w:val="004068CA"/>
    <w:rsid w:val="00406FF1"/>
    <w:rsid w:val="004113AC"/>
    <w:rsid w:val="00412B01"/>
    <w:rsid w:val="00412DE2"/>
    <w:rsid w:val="00413759"/>
    <w:rsid w:val="00413890"/>
    <w:rsid w:val="00413DC2"/>
    <w:rsid w:val="00415A2F"/>
    <w:rsid w:val="00416669"/>
    <w:rsid w:val="00416BB6"/>
    <w:rsid w:val="00416D27"/>
    <w:rsid w:val="0041766B"/>
    <w:rsid w:val="00420788"/>
    <w:rsid w:val="00424C4D"/>
    <w:rsid w:val="00424F49"/>
    <w:rsid w:val="00425A6E"/>
    <w:rsid w:val="0042707A"/>
    <w:rsid w:val="00427D87"/>
    <w:rsid w:val="0043089E"/>
    <w:rsid w:val="00430B08"/>
    <w:rsid w:val="00430F96"/>
    <w:rsid w:val="004317DC"/>
    <w:rsid w:val="004335F5"/>
    <w:rsid w:val="00433643"/>
    <w:rsid w:val="00433D56"/>
    <w:rsid w:val="004355D3"/>
    <w:rsid w:val="00436EE7"/>
    <w:rsid w:val="00441838"/>
    <w:rsid w:val="00441854"/>
    <w:rsid w:val="00441FA2"/>
    <w:rsid w:val="00442945"/>
    <w:rsid w:val="00442FD1"/>
    <w:rsid w:val="004432E8"/>
    <w:rsid w:val="004438E0"/>
    <w:rsid w:val="00444058"/>
    <w:rsid w:val="00445066"/>
    <w:rsid w:val="004460EA"/>
    <w:rsid w:val="004466B1"/>
    <w:rsid w:val="00446C52"/>
    <w:rsid w:val="00447D34"/>
    <w:rsid w:val="00450573"/>
    <w:rsid w:val="004527A2"/>
    <w:rsid w:val="00453803"/>
    <w:rsid w:val="00454473"/>
    <w:rsid w:val="00454790"/>
    <w:rsid w:val="004574F9"/>
    <w:rsid w:val="00460C89"/>
    <w:rsid w:val="00461172"/>
    <w:rsid w:val="004616B8"/>
    <w:rsid w:val="00462501"/>
    <w:rsid w:val="004709BE"/>
    <w:rsid w:val="00472EB6"/>
    <w:rsid w:val="00474192"/>
    <w:rsid w:val="004758D5"/>
    <w:rsid w:val="00476197"/>
    <w:rsid w:val="00476E84"/>
    <w:rsid w:val="00477518"/>
    <w:rsid w:val="004808E6"/>
    <w:rsid w:val="00480E5C"/>
    <w:rsid w:val="004829BC"/>
    <w:rsid w:val="00482EDF"/>
    <w:rsid w:val="00483F31"/>
    <w:rsid w:val="00484A7A"/>
    <w:rsid w:val="00484ECF"/>
    <w:rsid w:val="00485D70"/>
    <w:rsid w:val="0048696B"/>
    <w:rsid w:val="004876FC"/>
    <w:rsid w:val="00490034"/>
    <w:rsid w:val="00490696"/>
    <w:rsid w:val="0049082F"/>
    <w:rsid w:val="0049167E"/>
    <w:rsid w:val="00492899"/>
    <w:rsid w:val="00493890"/>
    <w:rsid w:val="00493CE9"/>
    <w:rsid w:val="00494DFF"/>
    <w:rsid w:val="004A0017"/>
    <w:rsid w:val="004A0BA9"/>
    <w:rsid w:val="004A2209"/>
    <w:rsid w:val="004A2744"/>
    <w:rsid w:val="004A4DBA"/>
    <w:rsid w:val="004A7D69"/>
    <w:rsid w:val="004B1271"/>
    <w:rsid w:val="004B1DBA"/>
    <w:rsid w:val="004B558F"/>
    <w:rsid w:val="004B74A0"/>
    <w:rsid w:val="004C0766"/>
    <w:rsid w:val="004C1015"/>
    <w:rsid w:val="004C15B5"/>
    <w:rsid w:val="004C1B20"/>
    <w:rsid w:val="004C2AA4"/>
    <w:rsid w:val="004C4767"/>
    <w:rsid w:val="004C482F"/>
    <w:rsid w:val="004C48F1"/>
    <w:rsid w:val="004C6993"/>
    <w:rsid w:val="004C707D"/>
    <w:rsid w:val="004C7A1A"/>
    <w:rsid w:val="004D12AF"/>
    <w:rsid w:val="004D21CD"/>
    <w:rsid w:val="004D26F9"/>
    <w:rsid w:val="004D2AE0"/>
    <w:rsid w:val="004D4A15"/>
    <w:rsid w:val="004D4A7E"/>
    <w:rsid w:val="004D53E1"/>
    <w:rsid w:val="004D6154"/>
    <w:rsid w:val="004D6209"/>
    <w:rsid w:val="004D6D89"/>
    <w:rsid w:val="004D750E"/>
    <w:rsid w:val="004D7A65"/>
    <w:rsid w:val="004E0088"/>
    <w:rsid w:val="004E18E5"/>
    <w:rsid w:val="004E2B32"/>
    <w:rsid w:val="004E3377"/>
    <w:rsid w:val="004E5AAB"/>
    <w:rsid w:val="004E6A5A"/>
    <w:rsid w:val="004E7628"/>
    <w:rsid w:val="004E77E2"/>
    <w:rsid w:val="004F011A"/>
    <w:rsid w:val="004F03E5"/>
    <w:rsid w:val="004F17EA"/>
    <w:rsid w:val="004F1C12"/>
    <w:rsid w:val="004F202A"/>
    <w:rsid w:val="004F21D7"/>
    <w:rsid w:val="004F2CFD"/>
    <w:rsid w:val="004F556F"/>
    <w:rsid w:val="004F5B2A"/>
    <w:rsid w:val="004F6694"/>
    <w:rsid w:val="004F7FCC"/>
    <w:rsid w:val="005019B9"/>
    <w:rsid w:val="0050287A"/>
    <w:rsid w:val="00506033"/>
    <w:rsid w:val="00506108"/>
    <w:rsid w:val="0050712A"/>
    <w:rsid w:val="00507BA3"/>
    <w:rsid w:val="00511EC0"/>
    <w:rsid w:val="00514DEF"/>
    <w:rsid w:val="0051554F"/>
    <w:rsid w:val="005155B6"/>
    <w:rsid w:val="00515AE8"/>
    <w:rsid w:val="00516466"/>
    <w:rsid w:val="005174DB"/>
    <w:rsid w:val="00520EBC"/>
    <w:rsid w:val="005210A0"/>
    <w:rsid w:val="00521C36"/>
    <w:rsid w:val="00521DB1"/>
    <w:rsid w:val="0052220E"/>
    <w:rsid w:val="005225EA"/>
    <w:rsid w:val="00522B99"/>
    <w:rsid w:val="00523F5A"/>
    <w:rsid w:val="00525C6C"/>
    <w:rsid w:val="005310A2"/>
    <w:rsid w:val="00531D13"/>
    <w:rsid w:val="0053265A"/>
    <w:rsid w:val="00534EE7"/>
    <w:rsid w:val="00535C33"/>
    <w:rsid w:val="0054031F"/>
    <w:rsid w:val="00540E24"/>
    <w:rsid w:val="00543679"/>
    <w:rsid w:val="00545251"/>
    <w:rsid w:val="005457BE"/>
    <w:rsid w:val="005507F0"/>
    <w:rsid w:val="00551A17"/>
    <w:rsid w:val="00554E28"/>
    <w:rsid w:val="005550A6"/>
    <w:rsid w:val="005551F5"/>
    <w:rsid w:val="00555B0B"/>
    <w:rsid w:val="005611A2"/>
    <w:rsid w:val="00561A38"/>
    <w:rsid w:val="00562372"/>
    <w:rsid w:val="005632F6"/>
    <w:rsid w:val="00563438"/>
    <w:rsid w:val="00563B6D"/>
    <w:rsid w:val="00563C30"/>
    <w:rsid w:val="0056468C"/>
    <w:rsid w:val="00564F5F"/>
    <w:rsid w:val="00565292"/>
    <w:rsid w:val="00565B07"/>
    <w:rsid w:val="0056601C"/>
    <w:rsid w:val="00566926"/>
    <w:rsid w:val="00566C81"/>
    <w:rsid w:val="00567669"/>
    <w:rsid w:val="00567BFF"/>
    <w:rsid w:val="005736AE"/>
    <w:rsid w:val="0057578D"/>
    <w:rsid w:val="00576235"/>
    <w:rsid w:val="00576F8C"/>
    <w:rsid w:val="0057715F"/>
    <w:rsid w:val="00577CC9"/>
    <w:rsid w:val="005810AF"/>
    <w:rsid w:val="00581AF5"/>
    <w:rsid w:val="00582E62"/>
    <w:rsid w:val="00583855"/>
    <w:rsid w:val="00583935"/>
    <w:rsid w:val="005858D5"/>
    <w:rsid w:val="0058632E"/>
    <w:rsid w:val="0058645D"/>
    <w:rsid w:val="005865D3"/>
    <w:rsid w:val="00586BEE"/>
    <w:rsid w:val="00587C62"/>
    <w:rsid w:val="005913E2"/>
    <w:rsid w:val="005920CA"/>
    <w:rsid w:val="005922AB"/>
    <w:rsid w:val="005938FC"/>
    <w:rsid w:val="00593E70"/>
    <w:rsid w:val="0059448B"/>
    <w:rsid w:val="0059521D"/>
    <w:rsid w:val="00597AF3"/>
    <w:rsid w:val="005A02B9"/>
    <w:rsid w:val="005A0B2A"/>
    <w:rsid w:val="005A19AB"/>
    <w:rsid w:val="005A280E"/>
    <w:rsid w:val="005A2895"/>
    <w:rsid w:val="005A2E04"/>
    <w:rsid w:val="005A3E76"/>
    <w:rsid w:val="005A4252"/>
    <w:rsid w:val="005A5013"/>
    <w:rsid w:val="005A6AA5"/>
    <w:rsid w:val="005A7960"/>
    <w:rsid w:val="005B15DF"/>
    <w:rsid w:val="005B496D"/>
    <w:rsid w:val="005B53D4"/>
    <w:rsid w:val="005B54FB"/>
    <w:rsid w:val="005B55B8"/>
    <w:rsid w:val="005C0B5B"/>
    <w:rsid w:val="005C14FB"/>
    <w:rsid w:val="005C1B32"/>
    <w:rsid w:val="005C2AF7"/>
    <w:rsid w:val="005C2E89"/>
    <w:rsid w:val="005C327B"/>
    <w:rsid w:val="005C32EE"/>
    <w:rsid w:val="005C340B"/>
    <w:rsid w:val="005C43A5"/>
    <w:rsid w:val="005C6653"/>
    <w:rsid w:val="005C700F"/>
    <w:rsid w:val="005D0132"/>
    <w:rsid w:val="005D0E4D"/>
    <w:rsid w:val="005D0F06"/>
    <w:rsid w:val="005D1F32"/>
    <w:rsid w:val="005D232F"/>
    <w:rsid w:val="005D4BB5"/>
    <w:rsid w:val="005E1AD7"/>
    <w:rsid w:val="005E5A73"/>
    <w:rsid w:val="005E615A"/>
    <w:rsid w:val="005E62E7"/>
    <w:rsid w:val="005E643C"/>
    <w:rsid w:val="005E754B"/>
    <w:rsid w:val="005E78E5"/>
    <w:rsid w:val="005F1975"/>
    <w:rsid w:val="005F2475"/>
    <w:rsid w:val="005F2526"/>
    <w:rsid w:val="005F2E83"/>
    <w:rsid w:val="005F3CE0"/>
    <w:rsid w:val="005F4261"/>
    <w:rsid w:val="005F4766"/>
    <w:rsid w:val="005F4A45"/>
    <w:rsid w:val="005F550A"/>
    <w:rsid w:val="005F642A"/>
    <w:rsid w:val="005F6DE2"/>
    <w:rsid w:val="006000F4"/>
    <w:rsid w:val="0060112E"/>
    <w:rsid w:val="00601D0B"/>
    <w:rsid w:val="0060206E"/>
    <w:rsid w:val="00602938"/>
    <w:rsid w:val="0060369E"/>
    <w:rsid w:val="00604DE4"/>
    <w:rsid w:val="006051CF"/>
    <w:rsid w:val="00605299"/>
    <w:rsid w:val="006053FF"/>
    <w:rsid w:val="00611043"/>
    <w:rsid w:val="00611B65"/>
    <w:rsid w:val="00612EF9"/>
    <w:rsid w:val="00613452"/>
    <w:rsid w:val="00613D4D"/>
    <w:rsid w:val="006141F3"/>
    <w:rsid w:val="00614226"/>
    <w:rsid w:val="00614C77"/>
    <w:rsid w:val="00617324"/>
    <w:rsid w:val="0061796B"/>
    <w:rsid w:val="006225FE"/>
    <w:rsid w:val="00625785"/>
    <w:rsid w:val="00625EE9"/>
    <w:rsid w:val="0062667B"/>
    <w:rsid w:val="0063090C"/>
    <w:rsid w:val="006317BC"/>
    <w:rsid w:val="006333BE"/>
    <w:rsid w:val="00633D73"/>
    <w:rsid w:val="00636330"/>
    <w:rsid w:val="00636835"/>
    <w:rsid w:val="00636B31"/>
    <w:rsid w:val="00640CE2"/>
    <w:rsid w:val="00641D63"/>
    <w:rsid w:val="00642B1E"/>
    <w:rsid w:val="00643330"/>
    <w:rsid w:val="00643E9D"/>
    <w:rsid w:val="006448C4"/>
    <w:rsid w:val="00644FD3"/>
    <w:rsid w:val="0064509A"/>
    <w:rsid w:val="00645CFC"/>
    <w:rsid w:val="00646088"/>
    <w:rsid w:val="00646F79"/>
    <w:rsid w:val="00652F76"/>
    <w:rsid w:val="00654171"/>
    <w:rsid w:val="006545B7"/>
    <w:rsid w:val="0065658A"/>
    <w:rsid w:val="00661143"/>
    <w:rsid w:val="0066171E"/>
    <w:rsid w:val="00661D1F"/>
    <w:rsid w:val="00664001"/>
    <w:rsid w:val="00664E28"/>
    <w:rsid w:val="006668F5"/>
    <w:rsid w:val="0066698A"/>
    <w:rsid w:val="00666B0B"/>
    <w:rsid w:val="00670393"/>
    <w:rsid w:val="00671318"/>
    <w:rsid w:val="0067190B"/>
    <w:rsid w:val="006722D2"/>
    <w:rsid w:val="00673615"/>
    <w:rsid w:val="00674C0C"/>
    <w:rsid w:val="0067589F"/>
    <w:rsid w:val="006768F6"/>
    <w:rsid w:val="0067707B"/>
    <w:rsid w:val="006802B1"/>
    <w:rsid w:val="00681C35"/>
    <w:rsid w:val="00682FF0"/>
    <w:rsid w:val="00683048"/>
    <w:rsid w:val="00683CED"/>
    <w:rsid w:val="006842CA"/>
    <w:rsid w:val="00684D49"/>
    <w:rsid w:val="00685822"/>
    <w:rsid w:val="00686AF6"/>
    <w:rsid w:val="00687B7D"/>
    <w:rsid w:val="0069020B"/>
    <w:rsid w:val="0069076C"/>
    <w:rsid w:val="0069246D"/>
    <w:rsid w:val="00692E94"/>
    <w:rsid w:val="0069320B"/>
    <w:rsid w:val="0069426F"/>
    <w:rsid w:val="00694BC0"/>
    <w:rsid w:val="00696B1E"/>
    <w:rsid w:val="006A006C"/>
    <w:rsid w:val="006A0CD7"/>
    <w:rsid w:val="006A1004"/>
    <w:rsid w:val="006A2CE3"/>
    <w:rsid w:val="006A34DE"/>
    <w:rsid w:val="006A48FE"/>
    <w:rsid w:val="006A5FB4"/>
    <w:rsid w:val="006A65C7"/>
    <w:rsid w:val="006A78E7"/>
    <w:rsid w:val="006B2FE4"/>
    <w:rsid w:val="006B3363"/>
    <w:rsid w:val="006B54A6"/>
    <w:rsid w:val="006C2425"/>
    <w:rsid w:val="006C4561"/>
    <w:rsid w:val="006D006A"/>
    <w:rsid w:val="006D058E"/>
    <w:rsid w:val="006D4582"/>
    <w:rsid w:val="006D4C6F"/>
    <w:rsid w:val="006D5D2B"/>
    <w:rsid w:val="006D7A2F"/>
    <w:rsid w:val="006E004A"/>
    <w:rsid w:val="006E0295"/>
    <w:rsid w:val="006E156F"/>
    <w:rsid w:val="006E1CB3"/>
    <w:rsid w:val="006E24DB"/>
    <w:rsid w:val="006E26A1"/>
    <w:rsid w:val="006E3291"/>
    <w:rsid w:val="006E3827"/>
    <w:rsid w:val="006E5D9E"/>
    <w:rsid w:val="006E6EDB"/>
    <w:rsid w:val="006E7EBA"/>
    <w:rsid w:val="006F01FE"/>
    <w:rsid w:val="006F0CB1"/>
    <w:rsid w:val="006F2493"/>
    <w:rsid w:val="006F4F22"/>
    <w:rsid w:val="006F56F3"/>
    <w:rsid w:val="006F650B"/>
    <w:rsid w:val="006F65B7"/>
    <w:rsid w:val="006F71F9"/>
    <w:rsid w:val="006F7364"/>
    <w:rsid w:val="00701CC5"/>
    <w:rsid w:val="00701D77"/>
    <w:rsid w:val="00701E62"/>
    <w:rsid w:val="007049F6"/>
    <w:rsid w:val="00704CF4"/>
    <w:rsid w:val="00706346"/>
    <w:rsid w:val="0070651D"/>
    <w:rsid w:val="00707F25"/>
    <w:rsid w:val="00712092"/>
    <w:rsid w:val="007120D7"/>
    <w:rsid w:val="007122F9"/>
    <w:rsid w:val="00712B49"/>
    <w:rsid w:val="00712EB8"/>
    <w:rsid w:val="00713FD5"/>
    <w:rsid w:val="0071478A"/>
    <w:rsid w:val="007148E9"/>
    <w:rsid w:val="00714F4C"/>
    <w:rsid w:val="00715688"/>
    <w:rsid w:val="00716252"/>
    <w:rsid w:val="0072013C"/>
    <w:rsid w:val="00722739"/>
    <w:rsid w:val="00722B1C"/>
    <w:rsid w:val="0072448A"/>
    <w:rsid w:val="007244C4"/>
    <w:rsid w:val="007249A3"/>
    <w:rsid w:val="00726FA1"/>
    <w:rsid w:val="00727387"/>
    <w:rsid w:val="00727FD5"/>
    <w:rsid w:val="00730D18"/>
    <w:rsid w:val="0073146F"/>
    <w:rsid w:val="00732A8C"/>
    <w:rsid w:val="00734969"/>
    <w:rsid w:val="00735485"/>
    <w:rsid w:val="00737CC0"/>
    <w:rsid w:val="00737F88"/>
    <w:rsid w:val="007405E2"/>
    <w:rsid w:val="00740757"/>
    <w:rsid w:val="007416EA"/>
    <w:rsid w:val="00741D0E"/>
    <w:rsid w:val="007421B2"/>
    <w:rsid w:val="00742A8B"/>
    <w:rsid w:val="00742BED"/>
    <w:rsid w:val="00746E15"/>
    <w:rsid w:val="00747098"/>
    <w:rsid w:val="00747C65"/>
    <w:rsid w:val="00751FF3"/>
    <w:rsid w:val="007544C3"/>
    <w:rsid w:val="00754C9B"/>
    <w:rsid w:val="00755051"/>
    <w:rsid w:val="00755328"/>
    <w:rsid w:val="0075580E"/>
    <w:rsid w:val="00756071"/>
    <w:rsid w:val="007562F5"/>
    <w:rsid w:val="00757099"/>
    <w:rsid w:val="007600E7"/>
    <w:rsid w:val="007608AE"/>
    <w:rsid w:val="00760DDD"/>
    <w:rsid w:val="00761D8D"/>
    <w:rsid w:val="00762399"/>
    <w:rsid w:val="00762808"/>
    <w:rsid w:val="0076373B"/>
    <w:rsid w:val="00763C7B"/>
    <w:rsid w:val="0076610D"/>
    <w:rsid w:val="00766ECC"/>
    <w:rsid w:val="0077672D"/>
    <w:rsid w:val="00780266"/>
    <w:rsid w:val="007804D5"/>
    <w:rsid w:val="00781175"/>
    <w:rsid w:val="00781A2D"/>
    <w:rsid w:val="00782520"/>
    <w:rsid w:val="0078553F"/>
    <w:rsid w:val="0078573F"/>
    <w:rsid w:val="00787E50"/>
    <w:rsid w:val="007915BC"/>
    <w:rsid w:val="007916C0"/>
    <w:rsid w:val="00792686"/>
    <w:rsid w:val="00793419"/>
    <w:rsid w:val="007935C4"/>
    <w:rsid w:val="007941D4"/>
    <w:rsid w:val="00794884"/>
    <w:rsid w:val="00796343"/>
    <w:rsid w:val="00796503"/>
    <w:rsid w:val="00796742"/>
    <w:rsid w:val="00796CC4"/>
    <w:rsid w:val="00797288"/>
    <w:rsid w:val="007978E2"/>
    <w:rsid w:val="007A060F"/>
    <w:rsid w:val="007A1481"/>
    <w:rsid w:val="007A18A3"/>
    <w:rsid w:val="007A1FAE"/>
    <w:rsid w:val="007A20D9"/>
    <w:rsid w:val="007A29F0"/>
    <w:rsid w:val="007A3FCA"/>
    <w:rsid w:val="007A4C51"/>
    <w:rsid w:val="007A4F29"/>
    <w:rsid w:val="007A5DC6"/>
    <w:rsid w:val="007B0D12"/>
    <w:rsid w:val="007B1231"/>
    <w:rsid w:val="007B4047"/>
    <w:rsid w:val="007B748F"/>
    <w:rsid w:val="007B7639"/>
    <w:rsid w:val="007C0166"/>
    <w:rsid w:val="007C1872"/>
    <w:rsid w:val="007C213C"/>
    <w:rsid w:val="007C313A"/>
    <w:rsid w:val="007C338E"/>
    <w:rsid w:val="007C33F9"/>
    <w:rsid w:val="007C4FE3"/>
    <w:rsid w:val="007C623A"/>
    <w:rsid w:val="007C63F8"/>
    <w:rsid w:val="007C7C4C"/>
    <w:rsid w:val="007D018C"/>
    <w:rsid w:val="007D0277"/>
    <w:rsid w:val="007D0A1D"/>
    <w:rsid w:val="007D2B03"/>
    <w:rsid w:val="007D30A1"/>
    <w:rsid w:val="007D4018"/>
    <w:rsid w:val="007D459B"/>
    <w:rsid w:val="007D507B"/>
    <w:rsid w:val="007D6DE5"/>
    <w:rsid w:val="007E1566"/>
    <w:rsid w:val="007E3300"/>
    <w:rsid w:val="007E3A0A"/>
    <w:rsid w:val="007E5435"/>
    <w:rsid w:val="007E628F"/>
    <w:rsid w:val="007E6E54"/>
    <w:rsid w:val="007E746B"/>
    <w:rsid w:val="007E7522"/>
    <w:rsid w:val="007F1895"/>
    <w:rsid w:val="007F2093"/>
    <w:rsid w:val="007F399E"/>
    <w:rsid w:val="007F492A"/>
    <w:rsid w:val="007F4E22"/>
    <w:rsid w:val="007F58EB"/>
    <w:rsid w:val="007F5AC9"/>
    <w:rsid w:val="007F63E1"/>
    <w:rsid w:val="00800236"/>
    <w:rsid w:val="008013D1"/>
    <w:rsid w:val="0080387E"/>
    <w:rsid w:val="00806C68"/>
    <w:rsid w:val="008077B5"/>
    <w:rsid w:val="00807953"/>
    <w:rsid w:val="00807A5A"/>
    <w:rsid w:val="00807E85"/>
    <w:rsid w:val="0081717A"/>
    <w:rsid w:val="008218B7"/>
    <w:rsid w:val="008224A4"/>
    <w:rsid w:val="00824EAA"/>
    <w:rsid w:val="00825270"/>
    <w:rsid w:val="00825F6B"/>
    <w:rsid w:val="0083000C"/>
    <w:rsid w:val="00830DA2"/>
    <w:rsid w:val="0083186E"/>
    <w:rsid w:val="00831EF2"/>
    <w:rsid w:val="00832861"/>
    <w:rsid w:val="008352B8"/>
    <w:rsid w:val="0083608D"/>
    <w:rsid w:val="008374B4"/>
    <w:rsid w:val="00837D4A"/>
    <w:rsid w:val="00840270"/>
    <w:rsid w:val="00841EAF"/>
    <w:rsid w:val="00842736"/>
    <w:rsid w:val="008456F5"/>
    <w:rsid w:val="00845BCF"/>
    <w:rsid w:val="0084616B"/>
    <w:rsid w:val="0084716B"/>
    <w:rsid w:val="0084764C"/>
    <w:rsid w:val="00850B48"/>
    <w:rsid w:val="00852352"/>
    <w:rsid w:val="00852FFE"/>
    <w:rsid w:val="00853601"/>
    <w:rsid w:val="00855F9E"/>
    <w:rsid w:val="00856F7D"/>
    <w:rsid w:val="008575C6"/>
    <w:rsid w:val="00860133"/>
    <w:rsid w:val="00860504"/>
    <w:rsid w:val="00864AD0"/>
    <w:rsid w:val="0087103B"/>
    <w:rsid w:val="00871376"/>
    <w:rsid w:val="008713F0"/>
    <w:rsid w:val="00872158"/>
    <w:rsid w:val="00872279"/>
    <w:rsid w:val="008727AA"/>
    <w:rsid w:val="00872F92"/>
    <w:rsid w:val="008740FC"/>
    <w:rsid w:val="00874C2C"/>
    <w:rsid w:val="00876302"/>
    <w:rsid w:val="00876A33"/>
    <w:rsid w:val="00881518"/>
    <w:rsid w:val="0088248A"/>
    <w:rsid w:val="008838C9"/>
    <w:rsid w:val="00883BDF"/>
    <w:rsid w:val="00884C56"/>
    <w:rsid w:val="00886C9E"/>
    <w:rsid w:val="00894BA5"/>
    <w:rsid w:val="008967C2"/>
    <w:rsid w:val="00896B08"/>
    <w:rsid w:val="00896F35"/>
    <w:rsid w:val="0089725A"/>
    <w:rsid w:val="008A0A85"/>
    <w:rsid w:val="008A2601"/>
    <w:rsid w:val="008A34B9"/>
    <w:rsid w:val="008A3D99"/>
    <w:rsid w:val="008A50AC"/>
    <w:rsid w:val="008A565C"/>
    <w:rsid w:val="008A680E"/>
    <w:rsid w:val="008A7AF2"/>
    <w:rsid w:val="008A7D50"/>
    <w:rsid w:val="008B126A"/>
    <w:rsid w:val="008B26EA"/>
    <w:rsid w:val="008B5594"/>
    <w:rsid w:val="008B574D"/>
    <w:rsid w:val="008B656E"/>
    <w:rsid w:val="008B66EA"/>
    <w:rsid w:val="008B68D6"/>
    <w:rsid w:val="008B7D85"/>
    <w:rsid w:val="008C16B0"/>
    <w:rsid w:val="008C35A2"/>
    <w:rsid w:val="008C4AC6"/>
    <w:rsid w:val="008C69A3"/>
    <w:rsid w:val="008D0264"/>
    <w:rsid w:val="008D3D19"/>
    <w:rsid w:val="008D3E84"/>
    <w:rsid w:val="008D4F8C"/>
    <w:rsid w:val="008D6469"/>
    <w:rsid w:val="008E05CF"/>
    <w:rsid w:val="008E15FB"/>
    <w:rsid w:val="008E357C"/>
    <w:rsid w:val="008E3978"/>
    <w:rsid w:val="008E3E12"/>
    <w:rsid w:val="008E43E1"/>
    <w:rsid w:val="008E5C0F"/>
    <w:rsid w:val="008E616E"/>
    <w:rsid w:val="008F1BB9"/>
    <w:rsid w:val="008F246F"/>
    <w:rsid w:val="008F30E7"/>
    <w:rsid w:val="008F443D"/>
    <w:rsid w:val="008F52F4"/>
    <w:rsid w:val="008F57BD"/>
    <w:rsid w:val="008F7D65"/>
    <w:rsid w:val="00901A82"/>
    <w:rsid w:val="009033E0"/>
    <w:rsid w:val="00904377"/>
    <w:rsid w:val="009045FD"/>
    <w:rsid w:val="0090467E"/>
    <w:rsid w:val="0090568E"/>
    <w:rsid w:val="00906685"/>
    <w:rsid w:val="00906A33"/>
    <w:rsid w:val="0090774D"/>
    <w:rsid w:val="009079D1"/>
    <w:rsid w:val="0091040A"/>
    <w:rsid w:val="009126E5"/>
    <w:rsid w:val="00913F1D"/>
    <w:rsid w:val="00914887"/>
    <w:rsid w:val="0091490E"/>
    <w:rsid w:val="00915228"/>
    <w:rsid w:val="009157D7"/>
    <w:rsid w:val="00916C05"/>
    <w:rsid w:val="00916ED6"/>
    <w:rsid w:val="00917946"/>
    <w:rsid w:val="009213CB"/>
    <w:rsid w:val="00921AB7"/>
    <w:rsid w:val="009223A0"/>
    <w:rsid w:val="00923168"/>
    <w:rsid w:val="009238EA"/>
    <w:rsid w:val="00923C94"/>
    <w:rsid w:val="00925986"/>
    <w:rsid w:val="00926F29"/>
    <w:rsid w:val="00927371"/>
    <w:rsid w:val="00927642"/>
    <w:rsid w:val="00930C83"/>
    <w:rsid w:val="009318C1"/>
    <w:rsid w:val="009322B9"/>
    <w:rsid w:val="00933DA1"/>
    <w:rsid w:val="00934831"/>
    <w:rsid w:val="0093541F"/>
    <w:rsid w:val="009379EC"/>
    <w:rsid w:val="009411CF"/>
    <w:rsid w:val="0094378B"/>
    <w:rsid w:val="00943C8F"/>
    <w:rsid w:val="009445AE"/>
    <w:rsid w:val="00944FB3"/>
    <w:rsid w:val="009455A4"/>
    <w:rsid w:val="0094738C"/>
    <w:rsid w:val="0094745E"/>
    <w:rsid w:val="00950148"/>
    <w:rsid w:val="00950B29"/>
    <w:rsid w:val="00951A87"/>
    <w:rsid w:val="009524F1"/>
    <w:rsid w:val="00952688"/>
    <w:rsid w:val="00952CF7"/>
    <w:rsid w:val="00953753"/>
    <w:rsid w:val="00954401"/>
    <w:rsid w:val="009550F0"/>
    <w:rsid w:val="009556CD"/>
    <w:rsid w:val="00956097"/>
    <w:rsid w:val="00956219"/>
    <w:rsid w:val="00956249"/>
    <w:rsid w:val="00956303"/>
    <w:rsid w:val="00957A96"/>
    <w:rsid w:val="00960CCD"/>
    <w:rsid w:val="0096159D"/>
    <w:rsid w:val="009616D9"/>
    <w:rsid w:val="00961C11"/>
    <w:rsid w:val="0096328D"/>
    <w:rsid w:val="00967C72"/>
    <w:rsid w:val="00967DDE"/>
    <w:rsid w:val="00970BE6"/>
    <w:rsid w:val="009711F1"/>
    <w:rsid w:val="00971812"/>
    <w:rsid w:val="009720BB"/>
    <w:rsid w:val="009740DC"/>
    <w:rsid w:val="009748B3"/>
    <w:rsid w:val="0097539B"/>
    <w:rsid w:val="00975516"/>
    <w:rsid w:val="009803EB"/>
    <w:rsid w:val="009805E8"/>
    <w:rsid w:val="009807D2"/>
    <w:rsid w:val="00980841"/>
    <w:rsid w:val="00981AD3"/>
    <w:rsid w:val="00986A45"/>
    <w:rsid w:val="009909A3"/>
    <w:rsid w:val="00992F74"/>
    <w:rsid w:val="00993971"/>
    <w:rsid w:val="00996121"/>
    <w:rsid w:val="00996FD2"/>
    <w:rsid w:val="00997288"/>
    <w:rsid w:val="009A31C8"/>
    <w:rsid w:val="009A32FE"/>
    <w:rsid w:val="009A3335"/>
    <w:rsid w:val="009A3757"/>
    <w:rsid w:val="009A3908"/>
    <w:rsid w:val="009A3A1B"/>
    <w:rsid w:val="009A4291"/>
    <w:rsid w:val="009A6AA7"/>
    <w:rsid w:val="009B0DE0"/>
    <w:rsid w:val="009B10CE"/>
    <w:rsid w:val="009B1E75"/>
    <w:rsid w:val="009B22A1"/>
    <w:rsid w:val="009B2FDE"/>
    <w:rsid w:val="009B4A45"/>
    <w:rsid w:val="009B512F"/>
    <w:rsid w:val="009B53FB"/>
    <w:rsid w:val="009B5577"/>
    <w:rsid w:val="009B5EE0"/>
    <w:rsid w:val="009B71DD"/>
    <w:rsid w:val="009B7688"/>
    <w:rsid w:val="009B76FC"/>
    <w:rsid w:val="009C0607"/>
    <w:rsid w:val="009C0C07"/>
    <w:rsid w:val="009C0F1A"/>
    <w:rsid w:val="009C263A"/>
    <w:rsid w:val="009C27E1"/>
    <w:rsid w:val="009C5801"/>
    <w:rsid w:val="009C5C4E"/>
    <w:rsid w:val="009C6714"/>
    <w:rsid w:val="009C671B"/>
    <w:rsid w:val="009C6989"/>
    <w:rsid w:val="009C6BA1"/>
    <w:rsid w:val="009C7665"/>
    <w:rsid w:val="009C7F7D"/>
    <w:rsid w:val="009D013B"/>
    <w:rsid w:val="009D0DBA"/>
    <w:rsid w:val="009D31DE"/>
    <w:rsid w:val="009D575C"/>
    <w:rsid w:val="009D7743"/>
    <w:rsid w:val="009D7875"/>
    <w:rsid w:val="009E06EA"/>
    <w:rsid w:val="009E08B6"/>
    <w:rsid w:val="009E0E52"/>
    <w:rsid w:val="009E0F84"/>
    <w:rsid w:val="009E121E"/>
    <w:rsid w:val="009E12CB"/>
    <w:rsid w:val="009E1C86"/>
    <w:rsid w:val="009E1D64"/>
    <w:rsid w:val="009E1E43"/>
    <w:rsid w:val="009E3057"/>
    <w:rsid w:val="009E3C2D"/>
    <w:rsid w:val="009E466B"/>
    <w:rsid w:val="009E5695"/>
    <w:rsid w:val="009E6F33"/>
    <w:rsid w:val="009F09F6"/>
    <w:rsid w:val="009F1102"/>
    <w:rsid w:val="009F4FBB"/>
    <w:rsid w:val="009F63DC"/>
    <w:rsid w:val="00A00340"/>
    <w:rsid w:val="00A01549"/>
    <w:rsid w:val="00A026C7"/>
    <w:rsid w:val="00A036F2"/>
    <w:rsid w:val="00A05019"/>
    <w:rsid w:val="00A05551"/>
    <w:rsid w:val="00A05C5B"/>
    <w:rsid w:val="00A103C1"/>
    <w:rsid w:val="00A106B3"/>
    <w:rsid w:val="00A10B89"/>
    <w:rsid w:val="00A148DA"/>
    <w:rsid w:val="00A1763B"/>
    <w:rsid w:val="00A17B04"/>
    <w:rsid w:val="00A20243"/>
    <w:rsid w:val="00A20C81"/>
    <w:rsid w:val="00A21420"/>
    <w:rsid w:val="00A2386D"/>
    <w:rsid w:val="00A247AB"/>
    <w:rsid w:val="00A24BC3"/>
    <w:rsid w:val="00A2523C"/>
    <w:rsid w:val="00A27171"/>
    <w:rsid w:val="00A27EC8"/>
    <w:rsid w:val="00A30295"/>
    <w:rsid w:val="00A31FBE"/>
    <w:rsid w:val="00A3200E"/>
    <w:rsid w:val="00A32529"/>
    <w:rsid w:val="00A3436D"/>
    <w:rsid w:val="00A348F5"/>
    <w:rsid w:val="00A354AD"/>
    <w:rsid w:val="00A41D06"/>
    <w:rsid w:val="00A436C4"/>
    <w:rsid w:val="00A44E13"/>
    <w:rsid w:val="00A45DD4"/>
    <w:rsid w:val="00A47D42"/>
    <w:rsid w:val="00A53D6F"/>
    <w:rsid w:val="00A54E60"/>
    <w:rsid w:val="00A55481"/>
    <w:rsid w:val="00A575A4"/>
    <w:rsid w:val="00A5779D"/>
    <w:rsid w:val="00A57DE4"/>
    <w:rsid w:val="00A60F2D"/>
    <w:rsid w:val="00A617C6"/>
    <w:rsid w:val="00A627C6"/>
    <w:rsid w:val="00A62DAA"/>
    <w:rsid w:val="00A63A45"/>
    <w:rsid w:val="00A65A87"/>
    <w:rsid w:val="00A65BD6"/>
    <w:rsid w:val="00A66027"/>
    <w:rsid w:val="00A665CA"/>
    <w:rsid w:val="00A669B9"/>
    <w:rsid w:val="00A6706D"/>
    <w:rsid w:val="00A670E3"/>
    <w:rsid w:val="00A672D7"/>
    <w:rsid w:val="00A67619"/>
    <w:rsid w:val="00A70074"/>
    <w:rsid w:val="00A714B0"/>
    <w:rsid w:val="00A71EAB"/>
    <w:rsid w:val="00A74C97"/>
    <w:rsid w:val="00A7546D"/>
    <w:rsid w:val="00A761D7"/>
    <w:rsid w:val="00A76224"/>
    <w:rsid w:val="00A764AB"/>
    <w:rsid w:val="00A7675D"/>
    <w:rsid w:val="00A80F70"/>
    <w:rsid w:val="00A81E90"/>
    <w:rsid w:val="00A82E09"/>
    <w:rsid w:val="00A83921"/>
    <w:rsid w:val="00A8407F"/>
    <w:rsid w:val="00A845C3"/>
    <w:rsid w:val="00A86273"/>
    <w:rsid w:val="00A87A0A"/>
    <w:rsid w:val="00A87E42"/>
    <w:rsid w:val="00A91571"/>
    <w:rsid w:val="00A91B04"/>
    <w:rsid w:val="00A932DA"/>
    <w:rsid w:val="00A94577"/>
    <w:rsid w:val="00A949DA"/>
    <w:rsid w:val="00A94CCE"/>
    <w:rsid w:val="00A9538A"/>
    <w:rsid w:val="00A96B90"/>
    <w:rsid w:val="00AA07D2"/>
    <w:rsid w:val="00AA1863"/>
    <w:rsid w:val="00AA1C0A"/>
    <w:rsid w:val="00AA1D7B"/>
    <w:rsid w:val="00AA3224"/>
    <w:rsid w:val="00AA3ABA"/>
    <w:rsid w:val="00AA4E7A"/>
    <w:rsid w:val="00AA52F9"/>
    <w:rsid w:val="00AA55F0"/>
    <w:rsid w:val="00AA5A01"/>
    <w:rsid w:val="00AA78F8"/>
    <w:rsid w:val="00AA7A54"/>
    <w:rsid w:val="00AA7EA8"/>
    <w:rsid w:val="00AB088F"/>
    <w:rsid w:val="00AB08ED"/>
    <w:rsid w:val="00AB2650"/>
    <w:rsid w:val="00AB405A"/>
    <w:rsid w:val="00AB42B5"/>
    <w:rsid w:val="00AB4333"/>
    <w:rsid w:val="00AB4621"/>
    <w:rsid w:val="00AB7014"/>
    <w:rsid w:val="00AC1814"/>
    <w:rsid w:val="00AC36D7"/>
    <w:rsid w:val="00AC41AE"/>
    <w:rsid w:val="00AC5D33"/>
    <w:rsid w:val="00AD00ED"/>
    <w:rsid w:val="00AD1A70"/>
    <w:rsid w:val="00AD1C1A"/>
    <w:rsid w:val="00AD1CA2"/>
    <w:rsid w:val="00AD24D9"/>
    <w:rsid w:val="00AD3463"/>
    <w:rsid w:val="00AD488E"/>
    <w:rsid w:val="00AD5055"/>
    <w:rsid w:val="00AD5180"/>
    <w:rsid w:val="00AD528B"/>
    <w:rsid w:val="00AD5951"/>
    <w:rsid w:val="00AD5FAF"/>
    <w:rsid w:val="00AD7CC6"/>
    <w:rsid w:val="00AE2F7D"/>
    <w:rsid w:val="00AE3B42"/>
    <w:rsid w:val="00AE5463"/>
    <w:rsid w:val="00AE668D"/>
    <w:rsid w:val="00AE773B"/>
    <w:rsid w:val="00AE7BEC"/>
    <w:rsid w:val="00AE7D90"/>
    <w:rsid w:val="00AF077E"/>
    <w:rsid w:val="00AF2411"/>
    <w:rsid w:val="00AF32E5"/>
    <w:rsid w:val="00AF4276"/>
    <w:rsid w:val="00B01928"/>
    <w:rsid w:val="00B030EC"/>
    <w:rsid w:val="00B05E4B"/>
    <w:rsid w:val="00B10A13"/>
    <w:rsid w:val="00B11066"/>
    <w:rsid w:val="00B11C3B"/>
    <w:rsid w:val="00B14DFD"/>
    <w:rsid w:val="00B16A4E"/>
    <w:rsid w:val="00B16F36"/>
    <w:rsid w:val="00B16FBE"/>
    <w:rsid w:val="00B17266"/>
    <w:rsid w:val="00B202A4"/>
    <w:rsid w:val="00B204E3"/>
    <w:rsid w:val="00B20C42"/>
    <w:rsid w:val="00B20CC5"/>
    <w:rsid w:val="00B23900"/>
    <w:rsid w:val="00B246DA"/>
    <w:rsid w:val="00B2536C"/>
    <w:rsid w:val="00B26803"/>
    <w:rsid w:val="00B26DEA"/>
    <w:rsid w:val="00B26FEA"/>
    <w:rsid w:val="00B276E1"/>
    <w:rsid w:val="00B30E5B"/>
    <w:rsid w:val="00B315B3"/>
    <w:rsid w:val="00B319FA"/>
    <w:rsid w:val="00B324E3"/>
    <w:rsid w:val="00B362E9"/>
    <w:rsid w:val="00B36363"/>
    <w:rsid w:val="00B36978"/>
    <w:rsid w:val="00B37B9A"/>
    <w:rsid w:val="00B40C83"/>
    <w:rsid w:val="00B42AF2"/>
    <w:rsid w:val="00B4432C"/>
    <w:rsid w:val="00B46FFC"/>
    <w:rsid w:val="00B5215C"/>
    <w:rsid w:val="00B5222E"/>
    <w:rsid w:val="00B52BDB"/>
    <w:rsid w:val="00B53453"/>
    <w:rsid w:val="00B53E98"/>
    <w:rsid w:val="00B5401F"/>
    <w:rsid w:val="00B544E5"/>
    <w:rsid w:val="00B54D20"/>
    <w:rsid w:val="00B55CD5"/>
    <w:rsid w:val="00B5723F"/>
    <w:rsid w:val="00B57836"/>
    <w:rsid w:val="00B57BD1"/>
    <w:rsid w:val="00B57D82"/>
    <w:rsid w:val="00B63ADC"/>
    <w:rsid w:val="00B65B45"/>
    <w:rsid w:val="00B65F87"/>
    <w:rsid w:val="00B66FB3"/>
    <w:rsid w:val="00B72068"/>
    <w:rsid w:val="00B72AC7"/>
    <w:rsid w:val="00B73094"/>
    <w:rsid w:val="00B76381"/>
    <w:rsid w:val="00B768BE"/>
    <w:rsid w:val="00B8090F"/>
    <w:rsid w:val="00B80A8B"/>
    <w:rsid w:val="00B816C0"/>
    <w:rsid w:val="00B82C41"/>
    <w:rsid w:val="00B84B2B"/>
    <w:rsid w:val="00B862ED"/>
    <w:rsid w:val="00B86613"/>
    <w:rsid w:val="00B86D56"/>
    <w:rsid w:val="00B87425"/>
    <w:rsid w:val="00B87477"/>
    <w:rsid w:val="00B87D37"/>
    <w:rsid w:val="00B9070B"/>
    <w:rsid w:val="00B923DF"/>
    <w:rsid w:val="00B930EC"/>
    <w:rsid w:val="00B94A99"/>
    <w:rsid w:val="00B95040"/>
    <w:rsid w:val="00B96840"/>
    <w:rsid w:val="00B97D5F"/>
    <w:rsid w:val="00BA2F65"/>
    <w:rsid w:val="00BA478B"/>
    <w:rsid w:val="00BA5F90"/>
    <w:rsid w:val="00BA6DA9"/>
    <w:rsid w:val="00BA6F3A"/>
    <w:rsid w:val="00BA789D"/>
    <w:rsid w:val="00BA7B0E"/>
    <w:rsid w:val="00BB04E3"/>
    <w:rsid w:val="00BB2722"/>
    <w:rsid w:val="00BB2DB2"/>
    <w:rsid w:val="00BB3A64"/>
    <w:rsid w:val="00BB3EC4"/>
    <w:rsid w:val="00BB4404"/>
    <w:rsid w:val="00BB5A19"/>
    <w:rsid w:val="00BB7A1F"/>
    <w:rsid w:val="00BC0589"/>
    <w:rsid w:val="00BC07EA"/>
    <w:rsid w:val="00BC0844"/>
    <w:rsid w:val="00BC18D2"/>
    <w:rsid w:val="00BC57F1"/>
    <w:rsid w:val="00BD002C"/>
    <w:rsid w:val="00BD2E5E"/>
    <w:rsid w:val="00BD393C"/>
    <w:rsid w:val="00BD6132"/>
    <w:rsid w:val="00BE0A8D"/>
    <w:rsid w:val="00BE12AF"/>
    <w:rsid w:val="00BE2A45"/>
    <w:rsid w:val="00BE302F"/>
    <w:rsid w:val="00BE423A"/>
    <w:rsid w:val="00BE7A88"/>
    <w:rsid w:val="00BE7C7A"/>
    <w:rsid w:val="00BF1370"/>
    <w:rsid w:val="00BF395B"/>
    <w:rsid w:val="00BF4B9B"/>
    <w:rsid w:val="00BF5FB2"/>
    <w:rsid w:val="00BF6C60"/>
    <w:rsid w:val="00BF7BDA"/>
    <w:rsid w:val="00C002EF"/>
    <w:rsid w:val="00C04EF0"/>
    <w:rsid w:val="00C058CF"/>
    <w:rsid w:val="00C05EAD"/>
    <w:rsid w:val="00C063DA"/>
    <w:rsid w:val="00C06780"/>
    <w:rsid w:val="00C0698E"/>
    <w:rsid w:val="00C07150"/>
    <w:rsid w:val="00C072AC"/>
    <w:rsid w:val="00C1015E"/>
    <w:rsid w:val="00C104E0"/>
    <w:rsid w:val="00C10CC7"/>
    <w:rsid w:val="00C11582"/>
    <w:rsid w:val="00C1220E"/>
    <w:rsid w:val="00C122C2"/>
    <w:rsid w:val="00C12C04"/>
    <w:rsid w:val="00C16C3C"/>
    <w:rsid w:val="00C20502"/>
    <w:rsid w:val="00C20AC6"/>
    <w:rsid w:val="00C2273C"/>
    <w:rsid w:val="00C2383E"/>
    <w:rsid w:val="00C243BC"/>
    <w:rsid w:val="00C247A5"/>
    <w:rsid w:val="00C26647"/>
    <w:rsid w:val="00C300AF"/>
    <w:rsid w:val="00C30FE3"/>
    <w:rsid w:val="00C314DF"/>
    <w:rsid w:val="00C31AFB"/>
    <w:rsid w:val="00C3229E"/>
    <w:rsid w:val="00C322AB"/>
    <w:rsid w:val="00C344E6"/>
    <w:rsid w:val="00C35D83"/>
    <w:rsid w:val="00C36DC0"/>
    <w:rsid w:val="00C36FEB"/>
    <w:rsid w:val="00C40B4C"/>
    <w:rsid w:val="00C40DAC"/>
    <w:rsid w:val="00C40F32"/>
    <w:rsid w:val="00C429BF"/>
    <w:rsid w:val="00C44F90"/>
    <w:rsid w:val="00C456A7"/>
    <w:rsid w:val="00C45871"/>
    <w:rsid w:val="00C460F0"/>
    <w:rsid w:val="00C46627"/>
    <w:rsid w:val="00C4664F"/>
    <w:rsid w:val="00C47AB5"/>
    <w:rsid w:val="00C507D1"/>
    <w:rsid w:val="00C50A4E"/>
    <w:rsid w:val="00C5151E"/>
    <w:rsid w:val="00C535E1"/>
    <w:rsid w:val="00C54F3B"/>
    <w:rsid w:val="00C565FB"/>
    <w:rsid w:val="00C56FB9"/>
    <w:rsid w:val="00C572E0"/>
    <w:rsid w:val="00C57550"/>
    <w:rsid w:val="00C57899"/>
    <w:rsid w:val="00C62556"/>
    <w:rsid w:val="00C633B5"/>
    <w:rsid w:val="00C6630F"/>
    <w:rsid w:val="00C706BE"/>
    <w:rsid w:val="00C7202F"/>
    <w:rsid w:val="00C7467E"/>
    <w:rsid w:val="00C7641F"/>
    <w:rsid w:val="00C765BF"/>
    <w:rsid w:val="00C76618"/>
    <w:rsid w:val="00C77AE6"/>
    <w:rsid w:val="00C808D1"/>
    <w:rsid w:val="00C80C3C"/>
    <w:rsid w:val="00C82510"/>
    <w:rsid w:val="00C82787"/>
    <w:rsid w:val="00C82AE0"/>
    <w:rsid w:val="00C83299"/>
    <w:rsid w:val="00C844B7"/>
    <w:rsid w:val="00C85334"/>
    <w:rsid w:val="00C86500"/>
    <w:rsid w:val="00C86AD7"/>
    <w:rsid w:val="00C86F01"/>
    <w:rsid w:val="00C90EC4"/>
    <w:rsid w:val="00C93211"/>
    <w:rsid w:val="00C941C1"/>
    <w:rsid w:val="00C957CB"/>
    <w:rsid w:val="00C96B48"/>
    <w:rsid w:val="00C975DE"/>
    <w:rsid w:val="00C97CA0"/>
    <w:rsid w:val="00C97D33"/>
    <w:rsid w:val="00CA0CFD"/>
    <w:rsid w:val="00CA3B58"/>
    <w:rsid w:val="00CA4DA0"/>
    <w:rsid w:val="00CA574F"/>
    <w:rsid w:val="00CA615C"/>
    <w:rsid w:val="00CA64E2"/>
    <w:rsid w:val="00CA6A5A"/>
    <w:rsid w:val="00CB17F6"/>
    <w:rsid w:val="00CB22A5"/>
    <w:rsid w:val="00CB4EE6"/>
    <w:rsid w:val="00CB6181"/>
    <w:rsid w:val="00CB6C4E"/>
    <w:rsid w:val="00CB7E5E"/>
    <w:rsid w:val="00CC08E9"/>
    <w:rsid w:val="00CC1007"/>
    <w:rsid w:val="00CC222B"/>
    <w:rsid w:val="00CC2DE5"/>
    <w:rsid w:val="00CC35C8"/>
    <w:rsid w:val="00CC43D3"/>
    <w:rsid w:val="00CC6BC5"/>
    <w:rsid w:val="00CD1428"/>
    <w:rsid w:val="00CD4505"/>
    <w:rsid w:val="00CD4880"/>
    <w:rsid w:val="00CD4892"/>
    <w:rsid w:val="00CD6736"/>
    <w:rsid w:val="00CD7E3F"/>
    <w:rsid w:val="00CD7E57"/>
    <w:rsid w:val="00CE113F"/>
    <w:rsid w:val="00CE394A"/>
    <w:rsid w:val="00CE3CD8"/>
    <w:rsid w:val="00CE7DAF"/>
    <w:rsid w:val="00CF0A7C"/>
    <w:rsid w:val="00CF1105"/>
    <w:rsid w:val="00CF18D8"/>
    <w:rsid w:val="00CF30A6"/>
    <w:rsid w:val="00CF3FB4"/>
    <w:rsid w:val="00CF5F8E"/>
    <w:rsid w:val="00CF6593"/>
    <w:rsid w:val="00CF7FA4"/>
    <w:rsid w:val="00D00731"/>
    <w:rsid w:val="00D0087E"/>
    <w:rsid w:val="00D02BF8"/>
    <w:rsid w:val="00D02EA4"/>
    <w:rsid w:val="00D03CF4"/>
    <w:rsid w:val="00D041DD"/>
    <w:rsid w:val="00D04D96"/>
    <w:rsid w:val="00D057A6"/>
    <w:rsid w:val="00D066DB"/>
    <w:rsid w:val="00D06D20"/>
    <w:rsid w:val="00D07097"/>
    <w:rsid w:val="00D07793"/>
    <w:rsid w:val="00D1215E"/>
    <w:rsid w:val="00D123D0"/>
    <w:rsid w:val="00D136B5"/>
    <w:rsid w:val="00D13CC6"/>
    <w:rsid w:val="00D13DDC"/>
    <w:rsid w:val="00D145DC"/>
    <w:rsid w:val="00D1557D"/>
    <w:rsid w:val="00D2131A"/>
    <w:rsid w:val="00D21364"/>
    <w:rsid w:val="00D21398"/>
    <w:rsid w:val="00D2234C"/>
    <w:rsid w:val="00D241E4"/>
    <w:rsid w:val="00D24220"/>
    <w:rsid w:val="00D245B8"/>
    <w:rsid w:val="00D245E7"/>
    <w:rsid w:val="00D247DF"/>
    <w:rsid w:val="00D24D9C"/>
    <w:rsid w:val="00D25BC7"/>
    <w:rsid w:val="00D26CC9"/>
    <w:rsid w:val="00D2740B"/>
    <w:rsid w:val="00D274D6"/>
    <w:rsid w:val="00D32214"/>
    <w:rsid w:val="00D32AF3"/>
    <w:rsid w:val="00D33C13"/>
    <w:rsid w:val="00D33FA9"/>
    <w:rsid w:val="00D363A4"/>
    <w:rsid w:val="00D40D3F"/>
    <w:rsid w:val="00D4117E"/>
    <w:rsid w:val="00D412CD"/>
    <w:rsid w:val="00D4132E"/>
    <w:rsid w:val="00D421F2"/>
    <w:rsid w:val="00D4284B"/>
    <w:rsid w:val="00D442BB"/>
    <w:rsid w:val="00D45339"/>
    <w:rsid w:val="00D464DA"/>
    <w:rsid w:val="00D46BDD"/>
    <w:rsid w:val="00D47D03"/>
    <w:rsid w:val="00D51513"/>
    <w:rsid w:val="00D52404"/>
    <w:rsid w:val="00D52C43"/>
    <w:rsid w:val="00D53183"/>
    <w:rsid w:val="00D53E0E"/>
    <w:rsid w:val="00D540D9"/>
    <w:rsid w:val="00D5513C"/>
    <w:rsid w:val="00D556DF"/>
    <w:rsid w:val="00D57334"/>
    <w:rsid w:val="00D57C34"/>
    <w:rsid w:val="00D61FC6"/>
    <w:rsid w:val="00D62444"/>
    <w:rsid w:val="00D63EB1"/>
    <w:rsid w:val="00D66C1E"/>
    <w:rsid w:val="00D6721F"/>
    <w:rsid w:val="00D70083"/>
    <w:rsid w:val="00D70586"/>
    <w:rsid w:val="00D7280E"/>
    <w:rsid w:val="00D72B90"/>
    <w:rsid w:val="00D74F09"/>
    <w:rsid w:val="00D75C32"/>
    <w:rsid w:val="00D75CDF"/>
    <w:rsid w:val="00D75E80"/>
    <w:rsid w:val="00D76808"/>
    <w:rsid w:val="00D7727D"/>
    <w:rsid w:val="00D80BBB"/>
    <w:rsid w:val="00D842D6"/>
    <w:rsid w:val="00D85206"/>
    <w:rsid w:val="00D85801"/>
    <w:rsid w:val="00D86272"/>
    <w:rsid w:val="00D862F9"/>
    <w:rsid w:val="00D8746D"/>
    <w:rsid w:val="00D87A9B"/>
    <w:rsid w:val="00D90945"/>
    <w:rsid w:val="00D92AE7"/>
    <w:rsid w:val="00D9317E"/>
    <w:rsid w:val="00D9360C"/>
    <w:rsid w:val="00D93F72"/>
    <w:rsid w:val="00D94342"/>
    <w:rsid w:val="00D95407"/>
    <w:rsid w:val="00D9775F"/>
    <w:rsid w:val="00DA0DAA"/>
    <w:rsid w:val="00DA0E77"/>
    <w:rsid w:val="00DA0F37"/>
    <w:rsid w:val="00DA20E9"/>
    <w:rsid w:val="00DA31D2"/>
    <w:rsid w:val="00DA34D7"/>
    <w:rsid w:val="00DA3C8D"/>
    <w:rsid w:val="00DA6866"/>
    <w:rsid w:val="00DA6B5B"/>
    <w:rsid w:val="00DB032B"/>
    <w:rsid w:val="00DB1328"/>
    <w:rsid w:val="00DB132E"/>
    <w:rsid w:val="00DB2955"/>
    <w:rsid w:val="00DB559A"/>
    <w:rsid w:val="00DB566C"/>
    <w:rsid w:val="00DB6F01"/>
    <w:rsid w:val="00DB7917"/>
    <w:rsid w:val="00DC0745"/>
    <w:rsid w:val="00DC452B"/>
    <w:rsid w:val="00DC68DE"/>
    <w:rsid w:val="00DC6DCF"/>
    <w:rsid w:val="00DD0EC2"/>
    <w:rsid w:val="00DD1E0D"/>
    <w:rsid w:val="00DD2067"/>
    <w:rsid w:val="00DD500B"/>
    <w:rsid w:val="00DD6EB2"/>
    <w:rsid w:val="00DE0CB0"/>
    <w:rsid w:val="00DE33B6"/>
    <w:rsid w:val="00DE4DDF"/>
    <w:rsid w:val="00DE6E6F"/>
    <w:rsid w:val="00DF11CC"/>
    <w:rsid w:val="00DF4EA0"/>
    <w:rsid w:val="00DF628E"/>
    <w:rsid w:val="00DF6C66"/>
    <w:rsid w:val="00DF744F"/>
    <w:rsid w:val="00E003B6"/>
    <w:rsid w:val="00E0319D"/>
    <w:rsid w:val="00E033A1"/>
    <w:rsid w:val="00E057B8"/>
    <w:rsid w:val="00E05BFA"/>
    <w:rsid w:val="00E0679E"/>
    <w:rsid w:val="00E0730B"/>
    <w:rsid w:val="00E10982"/>
    <w:rsid w:val="00E12A0C"/>
    <w:rsid w:val="00E16894"/>
    <w:rsid w:val="00E213BB"/>
    <w:rsid w:val="00E22052"/>
    <w:rsid w:val="00E229C1"/>
    <w:rsid w:val="00E23209"/>
    <w:rsid w:val="00E23A18"/>
    <w:rsid w:val="00E2452E"/>
    <w:rsid w:val="00E2557E"/>
    <w:rsid w:val="00E25906"/>
    <w:rsid w:val="00E279A1"/>
    <w:rsid w:val="00E30033"/>
    <w:rsid w:val="00E3057F"/>
    <w:rsid w:val="00E30683"/>
    <w:rsid w:val="00E309ED"/>
    <w:rsid w:val="00E30DB3"/>
    <w:rsid w:val="00E31344"/>
    <w:rsid w:val="00E32E9A"/>
    <w:rsid w:val="00E338AD"/>
    <w:rsid w:val="00E33BAA"/>
    <w:rsid w:val="00E34595"/>
    <w:rsid w:val="00E35BA5"/>
    <w:rsid w:val="00E35D82"/>
    <w:rsid w:val="00E363DC"/>
    <w:rsid w:val="00E36AB4"/>
    <w:rsid w:val="00E36E19"/>
    <w:rsid w:val="00E37086"/>
    <w:rsid w:val="00E371A6"/>
    <w:rsid w:val="00E40390"/>
    <w:rsid w:val="00E40570"/>
    <w:rsid w:val="00E41B9D"/>
    <w:rsid w:val="00E441CE"/>
    <w:rsid w:val="00E449A2"/>
    <w:rsid w:val="00E44CC0"/>
    <w:rsid w:val="00E45918"/>
    <w:rsid w:val="00E46A86"/>
    <w:rsid w:val="00E46DF7"/>
    <w:rsid w:val="00E500AA"/>
    <w:rsid w:val="00E5130B"/>
    <w:rsid w:val="00E5191A"/>
    <w:rsid w:val="00E51C38"/>
    <w:rsid w:val="00E54B69"/>
    <w:rsid w:val="00E570F0"/>
    <w:rsid w:val="00E57B98"/>
    <w:rsid w:val="00E60404"/>
    <w:rsid w:val="00E60B28"/>
    <w:rsid w:val="00E60D04"/>
    <w:rsid w:val="00E60D2A"/>
    <w:rsid w:val="00E60EE0"/>
    <w:rsid w:val="00E618C0"/>
    <w:rsid w:val="00E6216B"/>
    <w:rsid w:val="00E645D9"/>
    <w:rsid w:val="00E64931"/>
    <w:rsid w:val="00E6511B"/>
    <w:rsid w:val="00E65CAE"/>
    <w:rsid w:val="00E66942"/>
    <w:rsid w:val="00E66C6B"/>
    <w:rsid w:val="00E671E5"/>
    <w:rsid w:val="00E6745C"/>
    <w:rsid w:val="00E70636"/>
    <w:rsid w:val="00E71FAC"/>
    <w:rsid w:val="00E73D7D"/>
    <w:rsid w:val="00E744FD"/>
    <w:rsid w:val="00E74E8F"/>
    <w:rsid w:val="00E804DF"/>
    <w:rsid w:val="00E809CA"/>
    <w:rsid w:val="00E80BE4"/>
    <w:rsid w:val="00E810C0"/>
    <w:rsid w:val="00E81512"/>
    <w:rsid w:val="00E82BB2"/>
    <w:rsid w:val="00E83A2E"/>
    <w:rsid w:val="00E83C41"/>
    <w:rsid w:val="00E8614A"/>
    <w:rsid w:val="00E86560"/>
    <w:rsid w:val="00E867A3"/>
    <w:rsid w:val="00E86E80"/>
    <w:rsid w:val="00E8770B"/>
    <w:rsid w:val="00E9173E"/>
    <w:rsid w:val="00E92785"/>
    <w:rsid w:val="00E94100"/>
    <w:rsid w:val="00E94CAB"/>
    <w:rsid w:val="00E9512D"/>
    <w:rsid w:val="00E97404"/>
    <w:rsid w:val="00EA0F63"/>
    <w:rsid w:val="00EA196C"/>
    <w:rsid w:val="00EA2CFC"/>
    <w:rsid w:val="00EA484A"/>
    <w:rsid w:val="00EA5AB9"/>
    <w:rsid w:val="00EA7748"/>
    <w:rsid w:val="00EB02CB"/>
    <w:rsid w:val="00EB13D3"/>
    <w:rsid w:val="00EB18D3"/>
    <w:rsid w:val="00EB1A72"/>
    <w:rsid w:val="00EB4392"/>
    <w:rsid w:val="00EB43A7"/>
    <w:rsid w:val="00EB4D05"/>
    <w:rsid w:val="00EB5827"/>
    <w:rsid w:val="00EB6449"/>
    <w:rsid w:val="00EB6A88"/>
    <w:rsid w:val="00EB75B6"/>
    <w:rsid w:val="00EB774C"/>
    <w:rsid w:val="00EB7BEE"/>
    <w:rsid w:val="00EC107E"/>
    <w:rsid w:val="00EC1595"/>
    <w:rsid w:val="00EC21FE"/>
    <w:rsid w:val="00EC2374"/>
    <w:rsid w:val="00EC2EF0"/>
    <w:rsid w:val="00EC31A7"/>
    <w:rsid w:val="00EC3B49"/>
    <w:rsid w:val="00EC44F5"/>
    <w:rsid w:val="00EC615F"/>
    <w:rsid w:val="00EC630A"/>
    <w:rsid w:val="00EC6378"/>
    <w:rsid w:val="00EC7B1F"/>
    <w:rsid w:val="00ED30ED"/>
    <w:rsid w:val="00ED49D9"/>
    <w:rsid w:val="00ED5ACB"/>
    <w:rsid w:val="00ED6994"/>
    <w:rsid w:val="00ED70FD"/>
    <w:rsid w:val="00ED741B"/>
    <w:rsid w:val="00ED7741"/>
    <w:rsid w:val="00ED77B5"/>
    <w:rsid w:val="00EE22C5"/>
    <w:rsid w:val="00EE2564"/>
    <w:rsid w:val="00EE2E91"/>
    <w:rsid w:val="00EE5AC7"/>
    <w:rsid w:val="00EE7FCA"/>
    <w:rsid w:val="00EF0E57"/>
    <w:rsid w:val="00EF18DC"/>
    <w:rsid w:val="00EF1D19"/>
    <w:rsid w:val="00EF22D5"/>
    <w:rsid w:val="00EF4EA1"/>
    <w:rsid w:val="00F00346"/>
    <w:rsid w:val="00F00935"/>
    <w:rsid w:val="00F016CB"/>
    <w:rsid w:val="00F02CDE"/>
    <w:rsid w:val="00F02E81"/>
    <w:rsid w:val="00F034AB"/>
    <w:rsid w:val="00F03583"/>
    <w:rsid w:val="00F05821"/>
    <w:rsid w:val="00F069B4"/>
    <w:rsid w:val="00F118EA"/>
    <w:rsid w:val="00F14C49"/>
    <w:rsid w:val="00F14F93"/>
    <w:rsid w:val="00F20084"/>
    <w:rsid w:val="00F20772"/>
    <w:rsid w:val="00F20F97"/>
    <w:rsid w:val="00F22B7A"/>
    <w:rsid w:val="00F22EC7"/>
    <w:rsid w:val="00F2367A"/>
    <w:rsid w:val="00F2403A"/>
    <w:rsid w:val="00F26CD3"/>
    <w:rsid w:val="00F27C09"/>
    <w:rsid w:val="00F31CD5"/>
    <w:rsid w:val="00F3275D"/>
    <w:rsid w:val="00F377B7"/>
    <w:rsid w:val="00F37EC0"/>
    <w:rsid w:val="00F40140"/>
    <w:rsid w:val="00F410DB"/>
    <w:rsid w:val="00F4226A"/>
    <w:rsid w:val="00F430D9"/>
    <w:rsid w:val="00F43B85"/>
    <w:rsid w:val="00F45455"/>
    <w:rsid w:val="00F471F2"/>
    <w:rsid w:val="00F5183F"/>
    <w:rsid w:val="00F53E19"/>
    <w:rsid w:val="00F53E63"/>
    <w:rsid w:val="00F54CBA"/>
    <w:rsid w:val="00F56534"/>
    <w:rsid w:val="00F56FF1"/>
    <w:rsid w:val="00F60A8E"/>
    <w:rsid w:val="00F61082"/>
    <w:rsid w:val="00F611D9"/>
    <w:rsid w:val="00F618D0"/>
    <w:rsid w:val="00F627D9"/>
    <w:rsid w:val="00F64300"/>
    <w:rsid w:val="00F64ECC"/>
    <w:rsid w:val="00F65113"/>
    <w:rsid w:val="00F654BF"/>
    <w:rsid w:val="00F659A1"/>
    <w:rsid w:val="00F65DC0"/>
    <w:rsid w:val="00F6683E"/>
    <w:rsid w:val="00F670E4"/>
    <w:rsid w:val="00F6739D"/>
    <w:rsid w:val="00F67761"/>
    <w:rsid w:val="00F71370"/>
    <w:rsid w:val="00F71385"/>
    <w:rsid w:val="00F72415"/>
    <w:rsid w:val="00F72FE5"/>
    <w:rsid w:val="00F731AD"/>
    <w:rsid w:val="00F73C93"/>
    <w:rsid w:val="00F745AA"/>
    <w:rsid w:val="00F7477D"/>
    <w:rsid w:val="00F76711"/>
    <w:rsid w:val="00F76973"/>
    <w:rsid w:val="00F7793A"/>
    <w:rsid w:val="00F77B77"/>
    <w:rsid w:val="00F77C78"/>
    <w:rsid w:val="00F80EE7"/>
    <w:rsid w:val="00F81528"/>
    <w:rsid w:val="00F82847"/>
    <w:rsid w:val="00F82A4E"/>
    <w:rsid w:val="00F82EB4"/>
    <w:rsid w:val="00F83B2E"/>
    <w:rsid w:val="00F867AD"/>
    <w:rsid w:val="00F87069"/>
    <w:rsid w:val="00F92C62"/>
    <w:rsid w:val="00F92CE9"/>
    <w:rsid w:val="00F931AC"/>
    <w:rsid w:val="00F941F9"/>
    <w:rsid w:val="00F95027"/>
    <w:rsid w:val="00F95509"/>
    <w:rsid w:val="00FA016B"/>
    <w:rsid w:val="00FA1C37"/>
    <w:rsid w:val="00FA23DE"/>
    <w:rsid w:val="00FA4131"/>
    <w:rsid w:val="00FA4B2F"/>
    <w:rsid w:val="00FA4DBE"/>
    <w:rsid w:val="00FA6A25"/>
    <w:rsid w:val="00FA7A75"/>
    <w:rsid w:val="00FB0C5D"/>
    <w:rsid w:val="00FB25AC"/>
    <w:rsid w:val="00FB3F03"/>
    <w:rsid w:val="00FB4673"/>
    <w:rsid w:val="00FB4A2B"/>
    <w:rsid w:val="00FB60D7"/>
    <w:rsid w:val="00FB6448"/>
    <w:rsid w:val="00FB6913"/>
    <w:rsid w:val="00FB7368"/>
    <w:rsid w:val="00FC04C9"/>
    <w:rsid w:val="00FC0FC3"/>
    <w:rsid w:val="00FC2174"/>
    <w:rsid w:val="00FC2C56"/>
    <w:rsid w:val="00FC52EE"/>
    <w:rsid w:val="00FC536B"/>
    <w:rsid w:val="00FC563D"/>
    <w:rsid w:val="00FC5BEB"/>
    <w:rsid w:val="00FD0648"/>
    <w:rsid w:val="00FD0B42"/>
    <w:rsid w:val="00FD1C58"/>
    <w:rsid w:val="00FD3DF5"/>
    <w:rsid w:val="00FD471A"/>
    <w:rsid w:val="00FD4E4F"/>
    <w:rsid w:val="00FD5EFB"/>
    <w:rsid w:val="00FD622D"/>
    <w:rsid w:val="00FD72C1"/>
    <w:rsid w:val="00FD75E1"/>
    <w:rsid w:val="00FE0986"/>
    <w:rsid w:val="00FE13C7"/>
    <w:rsid w:val="00FE2706"/>
    <w:rsid w:val="00FE281F"/>
    <w:rsid w:val="00FE374F"/>
    <w:rsid w:val="00FE3791"/>
    <w:rsid w:val="00FE3DC8"/>
    <w:rsid w:val="00FE4120"/>
    <w:rsid w:val="00FE526A"/>
    <w:rsid w:val="00FF0463"/>
    <w:rsid w:val="00FF078B"/>
    <w:rsid w:val="00FF0847"/>
    <w:rsid w:val="00FF15F8"/>
    <w:rsid w:val="00FF169C"/>
    <w:rsid w:val="00FF20DA"/>
    <w:rsid w:val="00FF2892"/>
    <w:rsid w:val="00FF2ECF"/>
    <w:rsid w:val="00FF2F9D"/>
    <w:rsid w:val="00FF3633"/>
    <w:rsid w:val="00FF3E23"/>
    <w:rsid w:val="00FF3FF8"/>
    <w:rsid w:val="00FF4E55"/>
    <w:rsid w:val="00FF51A3"/>
    <w:rsid w:val="00FF51B4"/>
    <w:rsid w:val="00FF5DE2"/>
    <w:rsid w:val="00FF6C21"/>
    <w:rsid w:val="00FF74E9"/>
    <w:rsid w:val="018F5B81"/>
    <w:rsid w:val="07B9638B"/>
    <w:rsid w:val="08244BBA"/>
    <w:rsid w:val="0A5D0CB9"/>
    <w:rsid w:val="0C50570A"/>
    <w:rsid w:val="0F5E760C"/>
    <w:rsid w:val="10FC23B6"/>
    <w:rsid w:val="110516CE"/>
    <w:rsid w:val="19D74F47"/>
    <w:rsid w:val="1F07783E"/>
    <w:rsid w:val="203F21F3"/>
    <w:rsid w:val="23A87BFD"/>
    <w:rsid w:val="25AF2C24"/>
    <w:rsid w:val="2D5F4804"/>
    <w:rsid w:val="2DBF709C"/>
    <w:rsid w:val="2EE10D45"/>
    <w:rsid w:val="2FA71341"/>
    <w:rsid w:val="2FF52BE8"/>
    <w:rsid w:val="347F21BA"/>
    <w:rsid w:val="34F87FD1"/>
    <w:rsid w:val="36D43EC3"/>
    <w:rsid w:val="3E3965CE"/>
    <w:rsid w:val="40683AEF"/>
    <w:rsid w:val="407D6B68"/>
    <w:rsid w:val="45376855"/>
    <w:rsid w:val="492D496E"/>
    <w:rsid w:val="4D905FB3"/>
    <w:rsid w:val="50255310"/>
    <w:rsid w:val="502F7484"/>
    <w:rsid w:val="51175BCD"/>
    <w:rsid w:val="53014EAB"/>
    <w:rsid w:val="534906F9"/>
    <w:rsid w:val="544D4DEC"/>
    <w:rsid w:val="54EC0565"/>
    <w:rsid w:val="55D9013D"/>
    <w:rsid w:val="56BB5AE7"/>
    <w:rsid w:val="58DE2A7A"/>
    <w:rsid w:val="59AF60E8"/>
    <w:rsid w:val="5DAF3B6B"/>
    <w:rsid w:val="5DD10749"/>
    <w:rsid w:val="63C20870"/>
    <w:rsid w:val="6A017652"/>
    <w:rsid w:val="6B814826"/>
    <w:rsid w:val="6BC56A1C"/>
    <w:rsid w:val="6F1B72F5"/>
    <w:rsid w:val="6F3459F1"/>
    <w:rsid w:val="703C2D99"/>
    <w:rsid w:val="70662DF1"/>
    <w:rsid w:val="72A40D99"/>
    <w:rsid w:val="731C04F7"/>
    <w:rsid w:val="755E7952"/>
    <w:rsid w:val="76B52C8E"/>
    <w:rsid w:val="7885210A"/>
    <w:rsid w:val="7C7B2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208"/>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179"/>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3"/>
    <w:next w:val="1"/>
    <w:link w:val="73"/>
    <w:qFormat/>
    <w:uiPriority w:val="0"/>
    <w:pPr>
      <w:widowControl/>
      <w:tabs>
        <w:tab w:val="left" w:pos="851"/>
      </w:tabs>
      <w:suppressAutoHyphens/>
      <w:adjustRightInd/>
      <w:spacing w:before="240" w:after="240" w:afterLines="5" w:line="240" w:lineRule="auto"/>
      <w:ind w:left="720" w:hanging="720"/>
      <w:jc w:val="left"/>
      <w:textAlignment w:val="auto"/>
      <w:outlineLvl w:val="2"/>
    </w:pPr>
    <w:rPr>
      <w:rFonts w:ascii="Calibri" w:hAnsi="Calibri" w:eastAsia="Times New Roman"/>
      <w:bCs w:val="0"/>
      <w:color w:val="1F497D"/>
      <w:sz w:val="24"/>
      <w:szCs w:val="20"/>
      <w:lang w:val="zh-CN" w:eastAsia="ja-JP"/>
    </w:rPr>
  </w:style>
  <w:style w:type="paragraph" w:styleId="5">
    <w:name w:val="heading 4"/>
    <w:basedOn w:val="4"/>
    <w:next w:val="1"/>
    <w:link w:val="74"/>
    <w:qFormat/>
    <w:uiPriority w:val="0"/>
    <w:pPr>
      <w:tabs>
        <w:tab w:val="clear" w:pos="851"/>
      </w:tabs>
      <w:ind w:left="864" w:hanging="864"/>
      <w:outlineLvl w:val="3"/>
    </w:pPr>
  </w:style>
  <w:style w:type="paragraph" w:styleId="6">
    <w:name w:val="heading 5"/>
    <w:basedOn w:val="5"/>
    <w:next w:val="1"/>
    <w:link w:val="75"/>
    <w:qFormat/>
    <w:uiPriority w:val="0"/>
    <w:pPr>
      <w:ind w:left="1008" w:hanging="1008"/>
      <w:outlineLvl w:val="4"/>
    </w:pPr>
  </w:style>
  <w:style w:type="paragraph" w:styleId="7">
    <w:name w:val="heading 6"/>
    <w:basedOn w:val="6"/>
    <w:next w:val="1"/>
    <w:link w:val="76"/>
    <w:qFormat/>
    <w:uiPriority w:val="0"/>
    <w:pPr>
      <w:ind w:left="1152" w:hanging="1152"/>
      <w:outlineLvl w:val="5"/>
    </w:pPr>
  </w:style>
  <w:style w:type="paragraph" w:styleId="8">
    <w:name w:val="heading 7"/>
    <w:basedOn w:val="7"/>
    <w:next w:val="1"/>
    <w:link w:val="77"/>
    <w:qFormat/>
    <w:uiPriority w:val="0"/>
    <w:pPr>
      <w:ind w:left="1296" w:hanging="1296"/>
      <w:outlineLvl w:val="6"/>
    </w:pPr>
  </w:style>
  <w:style w:type="paragraph" w:styleId="9">
    <w:name w:val="heading 8"/>
    <w:basedOn w:val="8"/>
    <w:next w:val="1"/>
    <w:link w:val="78"/>
    <w:qFormat/>
    <w:uiPriority w:val="0"/>
    <w:pPr>
      <w:ind w:left="1440" w:hanging="1440"/>
      <w:outlineLvl w:val="7"/>
    </w:pPr>
  </w:style>
  <w:style w:type="paragraph" w:styleId="10">
    <w:name w:val="heading 9"/>
    <w:basedOn w:val="9"/>
    <w:next w:val="1"/>
    <w:link w:val="79"/>
    <w:qFormat/>
    <w:uiPriority w:val="0"/>
    <w:pPr>
      <w:ind w:left="1584" w:hanging="1584"/>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 w:val="18"/>
      <w:szCs w:val="18"/>
    </w:rPr>
  </w:style>
  <w:style w:type="paragraph" w:styleId="12">
    <w:name w:val="index 8"/>
    <w:basedOn w:val="1"/>
    <w:next w:val="1"/>
    <w:qFormat/>
    <w:uiPriority w:val="0"/>
    <w:pPr>
      <w:adjustRightInd/>
      <w:spacing w:before="53" w:after="5" w:afterLines="5" w:line="240" w:lineRule="auto"/>
      <w:ind w:left="1680" w:hanging="210"/>
      <w:jc w:val="left"/>
      <w:textAlignment w:val="auto"/>
    </w:pPr>
    <w:rPr>
      <w:rFonts w:ascii="Calibri" w:hAnsi="Calibri"/>
      <w:kern w:val="2"/>
      <w:sz w:val="20"/>
    </w:rPr>
  </w:style>
  <w:style w:type="paragraph" w:styleId="13">
    <w:name w:val="Normal Indent"/>
    <w:basedOn w:val="1"/>
    <w:link w:val="181"/>
    <w:qFormat/>
    <w:uiPriority w:val="0"/>
    <w:pPr>
      <w:spacing w:before="53" w:after="5" w:afterLines="5" w:line="360" w:lineRule="atLeast"/>
      <w:ind w:firstLine="420"/>
    </w:pPr>
    <w:rPr>
      <w:rFonts w:ascii="Arial" w:hAnsi="Arial"/>
      <w:szCs w:val="24"/>
      <w:lang w:val="zh-CN"/>
    </w:rPr>
  </w:style>
  <w:style w:type="paragraph" w:styleId="14">
    <w:name w:val="caption"/>
    <w:basedOn w:val="1"/>
    <w:next w:val="1"/>
    <w:qFormat/>
    <w:uiPriority w:val="0"/>
    <w:pPr>
      <w:adjustRightInd/>
      <w:spacing w:before="152" w:after="160" w:afterLines="5" w:line="240" w:lineRule="auto"/>
      <w:textAlignment w:val="auto"/>
    </w:pPr>
    <w:rPr>
      <w:rFonts w:ascii="Arial" w:hAnsi="Arial" w:eastAsia="黑体" w:cs="Arial"/>
      <w:kern w:val="2"/>
      <w:sz w:val="20"/>
    </w:rPr>
  </w:style>
  <w:style w:type="paragraph" w:styleId="15">
    <w:name w:val="index 5"/>
    <w:basedOn w:val="1"/>
    <w:next w:val="1"/>
    <w:qFormat/>
    <w:uiPriority w:val="0"/>
    <w:pPr>
      <w:adjustRightInd/>
      <w:spacing w:before="53" w:after="5" w:afterLines="5" w:line="240" w:lineRule="auto"/>
      <w:ind w:left="1050" w:hanging="210"/>
      <w:jc w:val="left"/>
      <w:textAlignment w:val="auto"/>
    </w:pPr>
    <w:rPr>
      <w:rFonts w:ascii="Calibri" w:hAnsi="Calibri"/>
      <w:kern w:val="2"/>
      <w:sz w:val="20"/>
    </w:rPr>
  </w:style>
  <w:style w:type="paragraph" w:styleId="16">
    <w:name w:val="Document Map"/>
    <w:basedOn w:val="1"/>
    <w:semiHidden/>
    <w:qFormat/>
    <w:uiPriority w:val="0"/>
    <w:pPr>
      <w:shd w:val="clear" w:color="auto" w:fill="000080"/>
    </w:pPr>
  </w:style>
  <w:style w:type="paragraph" w:styleId="17">
    <w:name w:val="annotation text"/>
    <w:basedOn w:val="1"/>
    <w:link w:val="205"/>
    <w:qFormat/>
    <w:uiPriority w:val="0"/>
    <w:pPr>
      <w:adjustRightInd/>
      <w:spacing w:before="53" w:after="5" w:afterLines="5" w:line="240" w:lineRule="auto"/>
      <w:jc w:val="left"/>
      <w:textAlignment w:val="auto"/>
    </w:pPr>
    <w:rPr>
      <w:kern w:val="2"/>
      <w:szCs w:val="24"/>
      <w:lang w:val="zh-CN"/>
    </w:rPr>
  </w:style>
  <w:style w:type="paragraph" w:styleId="18">
    <w:name w:val="index 6"/>
    <w:basedOn w:val="1"/>
    <w:next w:val="1"/>
    <w:qFormat/>
    <w:uiPriority w:val="0"/>
    <w:pPr>
      <w:adjustRightInd/>
      <w:spacing w:before="53" w:after="5" w:afterLines="5" w:line="240" w:lineRule="auto"/>
      <w:ind w:left="1260" w:hanging="210"/>
      <w:jc w:val="left"/>
      <w:textAlignment w:val="auto"/>
    </w:pPr>
    <w:rPr>
      <w:rFonts w:ascii="Calibri" w:hAnsi="Calibri"/>
      <w:kern w:val="2"/>
      <w:sz w:val="20"/>
    </w:rPr>
  </w:style>
  <w:style w:type="paragraph" w:styleId="19">
    <w:name w:val="Body Text"/>
    <w:basedOn w:val="1"/>
    <w:link w:val="220"/>
    <w:qFormat/>
    <w:uiPriority w:val="0"/>
    <w:pPr>
      <w:spacing w:after="120"/>
    </w:pPr>
  </w:style>
  <w:style w:type="paragraph" w:styleId="20">
    <w:name w:val="Body Text Indent"/>
    <w:basedOn w:val="1"/>
    <w:link w:val="218"/>
    <w:qFormat/>
    <w:uiPriority w:val="0"/>
    <w:pPr>
      <w:adjustRightInd/>
      <w:spacing w:after="120" w:line="240" w:lineRule="auto"/>
      <w:ind w:left="420" w:leftChars="200"/>
      <w:textAlignment w:val="auto"/>
    </w:pPr>
    <w:rPr>
      <w:kern w:val="2"/>
      <w:szCs w:val="24"/>
    </w:rPr>
  </w:style>
  <w:style w:type="paragraph" w:styleId="21">
    <w:name w:val="index 4"/>
    <w:basedOn w:val="1"/>
    <w:next w:val="1"/>
    <w:qFormat/>
    <w:uiPriority w:val="0"/>
    <w:pPr>
      <w:adjustRightInd/>
      <w:spacing w:before="53" w:after="5" w:afterLines="5" w:line="240" w:lineRule="auto"/>
      <w:ind w:left="840" w:hanging="210"/>
      <w:jc w:val="left"/>
      <w:textAlignment w:val="auto"/>
    </w:pPr>
    <w:rPr>
      <w:rFonts w:ascii="Calibri" w:hAnsi="Calibri"/>
      <w:kern w:val="2"/>
      <w:sz w:val="20"/>
    </w:rPr>
  </w:style>
  <w:style w:type="paragraph" w:styleId="22">
    <w:name w:val="toc 5"/>
    <w:basedOn w:val="1"/>
    <w:next w:val="1"/>
    <w:qFormat/>
    <w:uiPriority w:val="39"/>
    <w:pPr>
      <w:ind w:left="840"/>
      <w:jc w:val="left"/>
    </w:pPr>
    <w:rPr>
      <w:sz w:val="18"/>
      <w:szCs w:val="18"/>
    </w:rPr>
  </w:style>
  <w:style w:type="paragraph" w:styleId="23">
    <w:name w:val="toc 3"/>
    <w:basedOn w:val="1"/>
    <w:next w:val="1"/>
    <w:qFormat/>
    <w:uiPriority w:val="39"/>
    <w:pPr>
      <w:ind w:left="420"/>
      <w:jc w:val="left"/>
    </w:pPr>
    <w:rPr>
      <w:i/>
      <w:iCs/>
      <w:sz w:val="20"/>
    </w:rPr>
  </w:style>
  <w:style w:type="paragraph" w:styleId="24">
    <w:name w:val="toc 8"/>
    <w:basedOn w:val="1"/>
    <w:next w:val="1"/>
    <w:qFormat/>
    <w:uiPriority w:val="39"/>
    <w:pPr>
      <w:ind w:left="1470"/>
      <w:jc w:val="left"/>
    </w:pPr>
    <w:rPr>
      <w:sz w:val="18"/>
      <w:szCs w:val="18"/>
    </w:rPr>
  </w:style>
  <w:style w:type="paragraph" w:styleId="25">
    <w:name w:val="index 3"/>
    <w:basedOn w:val="1"/>
    <w:next w:val="1"/>
    <w:qFormat/>
    <w:uiPriority w:val="0"/>
    <w:pPr>
      <w:adjustRightInd/>
      <w:spacing w:before="53" w:after="5" w:afterLines="5" w:line="240" w:lineRule="auto"/>
      <w:ind w:left="630" w:hanging="210"/>
      <w:jc w:val="left"/>
      <w:textAlignment w:val="auto"/>
    </w:pPr>
    <w:rPr>
      <w:rFonts w:ascii="Calibri" w:hAnsi="Calibri"/>
      <w:kern w:val="2"/>
      <w:sz w:val="20"/>
    </w:rPr>
  </w:style>
  <w:style w:type="paragraph" w:styleId="26">
    <w:name w:val="Date"/>
    <w:basedOn w:val="1"/>
    <w:next w:val="1"/>
    <w:qFormat/>
    <w:uiPriority w:val="0"/>
    <w:rPr>
      <w:b/>
      <w:sz w:val="28"/>
    </w:rPr>
  </w:style>
  <w:style w:type="paragraph" w:styleId="27">
    <w:name w:val="Body Text Indent 2"/>
    <w:basedOn w:val="1"/>
    <w:qFormat/>
    <w:uiPriority w:val="0"/>
    <w:pPr>
      <w:spacing w:line="360" w:lineRule="auto"/>
    </w:pPr>
    <w:rPr>
      <w:sz w:val="24"/>
      <w:szCs w:val="24"/>
    </w:rPr>
  </w:style>
  <w:style w:type="paragraph" w:styleId="28">
    <w:name w:val="endnote text"/>
    <w:basedOn w:val="1"/>
    <w:link w:val="163"/>
    <w:qFormat/>
    <w:uiPriority w:val="0"/>
    <w:pPr>
      <w:adjustRightInd/>
      <w:snapToGrid w:val="0"/>
      <w:spacing w:before="53" w:after="5" w:afterLines="5" w:line="240" w:lineRule="auto"/>
      <w:jc w:val="left"/>
      <w:textAlignment w:val="auto"/>
    </w:pPr>
    <w:rPr>
      <w:kern w:val="2"/>
      <w:szCs w:val="24"/>
    </w:rPr>
  </w:style>
  <w:style w:type="paragraph" w:styleId="29">
    <w:name w:val="Balloon Text"/>
    <w:basedOn w:val="1"/>
    <w:link w:val="193"/>
    <w:qFormat/>
    <w:uiPriority w:val="0"/>
    <w:rPr>
      <w:sz w:val="18"/>
      <w:szCs w:val="18"/>
    </w:rPr>
  </w:style>
  <w:style w:type="paragraph" w:styleId="30">
    <w:name w:val="footer"/>
    <w:basedOn w:val="1"/>
    <w:link w:val="204"/>
    <w:qFormat/>
    <w:uiPriority w:val="0"/>
    <w:pPr>
      <w:tabs>
        <w:tab w:val="center" w:pos="4153"/>
        <w:tab w:val="right" w:pos="8306"/>
      </w:tabs>
      <w:snapToGrid w:val="0"/>
      <w:spacing w:line="240" w:lineRule="atLeast"/>
      <w:jc w:val="left"/>
    </w:pPr>
    <w:rPr>
      <w:sz w:val="18"/>
    </w:rPr>
  </w:style>
  <w:style w:type="paragraph" w:styleId="31">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32">
    <w:name w:val="toc 1"/>
    <w:basedOn w:val="1"/>
    <w:next w:val="1"/>
    <w:qFormat/>
    <w:uiPriority w:val="39"/>
    <w:pPr>
      <w:tabs>
        <w:tab w:val="right" w:leader="dot" w:pos="9737"/>
      </w:tabs>
      <w:spacing w:before="120" w:after="120"/>
      <w:jc w:val="left"/>
    </w:pPr>
    <w:rPr>
      <w:rFonts w:ascii="宋体" w:hAnsi="宋体"/>
      <w:bCs/>
      <w:caps/>
      <w:sz w:val="20"/>
    </w:rPr>
  </w:style>
  <w:style w:type="paragraph" w:styleId="33">
    <w:name w:val="toc 4"/>
    <w:basedOn w:val="1"/>
    <w:next w:val="1"/>
    <w:qFormat/>
    <w:uiPriority w:val="39"/>
    <w:pPr>
      <w:ind w:left="630"/>
      <w:jc w:val="left"/>
    </w:pPr>
    <w:rPr>
      <w:sz w:val="18"/>
      <w:szCs w:val="18"/>
    </w:rPr>
  </w:style>
  <w:style w:type="paragraph" w:styleId="34">
    <w:name w:val="index heading"/>
    <w:basedOn w:val="1"/>
    <w:next w:val="35"/>
    <w:qFormat/>
    <w:uiPriority w:val="0"/>
    <w:pPr>
      <w:adjustRightInd/>
      <w:spacing w:before="120" w:after="120" w:afterLines="5" w:line="240" w:lineRule="auto"/>
      <w:jc w:val="center"/>
      <w:textAlignment w:val="auto"/>
    </w:pPr>
    <w:rPr>
      <w:rFonts w:ascii="Calibri" w:hAnsi="Calibri"/>
      <w:b/>
      <w:bCs/>
      <w:iCs/>
      <w:kern w:val="2"/>
    </w:rPr>
  </w:style>
  <w:style w:type="paragraph" w:styleId="35">
    <w:name w:val="index 1"/>
    <w:basedOn w:val="1"/>
    <w:next w:val="36"/>
    <w:qFormat/>
    <w:uiPriority w:val="0"/>
    <w:pPr>
      <w:tabs>
        <w:tab w:val="right" w:leader="dot" w:pos="9299"/>
      </w:tabs>
      <w:adjustRightInd/>
      <w:spacing w:before="53" w:after="5" w:afterLines="5" w:line="240" w:lineRule="auto"/>
      <w:jc w:val="left"/>
      <w:textAlignment w:val="auto"/>
    </w:pPr>
    <w:rPr>
      <w:rFonts w:ascii="宋体"/>
      <w:kern w:val="2"/>
      <w:szCs w:val="21"/>
    </w:rPr>
  </w:style>
  <w:style w:type="paragraph" w:customStyle="1" w:styleId="36">
    <w:name w:val="段"/>
    <w:link w:val="80"/>
    <w:qFormat/>
    <w:uiPriority w:val="0"/>
    <w:pPr>
      <w:tabs>
        <w:tab w:val="center" w:pos="4201"/>
        <w:tab w:val="right" w:leader="dot" w:pos="9298"/>
      </w:tabs>
      <w:autoSpaceDE w:val="0"/>
      <w:autoSpaceDN w:val="0"/>
      <w:spacing w:before="53" w:after="5" w:afterLines="5"/>
      <w:ind w:firstLine="420" w:firstLineChars="200"/>
      <w:jc w:val="both"/>
    </w:pPr>
    <w:rPr>
      <w:rFonts w:ascii="宋体" w:hAnsi="Times New Roman" w:eastAsia="宋体" w:cs="Times New Roman"/>
      <w:sz w:val="21"/>
      <w:lang w:val="en-US" w:eastAsia="zh-CN" w:bidi="ar-SA"/>
    </w:rPr>
  </w:style>
  <w:style w:type="paragraph" w:styleId="37">
    <w:name w:val="Subtitle"/>
    <w:basedOn w:val="1"/>
    <w:next w:val="1"/>
    <w:link w:val="198"/>
    <w:qFormat/>
    <w:uiPriority w:val="0"/>
    <w:pPr>
      <w:keepNext/>
      <w:keepLines/>
      <w:widowControl/>
      <w:adjustRightInd/>
      <w:spacing w:before="60" w:after="120" w:afterLines="5" w:line="340" w:lineRule="atLeast"/>
      <w:jc w:val="left"/>
      <w:textAlignment w:val="auto"/>
    </w:pPr>
    <w:rPr>
      <w:rFonts w:ascii="Arial" w:hAnsi="Arial"/>
      <w:spacing w:val="-16"/>
      <w:kern w:val="28"/>
      <w:sz w:val="32"/>
      <w:lang w:val="zh-CN" w:eastAsia="en-US"/>
    </w:rPr>
  </w:style>
  <w:style w:type="paragraph" w:styleId="38">
    <w:name w:val="footnote text"/>
    <w:basedOn w:val="1"/>
    <w:link w:val="145"/>
    <w:qFormat/>
    <w:uiPriority w:val="0"/>
    <w:pPr>
      <w:numPr>
        <w:ilvl w:val="0"/>
        <w:numId w:val="1"/>
      </w:numPr>
      <w:adjustRightInd/>
      <w:snapToGrid w:val="0"/>
      <w:spacing w:before="53" w:after="5" w:afterLines="5" w:line="240" w:lineRule="auto"/>
      <w:jc w:val="left"/>
      <w:textAlignment w:val="auto"/>
    </w:pPr>
    <w:rPr>
      <w:rFonts w:ascii="宋体"/>
      <w:kern w:val="2"/>
      <w:sz w:val="18"/>
      <w:szCs w:val="18"/>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217"/>
    <w:qFormat/>
    <w:uiPriority w:val="0"/>
    <w:pPr>
      <w:adjustRightInd/>
      <w:spacing w:after="120" w:line="240" w:lineRule="auto"/>
      <w:ind w:left="420" w:leftChars="200"/>
      <w:textAlignment w:val="auto"/>
    </w:pPr>
    <w:rPr>
      <w:kern w:val="2"/>
      <w:sz w:val="16"/>
      <w:szCs w:val="16"/>
    </w:rPr>
  </w:style>
  <w:style w:type="paragraph" w:styleId="41">
    <w:name w:val="index 7"/>
    <w:basedOn w:val="1"/>
    <w:next w:val="1"/>
    <w:qFormat/>
    <w:uiPriority w:val="0"/>
    <w:pPr>
      <w:adjustRightInd/>
      <w:spacing w:before="53" w:after="5" w:afterLines="5" w:line="240" w:lineRule="auto"/>
      <w:ind w:left="1470" w:hanging="210"/>
      <w:jc w:val="left"/>
      <w:textAlignment w:val="auto"/>
    </w:pPr>
    <w:rPr>
      <w:rFonts w:ascii="Calibri" w:hAnsi="Calibri"/>
      <w:kern w:val="2"/>
      <w:sz w:val="20"/>
    </w:rPr>
  </w:style>
  <w:style w:type="paragraph" w:styleId="42">
    <w:name w:val="index 9"/>
    <w:basedOn w:val="1"/>
    <w:next w:val="1"/>
    <w:qFormat/>
    <w:uiPriority w:val="0"/>
    <w:pPr>
      <w:adjustRightInd/>
      <w:spacing w:before="53" w:after="5" w:afterLines="5" w:line="240" w:lineRule="auto"/>
      <w:ind w:left="1890" w:hanging="210"/>
      <w:jc w:val="left"/>
      <w:textAlignment w:val="auto"/>
    </w:pPr>
    <w:rPr>
      <w:rFonts w:ascii="Calibri" w:hAnsi="Calibri"/>
      <w:kern w:val="2"/>
      <w:sz w:val="20"/>
    </w:rPr>
  </w:style>
  <w:style w:type="paragraph" w:styleId="43">
    <w:name w:val="toc 2"/>
    <w:basedOn w:val="1"/>
    <w:next w:val="1"/>
    <w:qFormat/>
    <w:uiPriority w:val="39"/>
    <w:pPr>
      <w:ind w:left="210"/>
      <w:jc w:val="left"/>
    </w:pPr>
    <w:rPr>
      <w:smallCaps/>
      <w:sz w:val="20"/>
    </w:rPr>
  </w:style>
  <w:style w:type="paragraph" w:styleId="44">
    <w:name w:val="toc 9"/>
    <w:basedOn w:val="1"/>
    <w:next w:val="1"/>
    <w:qFormat/>
    <w:uiPriority w:val="39"/>
    <w:pPr>
      <w:ind w:left="1680"/>
      <w:jc w:val="left"/>
    </w:pPr>
    <w:rPr>
      <w:sz w:val="18"/>
      <w:szCs w:val="18"/>
    </w:rPr>
  </w:style>
  <w:style w:type="paragraph" w:styleId="45">
    <w:name w:val="Normal (Web)"/>
    <w:basedOn w:val="1"/>
    <w:unhideWhenUsed/>
    <w:qFormat/>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46">
    <w:name w:val="index 2"/>
    <w:basedOn w:val="1"/>
    <w:next w:val="1"/>
    <w:qFormat/>
    <w:uiPriority w:val="0"/>
    <w:pPr>
      <w:adjustRightInd/>
      <w:spacing w:before="53" w:after="5" w:afterLines="5" w:line="240" w:lineRule="auto"/>
      <w:ind w:left="420" w:hanging="210"/>
      <w:jc w:val="left"/>
      <w:textAlignment w:val="auto"/>
    </w:pPr>
    <w:rPr>
      <w:rFonts w:ascii="Calibri" w:hAnsi="Calibri"/>
      <w:kern w:val="2"/>
      <w:sz w:val="20"/>
    </w:rPr>
  </w:style>
  <w:style w:type="paragraph" w:styleId="47">
    <w:name w:val="Title"/>
    <w:next w:val="19"/>
    <w:link w:val="200"/>
    <w:qFormat/>
    <w:uiPriority w:val="0"/>
    <w:pPr>
      <w:spacing w:before="240" w:after="60" w:afterLines="5"/>
      <w:jc w:val="center"/>
      <w:outlineLvl w:val="0"/>
    </w:pPr>
    <w:rPr>
      <w:rFonts w:ascii="Cambria" w:hAnsi="Cambria" w:eastAsia="宋体" w:cs="Times New Roman"/>
      <w:b/>
      <w:bCs/>
      <w:sz w:val="32"/>
      <w:szCs w:val="32"/>
      <w:lang w:val="en-US" w:eastAsia="zh-CN" w:bidi="ar-SA"/>
    </w:rPr>
  </w:style>
  <w:style w:type="paragraph" w:styleId="48">
    <w:name w:val="annotation subject"/>
    <w:basedOn w:val="17"/>
    <w:next w:val="17"/>
    <w:link w:val="206"/>
    <w:qFormat/>
    <w:uiPriority w:val="0"/>
    <w:rPr>
      <w:b/>
      <w:bCs/>
    </w:rPr>
  </w:style>
  <w:style w:type="paragraph" w:styleId="49">
    <w:name w:val="Body Text First Indent"/>
    <w:basedOn w:val="19"/>
    <w:link w:val="221"/>
    <w:qFormat/>
    <w:uiPriority w:val="0"/>
    <w:pPr>
      <w:adjustRightInd/>
      <w:spacing w:line="240" w:lineRule="auto"/>
      <w:ind w:firstLine="420" w:firstLineChars="100"/>
      <w:textAlignment w:val="auto"/>
    </w:pPr>
    <w:rPr>
      <w:kern w:val="2"/>
      <w:szCs w:val="24"/>
      <w:lang w:val="zh-CN"/>
    </w:rPr>
  </w:style>
  <w:style w:type="table" w:styleId="51">
    <w:name w:val="Table Grid"/>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rPr>
  </w:style>
  <w:style w:type="character" w:styleId="54">
    <w:name w:val="endnote reference"/>
    <w:qFormat/>
    <w:uiPriority w:val="0"/>
    <w:rPr>
      <w:vertAlign w:val="superscript"/>
    </w:rPr>
  </w:style>
  <w:style w:type="character" w:styleId="55">
    <w:name w:val="page number"/>
    <w:basedOn w:val="52"/>
    <w:qFormat/>
    <w:uiPriority w:val="0"/>
  </w:style>
  <w:style w:type="character" w:styleId="56">
    <w:name w:val="FollowedHyperlink"/>
    <w:qFormat/>
    <w:uiPriority w:val="0"/>
    <w:rPr>
      <w:color w:val="954F72"/>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qFormat/>
    <w:uiPriority w:val="0"/>
    <w:rPr>
      <w:rFonts w:ascii="Courier New" w:hAnsi="Courier New"/>
      <w:sz w:val="20"/>
      <w:szCs w:val="20"/>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paragraph" w:customStyle="1" w:styleId="62">
    <w:name w:val="题头内容"/>
    <w:basedOn w:val="1"/>
    <w:qFormat/>
    <w:uiPriority w:val="0"/>
    <w:pPr>
      <w:spacing w:before="120" w:after="120"/>
      <w:ind w:right="879" w:firstLine="839"/>
      <w:jc w:val="center"/>
    </w:pPr>
    <w:rPr>
      <w:rFonts w:ascii="黑体" w:eastAsia="黑体"/>
      <w:sz w:val="32"/>
    </w:rPr>
  </w:style>
  <w:style w:type="paragraph" w:customStyle="1" w:styleId="63">
    <w:name w:val="Char Char"/>
    <w:basedOn w:val="16"/>
    <w:qFormat/>
    <w:uiPriority w:val="0"/>
    <w:pPr>
      <w:adjustRightInd/>
      <w:spacing w:line="240" w:lineRule="auto"/>
      <w:textAlignment w:val="auto"/>
    </w:pPr>
    <w:rPr>
      <w:rFonts w:ascii="Tahoma" w:hAnsi="Tahoma"/>
      <w:kern w:val="2"/>
      <w:sz w:val="24"/>
      <w:szCs w:val="24"/>
    </w:rPr>
  </w:style>
  <w:style w:type="paragraph" w:customStyle="1" w:styleId="64">
    <w:name w:val="Normal1"/>
    <w:qFormat/>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CM13"/>
    <w:basedOn w:val="65"/>
    <w:next w:val="65"/>
    <w:qFormat/>
    <w:uiPriority w:val="0"/>
    <w:pPr>
      <w:spacing w:line="468" w:lineRule="atLeast"/>
    </w:pPr>
    <w:rPr>
      <w:rFonts w:ascii="仿宋_GB2312" w:eastAsia="仿宋_GB2312" w:cs="Times New Roman"/>
      <w:color w:val="auto"/>
    </w:rPr>
  </w:style>
  <w:style w:type="paragraph" w:customStyle="1" w:styleId="67">
    <w:name w:val="CM19"/>
    <w:basedOn w:val="65"/>
    <w:next w:val="65"/>
    <w:qFormat/>
    <w:uiPriority w:val="0"/>
    <w:pPr>
      <w:spacing w:line="391" w:lineRule="atLeast"/>
    </w:pPr>
    <w:rPr>
      <w:rFonts w:ascii="仿宋_GB2312" w:eastAsia="仿宋_GB2312" w:cs="Times New Roman"/>
      <w:color w:val="auto"/>
    </w:rPr>
  </w:style>
  <w:style w:type="paragraph" w:customStyle="1" w:styleId="68">
    <w:name w:val="CM30"/>
    <w:basedOn w:val="65"/>
    <w:next w:val="65"/>
    <w:qFormat/>
    <w:uiPriority w:val="0"/>
    <w:pPr>
      <w:spacing w:after="78"/>
    </w:pPr>
    <w:rPr>
      <w:rFonts w:ascii="仿宋_GB2312" w:eastAsia="仿宋_GB2312" w:cs="Times New Roman"/>
      <w:color w:val="auto"/>
    </w:rPr>
  </w:style>
  <w:style w:type="paragraph" w:customStyle="1" w:styleId="69">
    <w:name w:val="Char"/>
    <w:basedOn w:val="16"/>
    <w:qFormat/>
    <w:uiPriority w:val="0"/>
    <w:pPr>
      <w:adjustRightInd/>
      <w:spacing w:line="240" w:lineRule="auto"/>
      <w:textAlignment w:val="auto"/>
    </w:pPr>
    <w:rPr>
      <w:rFonts w:ascii="Tahoma" w:hAnsi="Tahoma"/>
      <w:kern w:val="2"/>
      <w:sz w:val="24"/>
      <w:szCs w:val="24"/>
    </w:rPr>
  </w:style>
  <w:style w:type="paragraph" w:customStyle="1" w:styleId="70">
    <w:name w:val="正文1"/>
    <w:qFormat/>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paragraph" w:customStyle="1" w:styleId="71">
    <w:name w:val="文档正文"/>
    <w:basedOn w:val="1"/>
    <w:link w:val="72"/>
    <w:qFormat/>
    <w:uiPriority w:val="0"/>
    <w:pPr>
      <w:spacing w:line="480" w:lineRule="atLeast"/>
      <w:ind w:firstLine="567"/>
      <w:textAlignment w:val="auto"/>
    </w:pPr>
    <w:rPr>
      <w:rFonts w:ascii="长城仿宋"/>
      <w:sz w:val="24"/>
    </w:rPr>
  </w:style>
  <w:style w:type="character" w:customStyle="1" w:styleId="72">
    <w:name w:val="文档正文 Char1"/>
    <w:link w:val="71"/>
    <w:qFormat/>
    <w:uiPriority w:val="0"/>
    <w:rPr>
      <w:rFonts w:ascii="长城仿宋" w:eastAsia="宋体"/>
      <w:sz w:val="24"/>
      <w:lang w:val="en-US" w:eastAsia="zh-CN" w:bidi="ar-SA"/>
    </w:rPr>
  </w:style>
  <w:style w:type="character" w:customStyle="1" w:styleId="73">
    <w:name w:val="标题 3 字符"/>
    <w:link w:val="4"/>
    <w:qFormat/>
    <w:uiPriority w:val="0"/>
    <w:rPr>
      <w:rFonts w:ascii="Calibri" w:hAnsi="Calibri" w:eastAsia="Times New Roman"/>
      <w:b/>
      <w:color w:val="1F497D"/>
      <w:sz w:val="24"/>
      <w:lang w:val="zh-CN" w:eastAsia="ja-JP"/>
    </w:rPr>
  </w:style>
  <w:style w:type="character" w:customStyle="1" w:styleId="74">
    <w:name w:val="标题 4 字符"/>
    <w:link w:val="5"/>
    <w:qFormat/>
    <w:uiPriority w:val="0"/>
    <w:rPr>
      <w:rFonts w:ascii="Calibri" w:hAnsi="Calibri" w:eastAsia="Times New Roman"/>
      <w:b/>
      <w:color w:val="1F497D"/>
      <w:sz w:val="24"/>
      <w:lang w:val="zh-CN" w:eastAsia="ja-JP"/>
    </w:rPr>
  </w:style>
  <w:style w:type="character" w:customStyle="1" w:styleId="75">
    <w:name w:val="标题 5 字符"/>
    <w:link w:val="6"/>
    <w:qFormat/>
    <w:uiPriority w:val="0"/>
    <w:rPr>
      <w:rFonts w:ascii="Calibri" w:hAnsi="Calibri" w:eastAsia="Times New Roman"/>
      <w:b/>
      <w:color w:val="1F497D"/>
      <w:sz w:val="24"/>
      <w:lang w:val="zh-CN" w:eastAsia="ja-JP"/>
    </w:rPr>
  </w:style>
  <w:style w:type="character" w:customStyle="1" w:styleId="76">
    <w:name w:val="标题 6 字符"/>
    <w:link w:val="7"/>
    <w:qFormat/>
    <w:uiPriority w:val="0"/>
    <w:rPr>
      <w:rFonts w:ascii="Calibri" w:hAnsi="Calibri" w:eastAsia="Times New Roman"/>
      <w:b/>
      <w:color w:val="1F497D"/>
      <w:sz w:val="24"/>
      <w:lang w:val="zh-CN" w:eastAsia="ja-JP"/>
    </w:rPr>
  </w:style>
  <w:style w:type="character" w:customStyle="1" w:styleId="77">
    <w:name w:val="标题 7 字符"/>
    <w:link w:val="8"/>
    <w:qFormat/>
    <w:uiPriority w:val="0"/>
    <w:rPr>
      <w:rFonts w:ascii="Calibri" w:hAnsi="Calibri" w:eastAsia="Times New Roman"/>
      <w:b/>
      <w:color w:val="1F497D"/>
      <w:sz w:val="24"/>
      <w:lang w:val="zh-CN" w:eastAsia="ja-JP"/>
    </w:rPr>
  </w:style>
  <w:style w:type="character" w:customStyle="1" w:styleId="78">
    <w:name w:val="标题 8 字符"/>
    <w:link w:val="9"/>
    <w:qFormat/>
    <w:uiPriority w:val="0"/>
    <w:rPr>
      <w:rFonts w:ascii="Calibri" w:hAnsi="Calibri" w:eastAsia="Times New Roman"/>
      <w:b/>
      <w:color w:val="1F497D"/>
      <w:sz w:val="24"/>
      <w:lang w:val="zh-CN" w:eastAsia="ja-JP"/>
    </w:rPr>
  </w:style>
  <w:style w:type="character" w:customStyle="1" w:styleId="79">
    <w:name w:val="标题 9 字符"/>
    <w:link w:val="10"/>
    <w:qFormat/>
    <w:uiPriority w:val="0"/>
    <w:rPr>
      <w:rFonts w:ascii="Calibri" w:hAnsi="Calibri" w:eastAsia="Times New Roman"/>
      <w:b/>
      <w:color w:val="1F497D"/>
      <w:sz w:val="24"/>
      <w:lang w:val="zh-CN" w:eastAsia="ja-JP"/>
    </w:rPr>
  </w:style>
  <w:style w:type="character" w:customStyle="1" w:styleId="80">
    <w:name w:val="段 Char"/>
    <w:link w:val="36"/>
    <w:qFormat/>
    <w:uiPriority w:val="0"/>
    <w:rPr>
      <w:rFonts w:ascii="宋体"/>
      <w:sz w:val="21"/>
    </w:rPr>
  </w:style>
  <w:style w:type="paragraph" w:customStyle="1" w:styleId="81">
    <w:name w:val="一级条标题"/>
    <w:next w:val="36"/>
    <w:link w:val="210"/>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2">
    <w:name w:val="标准书脚_奇数页"/>
    <w:qFormat/>
    <w:uiPriority w:val="0"/>
    <w:pPr>
      <w:spacing w:before="120" w:after="5" w:afterLines="5"/>
      <w:ind w:right="198"/>
      <w:jc w:val="right"/>
    </w:pPr>
    <w:rPr>
      <w:rFonts w:ascii="宋体" w:hAnsi="Times New Roman" w:eastAsia="宋体" w:cs="Times New Roman"/>
      <w:sz w:val="18"/>
      <w:szCs w:val="18"/>
      <w:lang w:val="en-US" w:eastAsia="zh-CN" w:bidi="ar-SA"/>
    </w:rPr>
  </w:style>
  <w:style w:type="paragraph" w:customStyle="1" w:styleId="83">
    <w:name w:val="标准书眉_奇数页"/>
    <w:next w:val="1"/>
    <w:qFormat/>
    <w:uiPriority w:val="0"/>
    <w:pPr>
      <w:tabs>
        <w:tab w:val="center" w:pos="4154"/>
        <w:tab w:val="right" w:pos="8306"/>
      </w:tabs>
      <w:spacing w:before="53" w:after="220" w:afterLines="5"/>
      <w:jc w:val="right"/>
    </w:pPr>
    <w:rPr>
      <w:rFonts w:ascii="黑体" w:hAnsi="Times New Roman" w:eastAsia="黑体" w:cs="Times New Roman"/>
      <w:sz w:val="21"/>
      <w:szCs w:val="21"/>
      <w:lang w:val="en-US" w:eastAsia="zh-CN" w:bidi="ar-SA"/>
    </w:rPr>
  </w:style>
  <w:style w:type="paragraph" w:customStyle="1" w:styleId="84">
    <w:name w:val="章标题"/>
    <w:next w:val="36"/>
    <w:link w:val="190"/>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85">
    <w:name w:val="二级条标题"/>
    <w:basedOn w:val="81"/>
    <w:next w:val="36"/>
    <w:link w:val="219"/>
    <w:qFormat/>
    <w:uiPriority w:val="0"/>
    <w:pPr>
      <w:numPr>
        <w:ilvl w:val="2"/>
      </w:numPr>
      <w:spacing w:before="50" w:after="50"/>
      <w:outlineLvl w:val="3"/>
    </w:pPr>
    <w:rPr>
      <w:lang w:val="zh-CN"/>
    </w:rPr>
  </w:style>
  <w:style w:type="paragraph" w:customStyle="1" w:styleId="86">
    <w:name w:val="封面标准号2"/>
    <w:qFormat/>
    <w:uiPriority w:val="0"/>
    <w:pPr>
      <w:framePr w:w="9140" w:h="1242" w:hRule="exact" w:hSpace="284" w:wrap="around" w:vAnchor="page" w:hAnchor="page" w:x="1645" w:y="2910" w:anchorLock="1"/>
      <w:spacing w:before="357" w:after="5" w:afterLines="5" w:line="280" w:lineRule="exact"/>
      <w:jc w:val="right"/>
    </w:pPr>
    <w:rPr>
      <w:rFonts w:ascii="黑体" w:hAnsi="Times New Roman" w:eastAsia="黑体" w:cs="Times New Roman"/>
      <w:sz w:val="28"/>
      <w:szCs w:val="28"/>
      <w:lang w:val="en-US" w:eastAsia="zh-CN" w:bidi="ar-SA"/>
    </w:rPr>
  </w:style>
  <w:style w:type="paragraph" w:customStyle="1" w:styleId="87">
    <w:name w:val="列项——（一级）"/>
    <w:qFormat/>
    <w:uiPriority w:val="0"/>
    <w:pPr>
      <w:widowControl w:val="0"/>
      <w:numPr>
        <w:ilvl w:val="0"/>
        <w:numId w:val="3"/>
      </w:numPr>
      <w:spacing w:before="53" w:after="5" w:afterLines="5"/>
      <w:jc w:val="both"/>
    </w:pPr>
    <w:rPr>
      <w:rFonts w:ascii="宋体" w:hAnsi="Times New Roman" w:eastAsia="宋体" w:cs="Times New Roman"/>
      <w:sz w:val="21"/>
      <w:lang w:val="en-US" w:eastAsia="zh-CN" w:bidi="ar-SA"/>
    </w:rPr>
  </w:style>
  <w:style w:type="paragraph" w:customStyle="1" w:styleId="88">
    <w:name w:val="列项●（二级）"/>
    <w:qFormat/>
    <w:uiPriority w:val="0"/>
    <w:pPr>
      <w:numPr>
        <w:ilvl w:val="1"/>
        <w:numId w:val="3"/>
      </w:numPr>
      <w:tabs>
        <w:tab w:val="left" w:pos="840"/>
        <w:tab w:val="clear" w:pos="760"/>
      </w:tabs>
      <w:spacing w:before="53" w:after="5" w:afterLines="5"/>
      <w:jc w:val="both"/>
    </w:pPr>
    <w:rPr>
      <w:rFonts w:ascii="宋体" w:hAnsi="Times New Roman" w:eastAsia="宋体" w:cs="Times New Roman"/>
      <w:sz w:val="21"/>
      <w:lang w:val="en-US" w:eastAsia="zh-CN" w:bidi="ar-SA"/>
    </w:rPr>
  </w:style>
  <w:style w:type="paragraph" w:customStyle="1" w:styleId="89">
    <w:name w:val="目次、标准名称标题"/>
    <w:basedOn w:val="1"/>
    <w:next w:val="36"/>
    <w:qFormat/>
    <w:uiPriority w:val="0"/>
    <w:pPr>
      <w:keepNext/>
      <w:pageBreakBefore/>
      <w:widowControl/>
      <w:shd w:val="clear" w:color="FFFFFF" w:fill="FFFFFF"/>
      <w:adjustRightInd/>
      <w:spacing w:before="640" w:after="560" w:afterLines="5" w:line="460" w:lineRule="exact"/>
      <w:jc w:val="center"/>
      <w:textAlignment w:val="auto"/>
      <w:outlineLvl w:val="0"/>
    </w:pPr>
    <w:rPr>
      <w:rFonts w:ascii="黑体" w:eastAsia="黑体"/>
      <w:sz w:val="32"/>
    </w:rPr>
  </w:style>
  <w:style w:type="paragraph" w:customStyle="1" w:styleId="90">
    <w:name w:val="三级条标题"/>
    <w:basedOn w:val="85"/>
    <w:next w:val="36"/>
    <w:qFormat/>
    <w:uiPriority w:val="0"/>
    <w:pPr>
      <w:numPr>
        <w:ilvl w:val="3"/>
      </w:numPr>
      <w:tabs>
        <w:tab w:val="left" w:pos="363"/>
      </w:tabs>
      <w:ind w:firstLine="363"/>
      <w:outlineLvl w:val="4"/>
    </w:pPr>
  </w:style>
  <w:style w:type="paragraph" w:customStyle="1" w:styleId="91">
    <w:name w:val="示例"/>
    <w:next w:val="92"/>
    <w:qFormat/>
    <w:uiPriority w:val="0"/>
    <w:pPr>
      <w:widowControl w:val="0"/>
      <w:numPr>
        <w:ilvl w:val="0"/>
        <w:numId w:val="4"/>
      </w:numPr>
      <w:spacing w:before="53" w:after="5" w:afterLines="5"/>
      <w:jc w:val="both"/>
    </w:pPr>
    <w:rPr>
      <w:rFonts w:ascii="宋体" w:hAnsi="Times New Roman" w:eastAsia="宋体" w:cs="Times New Roman"/>
      <w:sz w:val="18"/>
      <w:szCs w:val="18"/>
      <w:lang w:val="en-US" w:eastAsia="zh-CN" w:bidi="ar-SA"/>
    </w:rPr>
  </w:style>
  <w:style w:type="paragraph" w:customStyle="1" w:styleId="92">
    <w:name w:val="示例内容"/>
    <w:qFormat/>
    <w:uiPriority w:val="0"/>
    <w:pPr>
      <w:spacing w:before="53" w:after="5" w:afterLines="5"/>
      <w:ind w:firstLine="200" w:firstLineChars="200"/>
    </w:pPr>
    <w:rPr>
      <w:rFonts w:ascii="宋体" w:hAnsi="Times New Roman" w:eastAsia="宋体" w:cs="Times New Roman"/>
      <w:sz w:val="18"/>
      <w:szCs w:val="18"/>
      <w:lang w:val="en-US" w:eastAsia="zh-CN" w:bidi="ar-SA"/>
    </w:rPr>
  </w:style>
  <w:style w:type="paragraph" w:customStyle="1" w:styleId="93">
    <w:name w:val="数字编号列项（二级）"/>
    <w:qFormat/>
    <w:uiPriority w:val="0"/>
    <w:pPr>
      <w:numPr>
        <w:ilvl w:val="1"/>
        <w:numId w:val="5"/>
      </w:numPr>
      <w:spacing w:before="53" w:after="5" w:afterLines="5"/>
      <w:jc w:val="both"/>
    </w:pPr>
    <w:rPr>
      <w:rFonts w:ascii="宋体" w:hAnsi="Times New Roman" w:eastAsia="宋体" w:cs="Times New Roman"/>
      <w:sz w:val="21"/>
      <w:lang w:val="en-US" w:eastAsia="zh-CN" w:bidi="ar-SA"/>
    </w:rPr>
  </w:style>
  <w:style w:type="paragraph" w:customStyle="1" w:styleId="94">
    <w:name w:val="四级条标题"/>
    <w:basedOn w:val="90"/>
    <w:next w:val="36"/>
    <w:qFormat/>
    <w:uiPriority w:val="0"/>
    <w:pPr>
      <w:numPr>
        <w:ilvl w:val="4"/>
      </w:numPr>
      <w:ind w:firstLine="363"/>
      <w:outlineLvl w:val="5"/>
    </w:pPr>
  </w:style>
  <w:style w:type="paragraph" w:customStyle="1" w:styleId="95">
    <w:name w:val="五级条标题"/>
    <w:basedOn w:val="94"/>
    <w:next w:val="36"/>
    <w:qFormat/>
    <w:uiPriority w:val="0"/>
    <w:pPr>
      <w:numPr>
        <w:ilvl w:val="5"/>
      </w:numPr>
      <w:ind w:firstLine="363"/>
      <w:outlineLvl w:val="6"/>
    </w:pPr>
  </w:style>
  <w:style w:type="paragraph" w:customStyle="1" w:styleId="96">
    <w:name w:val="注："/>
    <w:next w:val="36"/>
    <w:qFormat/>
    <w:uiPriority w:val="0"/>
    <w:pPr>
      <w:widowControl w:val="0"/>
      <w:numPr>
        <w:ilvl w:val="0"/>
        <w:numId w:val="6"/>
      </w:numPr>
      <w:autoSpaceDE w:val="0"/>
      <w:autoSpaceDN w:val="0"/>
      <w:spacing w:before="53" w:after="5" w:afterLines="5"/>
      <w:jc w:val="both"/>
    </w:pPr>
    <w:rPr>
      <w:rFonts w:ascii="宋体" w:hAnsi="Times New Roman" w:eastAsia="宋体" w:cs="Times New Roman"/>
      <w:sz w:val="18"/>
      <w:szCs w:val="18"/>
      <w:lang w:val="en-US" w:eastAsia="zh-CN" w:bidi="ar-SA"/>
    </w:rPr>
  </w:style>
  <w:style w:type="paragraph" w:customStyle="1" w:styleId="97">
    <w:name w:val="注×："/>
    <w:qFormat/>
    <w:uiPriority w:val="0"/>
    <w:pPr>
      <w:widowControl w:val="0"/>
      <w:numPr>
        <w:ilvl w:val="0"/>
        <w:numId w:val="7"/>
      </w:numPr>
      <w:autoSpaceDE w:val="0"/>
      <w:autoSpaceDN w:val="0"/>
      <w:spacing w:before="53" w:after="5" w:afterLines="5"/>
      <w:jc w:val="both"/>
    </w:pPr>
    <w:rPr>
      <w:rFonts w:ascii="宋体" w:hAnsi="Times New Roman" w:eastAsia="宋体" w:cs="Times New Roman"/>
      <w:sz w:val="18"/>
      <w:szCs w:val="18"/>
      <w:lang w:val="en-US" w:eastAsia="zh-CN" w:bidi="ar-SA"/>
    </w:rPr>
  </w:style>
  <w:style w:type="paragraph" w:customStyle="1" w:styleId="98">
    <w:name w:val="字母编号列项（一级）"/>
    <w:qFormat/>
    <w:uiPriority w:val="0"/>
    <w:pPr>
      <w:numPr>
        <w:ilvl w:val="0"/>
        <w:numId w:val="5"/>
      </w:numPr>
      <w:spacing w:before="53" w:after="5" w:afterLines="5"/>
      <w:jc w:val="both"/>
    </w:pPr>
    <w:rPr>
      <w:rFonts w:ascii="宋体" w:hAnsi="Times New Roman" w:eastAsia="宋体" w:cs="Times New Roman"/>
      <w:sz w:val="21"/>
      <w:lang w:val="en-US" w:eastAsia="zh-CN" w:bidi="ar-SA"/>
    </w:rPr>
  </w:style>
  <w:style w:type="paragraph" w:customStyle="1" w:styleId="99">
    <w:name w:val="列项◆（三级）"/>
    <w:basedOn w:val="1"/>
    <w:qFormat/>
    <w:uiPriority w:val="0"/>
    <w:pPr>
      <w:numPr>
        <w:ilvl w:val="2"/>
        <w:numId w:val="3"/>
      </w:numPr>
      <w:adjustRightInd/>
      <w:spacing w:before="53" w:after="5" w:afterLines="5" w:line="240" w:lineRule="auto"/>
      <w:textAlignment w:val="auto"/>
    </w:pPr>
    <w:rPr>
      <w:rFonts w:ascii="宋体"/>
      <w:kern w:val="2"/>
      <w:szCs w:val="21"/>
    </w:rPr>
  </w:style>
  <w:style w:type="paragraph" w:customStyle="1" w:styleId="100">
    <w:name w:val="编号列项（三级）"/>
    <w:qFormat/>
    <w:uiPriority w:val="0"/>
    <w:pPr>
      <w:numPr>
        <w:ilvl w:val="2"/>
        <w:numId w:val="5"/>
      </w:numPr>
      <w:spacing w:before="53" w:after="5" w:afterLines="5"/>
    </w:pPr>
    <w:rPr>
      <w:rFonts w:ascii="宋体" w:hAnsi="Times New Roman" w:eastAsia="宋体" w:cs="Times New Roman"/>
      <w:sz w:val="21"/>
      <w:lang w:val="en-US" w:eastAsia="zh-CN" w:bidi="ar-SA"/>
    </w:rPr>
  </w:style>
  <w:style w:type="paragraph" w:customStyle="1" w:styleId="101">
    <w:name w:val="示例×："/>
    <w:basedOn w:val="84"/>
    <w:qFormat/>
    <w:uiPriority w:val="0"/>
    <w:pPr>
      <w:numPr>
        <w:numId w:val="8"/>
      </w:numPr>
      <w:tabs>
        <w:tab w:val="left" w:pos="600"/>
      </w:tabs>
      <w:spacing w:before="0" w:beforeLines="0" w:after="0" w:afterLines="0"/>
      <w:ind w:left="600" w:hanging="600"/>
      <w:outlineLvl w:val="9"/>
    </w:pPr>
    <w:rPr>
      <w:rFonts w:ascii="宋体" w:eastAsia="宋体"/>
      <w:sz w:val="18"/>
      <w:szCs w:val="18"/>
    </w:rPr>
  </w:style>
  <w:style w:type="paragraph" w:customStyle="1" w:styleId="102">
    <w:name w:val="二级无"/>
    <w:basedOn w:val="85"/>
    <w:qFormat/>
    <w:uiPriority w:val="0"/>
    <w:pPr>
      <w:spacing w:before="0" w:beforeLines="0" w:after="0" w:afterLines="0"/>
    </w:pPr>
    <w:rPr>
      <w:rFonts w:ascii="宋体" w:eastAsia="宋体"/>
    </w:rPr>
  </w:style>
  <w:style w:type="paragraph" w:customStyle="1" w:styleId="103">
    <w:name w:val="注：（正文）"/>
    <w:basedOn w:val="96"/>
    <w:next w:val="36"/>
    <w:qFormat/>
    <w:uiPriority w:val="0"/>
  </w:style>
  <w:style w:type="paragraph" w:customStyle="1" w:styleId="104">
    <w:name w:val="注×：（正文）"/>
    <w:qFormat/>
    <w:uiPriority w:val="0"/>
    <w:pPr>
      <w:numPr>
        <w:ilvl w:val="0"/>
        <w:numId w:val="9"/>
      </w:numPr>
      <w:spacing w:before="53" w:after="5" w:afterLines="5"/>
      <w:jc w:val="both"/>
    </w:pPr>
    <w:rPr>
      <w:rFonts w:ascii="宋体" w:hAnsi="Times New Roman" w:eastAsia="宋体" w:cs="Times New Roman"/>
      <w:sz w:val="18"/>
      <w:szCs w:val="18"/>
      <w:lang w:val="en-US" w:eastAsia="zh-CN" w:bidi="ar-SA"/>
    </w:rPr>
  </w:style>
  <w:style w:type="paragraph" w:customStyle="1" w:styleId="105">
    <w:name w:val="标准标志"/>
    <w:next w:val="1"/>
    <w:qFormat/>
    <w:uiPriority w:val="0"/>
    <w:pPr>
      <w:framePr w:w="2546" w:h="1389" w:hRule="exact" w:hSpace="181" w:vSpace="181" w:wrap="around" w:vAnchor="margin" w:hAnchor="margin" w:x="6522" w:y="398" w:anchorLock="1"/>
      <w:shd w:val="solid" w:color="FFFFFF" w:fill="FFFFFF"/>
      <w:spacing w:before="53" w:after="5" w:afterLines="5" w:line="0" w:lineRule="atLeast"/>
      <w:jc w:val="right"/>
    </w:pPr>
    <w:rPr>
      <w:rFonts w:ascii="Times New Roman" w:hAnsi="Times New Roman" w:eastAsia="宋体" w:cs="Times New Roman"/>
      <w:b/>
      <w:w w:val="170"/>
      <w:sz w:val="96"/>
      <w:szCs w:val="96"/>
      <w:lang w:val="en-US" w:eastAsia="zh-CN" w:bidi="ar-SA"/>
    </w:rPr>
  </w:style>
  <w:style w:type="paragraph" w:customStyle="1" w:styleId="10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before="53" w:after="5" w:afterLines="5" w:line="0" w:lineRule="atLeast"/>
      <w:jc w:val="distribute"/>
    </w:pPr>
    <w:rPr>
      <w:rFonts w:ascii="宋体" w:hAnsi="Times New Roman" w:eastAsia="宋体" w:cs="Times New Roman"/>
      <w:b/>
      <w:bCs/>
      <w:spacing w:val="20"/>
      <w:w w:val="148"/>
      <w:sz w:val="48"/>
      <w:lang w:val="en-US" w:eastAsia="zh-CN" w:bidi="ar-SA"/>
    </w:rPr>
  </w:style>
  <w:style w:type="paragraph" w:customStyle="1" w:styleId="107">
    <w:name w:val="标准书脚_偶数页"/>
    <w:uiPriority w:val="0"/>
    <w:pPr>
      <w:spacing w:before="120" w:after="5" w:afterLines="5"/>
      <w:ind w:left="221"/>
    </w:pPr>
    <w:rPr>
      <w:rFonts w:ascii="宋体" w:hAnsi="Times New Roman" w:eastAsia="宋体" w:cs="Times New Roman"/>
      <w:sz w:val="18"/>
      <w:szCs w:val="18"/>
      <w:lang w:val="en-US" w:eastAsia="zh-CN" w:bidi="ar-SA"/>
    </w:rPr>
  </w:style>
  <w:style w:type="paragraph" w:customStyle="1" w:styleId="108">
    <w:name w:val="标准书眉_偶数页"/>
    <w:basedOn w:val="83"/>
    <w:next w:val="1"/>
    <w:qFormat/>
    <w:uiPriority w:val="0"/>
    <w:pPr>
      <w:jc w:val="left"/>
    </w:pPr>
  </w:style>
  <w:style w:type="paragraph" w:customStyle="1" w:styleId="109">
    <w:name w:val="标准书眉一"/>
    <w:qFormat/>
    <w:uiPriority w:val="0"/>
    <w:pPr>
      <w:spacing w:before="53" w:after="5" w:afterLines="5"/>
      <w:jc w:val="both"/>
    </w:pPr>
    <w:rPr>
      <w:rFonts w:ascii="Times New Roman" w:hAnsi="Times New Roman" w:eastAsia="宋体" w:cs="Times New Roman"/>
      <w:lang w:val="en-US" w:eastAsia="zh-CN" w:bidi="ar-SA"/>
    </w:rPr>
  </w:style>
  <w:style w:type="paragraph" w:customStyle="1" w:styleId="110">
    <w:name w:val="参考文献"/>
    <w:basedOn w:val="1"/>
    <w:next w:val="36"/>
    <w:uiPriority w:val="0"/>
    <w:pPr>
      <w:keepNext/>
      <w:pageBreakBefore/>
      <w:widowControl/>
      <w:shd w:val="clear" w:color="FFFFFF" w:fill="FFFFFF"/>
      <w:adjustRightInd/>
      <w:spacing w:before="640" w:after="200" w:afterLines="5" w:line="240" w:lineRule="auto"/>
      <w:jc w:val="center"/>
      <w:textAlignment w:val="auto"/>
      <w:outlineLvl w:val="0"/>
    </w:pPr>
    <w:rPr>
      <w:rFonts w:ascii="黑体" w:eastAsia="黑体"/>
    </w:rPr>
  </w:style>
  <w:style w:type="paragraph" w:customStyle="1" w:styleId="111">
    <w:name w:val="参考文献、索引标题"/>
    <w:basedOn w:val="1"/>
    <w:next w:val="36"/>
    <w:qFormat/>
    <w:uiPriority w:val="0"/>
    <w:pPr>
      <w:keepNext/>
      <w:pageBreakBefore/>
      <w:widowControl/>
      <w:shd w:val="clear" w:color="FFFFFF" w:fill="FFFFFF"/>
      <w:adjustRightInd/>
      <w:spacing w:before="640" w:after="200" w:afterLines="5" w:line="240" w:lineRule="auto"/>
      <w:jc w:val="center"/>
      <w:textAlignment w:val="auto"/>
      <w:outlineLvl w:val="0"/>
    </w:pPr>
    <w:rPr>
      <w:rFonts w:ascii="黑体" w:eastAsia="黑体"/>
    </w:rPr>
  </w:style>
  <w:style w:type="character" w:customStyle="1" w:styleId="112">
    <w:name w:val="发布"/>
    <w:qFormat/>
    <w:uiPriority w:val="0"/>
    <w:rPr>
      <w:rFonts w:ascii="黑体" w:eastAsia="黑体"/>
      <w:spacing w:val="85"/>
      <w:w w:val="100"/>
      <w:position w:val="3"/>
      <w:sz w:val="28"/>
      <w:szCs w:val="28"/>
    </w:rPr>
  </w:style>
  <w:style w:type="paragraph" w:customStyle="1" w:styleId="113">
    <w:name w:val="发布部门"/>
    <w:next w:val="36"/>
    <w:qFormat/>
    <w:uiPriority w:val="0"/>
    <w:pPr>
      <w:framePr w:w="7938" w:h="1134" w:hRule="exact" w:hSpace="125" w:vSpace="181" w:wrap="around" w:vAnchor="page" w:hAnchor="page" w:x="2150" w:y="14630" w:anchorLock="1"/>
      <w:spacing w:before="53" w:after="5" w:afterLines="5"/>
      <w:jc w:val="center"/>
    </w:pPr>
    <w:rPr>
      <w:rFonts w:ascii="宋体" w:hAnsi="Times New Roman" w:eastAsia="宋体" w:cs="Times New Roman"/>
      <w:b/>
      <w:spacing w:val="20"/>
      <w:w w:val="135"/>
      <w:sz w:val="28"/>
      <w:lang w:val="en-US" w:eastAsia="zh-CN" w:bidi="ar-SA"/>
    </w:rPr>
  </w:style>
  <w:style w:type="paragraph" w:customStyle="1" w:styleId="114">
    <w:name w:val="发布日期"/>
    <w:qFormat/>
    <w:uiPriority w:val="0"/>
    <w:pPr>
      <w:framePr w:w="3997" w:h="471" w:hRule="exact" w:vSpace="181" w:wrap="around" w:vAnchor="margin" w:hAnchor="page" w:x="7089" w:y="14097" w:anchorLock="1"/>
      <w:spacing w:before="53" w:after="5" w:afterLines="5"/>
    </w:pPr>
    <w:rPr>
      <w:rFonts w:ascii="Times New Roman" w:hAnsi="Times New Roman" w:eastAsia="黑体" w:cs="Times New Roman"/>
      <w:sz w:val="28"/>
      <w:lang w:val="en-US" w:eastAsia="zh-CN" w:bidi="ar-SA"/>
    </w:rPr>
  </w:style>
  <w:style w:type="paragraph" w:customStyle="1" w:styleId="115">
    <w:name w:val="封面标准代替信息"/>
    <w:qFormat/>
    <w:uiPriority w:val="0"/>
    <w:pPr>
      <w:framePr w:w="9140" w:h="1242" w:hRule="exact" w:hSpace="284" w:wrap="around" w:vAnchor="page" w:hAnchor="page" w:x="1645" w:y="2910" w:anchorLock="1"/>
      <w:spacing w:before="57" w:after="5" w:afterLines="5" w:line="280" w:lineRule="exact"/>
      <w:jc w:val="right"/>
    </w:pPr>
    <w:rPr>
      <w:rFonts w:ascii="宋体" w:hAnsi="Times New Roman" w:eastAsia="宋体" w:cs="Times New Roman"/>
      <w:sz w:val="21"/>
      <w:szCs w:val="21"/>
      <w:lang w:val="en-US" w:eastAsia="zh-CN" w:bidi="ar-SA"/>
    </w:rPr>
  </w:style>
  <w:style w:type="paragraph" w:customStyle="1" w:styleId="116">
    <w:name w:val="封面标准号1"/>
    <w:qFormat/>
    <w:uiPriority w:val="0"/>
    <w:pPr>
      <w:widowControl w:val="0"/>
      <w:kinsoku w:val="0"/>
      <w:overflowPunct w:val="0"/>
      <w:autoSpaceDE w:val="0"/>
      <w:autoSpaceDN w:val="0"/>
      <w:spacing w:before="308" w:after="5" w:afterLines="5"/>
      <w:jc w:val="right"/>
      <w:textAlignment w:val="center"/>
    </w:pPr>
    <w:rPr>
      <w:rFonts w:ascii="Times New Roman" w:hAnsi="Times New Roman" w:eastAsia="宋体" w:cs="Times New Roman"/>
      <w:sz w:val="28"/>
      <w:lang w:val="en-US" w:eastAsia="zh-CN" w:bidi="ar-SA"/>
    </w:rPr>
  </w:style>
  <w:style w:type="paragraph" w:customStyle="1" w:styleId="117">
    <w:name w:val="封面标准名称"/>
    <w:qFormat/>
    <w:uiPriority w:val="0"/>
    <w:pPr>
      <w:framePr w:w="9639" w:h="6917" w:hRule="exact" w:wrap="around" w:vAnchor="page" w:hAnchor="page" w:xAlign="center" w:y="6408" w:anchorLock="1"/>
      <w:widowControl w:val="0"/>
      <w:spacing w:before="53" w:after="5" w:afterLines="5" w:line="680" w:lineRule="exact"/>
      <w:jc w:val="center"/>
      <w:textAlignment w:val="center"/>
    </w:pPr>
    <w:rPr>
      <w:rFonts w:ascii="黑体" w:hAnsi="Times New Roman" w:eastAsia="黑体" w:cs="Times New Roman"/>
      <w:sz w:val="52"/>
      <w:lang w:val="en-US" w:eastAsia="zh-CN" w:bidi="ar-SA"/>
    </w:rPr>
  </w:style>
  <w:style w:type="paragraph" w:customStyle="1" w:styleId="118">
    <w:name w:val="封面标准英文名称"/>
    <w:basedOn w:val="117"/>
    <w:qFormat/>
    <w:uiPriority w:val="0"/>
    <w:pPr>
      <w:spacing w:before="370" w:line="400" w:lineRule="exact"/>
    </w:pPr>
    <w:rPr>
      <w:rFonts w:ascii="Times New Roman"/>
      <w:sz w:val="28"/>
      <w:szCs w:val="28"/>
    </w:rPr>
  </w:style>
  <w:style w:type="paragraph" w:customStyle="1" w:styleId="119">
    <w:name w:val="封面一致性程度标识"/>
    <w:basedOn w:val="118"/>
    <w:qFormat/>
    <w:uiPriority w:val="0"/>
    <w:pPr>
      <w:spacing w:before="440"/>
    </w:pPr>
    <w:rPr>
      <w:rFonts w:ascii="宋体" w:eastAsia="宋体"/>
    </w:rPr>
  </w:style>
  <w:style w:type="paragraph" w:customStyle="1" w:styleId="120">
    <w:name w:val="封面标准文稿类别"/>
    <w:basedOn w:val="119"/>
    <w:qFormat/>
    <w:uiPriority w:val="0"/>
    <w:pPr>
      <w:spacing w:after="160" w:line="240" w:lineRule="auto"/>
    </w:pPr>
    <w:rPr>
      <w:sz w:val="24"/>
    </w:rPr>
  </w:style>
  <w:style w:type="paragraph" w:customStyle="1" w:styleId="121">
    <w:name w:val="封面标准文稿编辑信息"/>
    <w:basedOn w:val="120"/>
    <w:uiPriority w:val="0"/>
    <w:pPr>
      <w:spacing w:before="180" w:line="180" w:lineRule="exact"/>
    </w:pPr>
    <w:rPr>
      <w:sz w:val="21"/>
    </w:rPr>
  </w:style>
  <w:style w:type="paragraph" w:customStyle="1" w:styleId="122">
    <w:name w:val="封面正文"/>
    <w:qFormat/>
    <w:uiPriority w:val="0"/>
    <w:pPr>
      <w:spacing w:before="53" w:after="5" w:afterLines="5"/>
      <w:jc w:val="both"/>
    </w:pPr>
    <w:rPr>
      <w:rFonts w:ascii="Times New Roman" w:hAnsi="Times New Roman" w:eastAsia="宋体" w:cs="Times New Roman"/>
      <w:lang w:val="en-US" w:eastAsia="zh-CN" w:bidi="ar-SA"/>
    </w:rPr>
  </w:style>
  <w:style w:type="paragraph" w:customStyle="1" w:styleId="123">
    <w:name w:val="附录标识"/>
    <w:basedOn w:val="1"/>
    <w:next w:val="36"/>
    <w:qFormat/>
    <w:uiPriority w:val="0"/>
    <w:pPr>
      <w:keepNext/>
      <w:widowControl/>
      <w:numPr>
        <w:ilvl w:val="0"/>
        <w:numId w:val="10"/>
      </w:numPr>
      <w:shd w:val="clear" w:color="FFFFFF" w:fill="FFFFFF"/>
      <w:tabs>
        <w:tab w:val="left" w:pos="360"/>
        <w:tab w:val="left" w:pos="6405"/>
      </w:tabs>
      <w:adjustRightInd/>
      <w:spacing w:before="640" w:after="280" w:afterLines="5" w:line="240" w:lineRule="auto"/>
      <w:jc w:val="center"/>
      <w:textAlignment w:val="auto"/>
      <w:outlineLvl w:val="0"/>
    </w:pPr>
    <w:rPr>
      <w:rFonts w:ascii="黑体" w:eastAsia="黑体"/>
    </w:rPr>
  </w:style>
  <w:style w:type="paragraph" w:customStyle="1" w:styleId="124">
    <w:name w:val="附录标题"/>
    <w:basedOn w:val="36"/>
    <w:next w:val="36"/>
    <w:qFormat/>
    <w:uiPriority w:val="0"/>
    <w:pPr>
      <w:ind w:firstLine="0" w:firstLineChars="0"/>
      <w:jc w:val="center"/>
    </w:pPr>
    <w:rPr>
      <w:rFonts w:ascii="黑体" w:eastAsia="黑体"/>
    </w:rPr>
  </w:style>
  <w:style w:type="paragraph" w:customStyle="1" w:styleId="125">
    <w:name w:val="附录表标号"/>
    <w:basedOn w:val="1"/>
    <w:next w:val="36"/>
    <w:qFormat/>
    <w:uiPriority w:val="0"/>
    <w:pPr>
      <w:numPr>
        <w:ilvl w:val="0"/>
        <w:numId w:val="11"/>
      </w:numPr>
      <w:tabs>
        <w:tab w:val="clear" w:pos="0"/>
      </w:tabs>
      <w:adjustRightInd/>
      <w:spacing w:before="53" w:after="5" w:afterLines="5" w:line="14" w:lineRule="exact"/>
      <w:ind w:left="811" w:hanging="448"/>
      <w:jc w:val="center"/>
      <w:textAlignment w:val="auto"/>
      <w:outlineLvl w:val="0"/>
    </w:pPr>
    <w:rPr>
      <w:color w:val="FFFFFF"/>
      <w:kern w:val="2"/>
      <w:szCs w:val="24"/>
    </w:rPr>
  </w:style>
  <w:style w:type="paragraph" w:customStyle="1" w:styleId="126">
    <w:name w:val="附录表标题"/>
    <w:basedOn w:val="1"/>
    <w:next w:val="36"/>
    <w:uiPriority w:val="0"/>
    <w:pPr>
      <w:numPr>
        <w:ilvl w:val="1"/>
        <w:numId w:val="11"/>
      </w:numPr>
      <w:tabs>
        <w:tab w:val="left" w:pos="180"/>
      </w:tabs>
      <w:adjustRightInd/>
      <w:spacing w:before="50" w:beforeLines="50" w:after="50" w:afterLines="50" w:line="240" w:lineRule="auto"/>
      <w:ind w:left="0" w:firstLine="0"/>
      <w:jc w:val="center"/>
      <w:textAlignment w:val="auto"/>
    </w:pPr>
    <w:rPr>
      <w:rFonts w:ascii="黑体" w:eastAsia="黑体"/>
      <w:kern w:val="2"/>
      <w:szCs w:val="21"/>
    </w:rPr>
  </w:style>
  <w:style w:type="paragraph" w:customStyle="1" w:styleId="127">
    <w:name w:val="附录二级条标题"/>
    <w:basedOn w:val="1"/>
    <w:next w:val="36"/>
    <w:qFormat/>
    <w:uiPriority w:val="0"/>
    <w:pPr>
      <w:widowControl/>
      <w:numPr>
        <w:ilvl w:val="3"/>
        <w:numId w:val="10"/>
      </w:numPr>
      <w:wordWrap w:val="0"/>
      <w:overflowPunct w:val="0"/>
      <w:autoSpaceDE w:val="0"/>
      <w:autoSpaceDN w:val="0"/>
      <w:adjustRightInd/>
      <w:spacing w:before="50" w:beforeLines="50" w:after="50" w:afterLines="50" w:line="240" w:lineRule="auto"/>
      <w:outlineLvl w:val="3"/>
    </w:pPr>
    <w:rPr>
      <w:rFonts w:ascii="黑体" w:eastAsia="黑体"/>
      <w:kern w:val="21"/>
    </w:rPr>
  </w:style>
  <w:style w:type="paragraph" w:customStyle="1" w:styleId="128">
    <w:name w:val="附录二级无"/>
    <w:basedOn w:val="127"/>
    <w:qFormat/>
    <w:uiPriority w:val="0"/>
    <w:pPr>
      <w:spacing w:before="0" w:beforeLines="0" w:after="0" w:afterLines="0"/>
    </w:pPr>
    <w:rPr>
      <w:rFonts w:ascii="宋体" w:eastAsia="宋体"/>
      <w:szCs w:val="21"/>
    </w:rPr>
  </w:style>
  <w:style w:type="paragraph" w:customStyle="1" w:styleId="129">
    <w:name w:val="附录公式"/>
    <w:basedOn w:val="36"/>
    <w:next w:val="36"/>
    <w:link w:val="130"/>
    <w:qFormat/>
    <w:uiPriority w:val="0"/>
  </w:style>
  <w:style w:type="character" w:customStyle="1" w:styleId="130">
    <w:name w:val="附录公式 Char"/>
    <w:basedOn w:val="80"/>
    <w:link w:val="129"/>
    <w:qFormat/>
    <w:uiPriority w:val="0"/>
    <w:rPr>
      <w:rFonts w:ascii="宋体"/>
      <w:sz w:val="21"/>
    </w:rPr>
  </w:style>
  <w:style w:type="paragraph" w:customStyle="1" w:styleId="131">
    <w:name w:val="附录公式编号制表符"/>
    <w:basedOn w:val="1"/>
    <w:next w:val="36"/>
    <w:qFormat/>
    <w:uiPriority w:val="0"/>
    <w:pPr>
      <w:widowControl/>
      <w:tabs>
        <w:tab w:val="center" w:pos="4201"/>
        <w:tab w:val="right" w:leader="dot" w:pos="9298"/>
      </w:tabs>
      <w:autoSpaceDE w:val="0"/>
      <w:autoSpaceDN w:val="0"/>
      <w:adjustRightInd/>
      <w:spacing w:before="53" w:after="5" w:afterLines="5" w:line="240" w:lineRule="auto"/>
      <w:textAlignment w:val="auto"/>
    </w:pPr>
    <w:rPr>
      <w:rFonts w:ascii="宋体"/>
    </w:rPr>
  </w:style>
  <w:style w:type="paragraph" w:customStyle="1" w:styleId="132">
    <w:name w:val="附录三级条标题"/>
    <w:basedOn w:val="127"/>
    <w:next w:val="36"/>
    <w:qFormat/>
    <w:uiPriority w:val="0"/>
    <w:pPr>
      <w:numPr>
        <w:ilvl w:val="4"/>
      </w:numPr>
      <w:tabs>
        <w:tab w:val="left" w:pos="360"/>
      </w:tabs>
      <w:outlineLvl w:val="4"/>
    </w:pPr>
  </w:style>
  <w:style w:type="paragraph" w:customStyle="1" w:styleId="133">
    <w:name w:val="附录三级无"/>
    <w:basedOn w:val="132"/>
    <w:uiPriority w:val="0"/>
    <w:pPr>
      <w:tabs>
        <w:tab w:val="clear" w:pos="360"/>
      </w:tabs>
      <w:spacing w:before="0" w:beforeLines="0" w:after="0" w:afterLines="0"/>
    </w:pPr>
    <w:rPr>
      <w:rFonts w:ascii="宋体" w:eastAsia="宋体"/>
      <w:szCs w:val="21"/>
    </w:rPr>
  </w:style>
  <w:style w:type="paragraph" w:customStyle="1" w:styleId="134">
    <w:name w:val="附录数字编号列项（二级）"/>
    <w:qFormat/>
    <w:uiPriority w:val="0"/>
    <w:pPr>
      <w:numPr>
        <w:ilvl w:val="1"/>
        <w:numId w:val="12"/>
      </w:numPr>
      <w:spacing w:before="53" w:after="5" w:afterLines="5"/>
    </w:pPr>
    <w:rPr>
      <w:rFonts w:ascii="宋体" w:hAnsi="Times New Roman" w:eastAsia="宋体" w:cs="Times New Roman"/>
      <w:sz w:val="21"/>
      <w:lang w:val="en-US" w:eastAsia="zh-CN" w:bidi="ar-SA"/>
    </w:rPr>
  </w:style>
  <w:style w:type="paragraph" w:customStyle="1" w:styleId="135">
    <w:name w:val="附录四级条标题"/>
    <w:basedOn w:val="132"/>
    <w:next w:val="36"/>
    <w:uiPriority w:val="0"/>
    <w:pPr>
      <w:numPr>
        <w:ilvl w:val="5"/>
      </w:numPr>
      <w:outlineLvl w:val="5"/>
    </w:pPr>
  </w:style>
  <w:style w:type="paragraph" w:customStyle="1" w:styleId="136">
    <w:name w:val="附录四级无"/>
    <w:basedOn w:val="135"/>
    <w:qFormat/>
    <w:uiPriority w:val="0"/>
    <w:pPr>
      <w:tabs>
        <w:tab w:val="clear" w:pos="360"/>
      </w:tabs>
      <w:spacing w:before="0" w:beforeLines="0" w:after="0" w:afterLines="0"/>
    </w:pPr>
    <w:rPr>
      <w:rFonts w:ascii="宋体" w:eastAsia="宋体"/>
      <w:szCs w:val="21"/>
    </w:rPr>
  </w:style>
  <w:style w:type="paragraph" w:customStyle="1" w:styleId="137">
    <w:name w:val="附录图标号"/>
    <w:basedOn w:val="1"/>
    <w:qFormat/>
    <w:uiPriority w:val="0"/>
    <w:pPr>
      <w:keepNext/>
      <w:pageBreakBefore/>
      <w:widowControl/>
      <w:numPr>
        <w:ilvl w:val="0"/>
        <w:numId w:val="13"/>
      </w:numPr>
      <w:adjustRightInd/>
      <w:spacing w:before="53" w:after="5" w:afterLines="5" w:line="14" w:lineRule="exact"/>
      <w:ind w:left="0" w:firstLine="363"/>
      <w:jc w:val="center"/>
      <w:textAlignment w:val="auto"/>
      <w:outlineLvl w:val="0"/>
    </w:pPr>
    <w:rPr>
      <w:color w:val="FFFFFF"/>
      <w:kern w:val="2"/>
      <w:szCs w:val="24"/>
    </w:rPr>
  </w:style>
  <w:style w:type="paragraph" w:customStyle="1" w:styleId="138">
    <w:name w:val="附录图标题"/>
    <w:basedOn w:val="1"/>
    <w:next w:val="36"/>
    <w:uiPriority w:val="0"/>
    <w:pPr>
      <w:numPr>
        <w:ilvl w:val="1"/>
        <w:numId w:val="13"/>
      </w:numPr>
      <w:tabs>
        <w:tab w:val="left" w:pos="363"/>
      </w:tabs>
      <w:adjustRightInd/>
      <w:spacing w:before="50" w:beforeLines="50" w:after="50" w:afterLines="50" w:line="240" w:lineRule="auto"/>
      <w:ind w:left="0" w:firstLine="0"/>
      <w:jc w:val="center"/>
      <w:textAlignment w:val="auto"/>
    </w:pPr>
    <w:rPr>
      <w:rFonts w:ascii="黑体" w:eastAsia="黑体"/>
      <w:kern w:val="2"/>
      <w:szCs w:val="21"/>
    </w:rPr>
  </w:style>
  <w:style w:type="paragraph" w:customStyle="1" w:styleId="139">
    <w:name w:val="附录五级条标题"/>
    <w:basedOn w:val="135"/>
    <w:next w:val="36"/>
    <w:uiPriority w:val="0"/>
    <w:pPr>
      <w:numPr>
        <w:ilvl w:val="6"/>
      </w:numPr>
      <w:outlineLvl w:val="6"/>
    </w:pPr>
  </w:style>
  <w:style w:type="paragraph" w:customStyle="1" w:styleId="140">
    <w:name w:val="附录五级无"/>
    <w:basedOn w:val="139"/>
    <w:qFormat/>
    <w:uiPriority w:val="0"/>
    <w:pPr>
      <w:tabs>
        <w:tab w:val="clear" w:pos="360"/>
      </w:tabs>
      <w:spacing w:before="0" w:beforeLines="0" w:after="0" w:afterLines="0"/>
    </w:pPr>
    <w:rPr>
      <w:rFonts w:ascii="宋体" w:eastAsia="宋体"/>
      <w:szCs w:val="21"/>
    </w:rPr>
  </w:style>
  <w:style w:type="paragraph" w:customStyle="1" w:styleId="141">
    <w:name w:val="附录章标题"/>
    <w:next w:val="36"/>
    <w:qFormat/>
    <w:uiPriority w:val="0"/>
    <w:pPr>
      <w:numPr>
        <w:ilvl w:val="1"/>
        <w:numId w:val="10"/>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42">
    <w:name w:val="附录一级条标题"/>
    <w:basedOn w:val="141"/>
    <w:next w:val="36"/>
    <w:qFormat/>
    <w:uiPriority w:val="0"/>
    <w:pPr>
      <w:numPr>
        <w:ilvl w:val="2"/>
      </w:numPr>
      <w:autoSpaceDN w:val="0"/>
      <w:spacing w:before="50" w:beforeLines="50" w:after="50" w:afterLines="50"/>
      <w:outlineLvl w:val="2"/>
    </w:pPr>
  </w:style>
  <w:style w:type="paragraph" w:customStyle="1" w:styleId="143">
    <w:name w:val="附录一级无"/>
    <w:basedOn w:val="142"/>
    <w:qFormat/>
    <w:uiPriority w:val="0"/>
    <w:pPr>
      <w:spacing w:before="0" w:beforeLines="0" w:after="0" w:afterLines="0"/>
    </w:pPr>
    <w:rPr>
      <w:rFonts w:ascii="宋体" w:eastAsia="宋体"/>
      <w:szCs w:val="21"/>
    </w:rPr>
  </w:style>
  <w:style w:type="paragraph" w:customStyle="1" w:styleId="144">
    <w:name w:val="附录字母编号列项（一级）"/>
    <w:qFormat/>
    <w:uiPriority w:val="0"/>
    <w:pPr>
      <w:numPr>
        <w:ilvl w:val="0"/>
        <w:numId w:val="12"/>
      </w:numPr>
      <w:spacing w:before="53" w:after="5" w:afterLines="5"/>
    </w:pPr>
    <w:rPr>
      <w:rFonts w:ascii="宋体" w:hAnsi="Times New Roman" w:eastAsia="宋体" w:cs="Times New Roman"/>
      <w:sz w:val="21"/>
      <w:lang w:val="en-US" w:eastAsia="zh-CN" w:bidi="ar-SA"/>
    </w:rPr>
  </w:style>
  <w:style w:type="character" w:customStyle="1" w:styleId="145">
    <w:name w:val="脚注文本 字符"/>
    <w:link w:val="38"/>
    <w:qFormat/>
    <w:uiPriority w:val="0"/>
    <w:rPr>
      <w:rFonts w:ascii="宋体"/>
      <w:kern w:val="2"/>
      <w:sz w:val="18"/>
      <w:szCs w:val="18"/>
    </w:rPr>
  </w:style>
  <w:style w:type="paragraph" w:customStyle="1" w:styleId="146">
    <w:name w:val="列项说明"/>
    <w:basedOn w:val="1"/>
    <w:uiPriority w:val="0"/>
    <w:pPr>
      <w:spacing w:before="53" w:after="5" w:afterLines="5" w:line="320" w:lineRule="exact"/>
      <w:ind w:left="400" w:leftChars="200" w:hanging="200" w:hangingChars="200"/>
      <w:jc w:val="left"/>
    </w:pPr>
    <w:rPr>
      <w:rFonts w:ascii="宋体"/>
    </w:rPr>
  </w:style>
  <w:style w:type="paragraph" w:customStyle="1" w:styleId="147">
    <w:name w:val="列项说明数字编号"/>
    <w:uiPriority w:val="0"/>
    <w:pPr>
      <w:spacing w:before="53" w:after="5" w:afterLines="5"/>
      <w:ind w:left="600" w:leftChars="400" w:hanging="200" w:hangingChars="200"/>
    </w:pPr>
    <w:rPr>
      <w:rFonts w:ascii="宋体" w:hAnsi="Times New Roman" w:eastAsia="宋体" w:cs="Times New Roman"/>
      <w:sz w:val="21"/>
      <w:lang w:val="en-US" w:eastAsia="zh-CN" w:bidi="ar-SA"/>
    </w:rPr>
  </w:style>
  <w:style w:type="paragraph" w:customStyle="1" w:styleId="148">
    <w:name w:val="目次、索引正文"/>
    <w:qFormat/>
    <w:uiPriority w:val="0"/>
    <w:pPr>
      <w:spacing w:before="53" w:after="5" w:afterLines="5" w:line="320" w:lineRule="exact"/>
      <w:jc w:val="both"/>
    </w:pPr>
    <w:rPr>
      <w:rFonts w:ascii="宋体" w:hAnsi="Times New Roman" w:eastAsia="宋体" w:cs="Times New Roman"/>
      <w:sz w:val="21"/>
      <w:lang w:val="en-US" w:eastAsia="zh-CN" w:bidi="ar-SA"/>
    </w:rPr>
  </w:style>
  <w:style w:type="paragraph" w:customStyle="1" w:styleId="149">
    <w:name w:val="其他标准标志"/>
    <w:basedOn w:val="105"/>
    <w:qFormat/>
    <w:uiPriority w:val="0"/>
    <w:pPr>
      <w:framePr w:w="6101" w:vAnchor="page" w:hAnchor="page" w:x="4673" w:y="942"/>
    </w:pPr>
    <w:rPr>
      <w:w w:val="130"/>
    </w:rPr>
  </w:style>
  <w:style w:type="paragraph" w:customStyle="1" w:styleId="150">
    <w:name w:val="其他标准称谓"/>
    <w:next w:val="1"/>
    <w:qFormat/>
    <w:uiPriority w:val="0"/>
    <w:pPr>
      <w:framePr w:hSpace="181" w:vSpace="181" w:wrap="around" w:vAnchor="page" w:hAnchor="page" w:x="1419" w:y="2286" w:anchorLock="1"/>
      <w:spacing w:before="53" w:after="5" w:afterLines="5" w:line="0" w:lineRule="atLeast"/>
      <w:jc w:val="distribute"/>
    </w:pPr>
    <w:rPr>
      <w:rFonts w:ascii="黑体" w:hAnsi="宋体" w:eastAsia="黑体" w:cs="Times New Roman"/>
      <w:spacing w:val="-40"/>
      <w:sz w:val="48"/>
      <w:szCs w:val="52"/>
      <w:lang w:val="en-US" w:eastAsia="zh-CN" w:bidi="ar-SA"/>
    </w:rPr>
  </w:style>
  <w:style w:type="paragraph" w:customStyle="1" w:styleId="151">
    <w:name w:val="其他发布部门"/>
    <w:basedOn w:val="113"/>
    <w:qFormat/>
    <w:uiPriority w:val="0"/>
    <w:pPr>
      <w:framePr w:y="15310"/>
      <w:spacing w:line="0" w:lineRule="atLeast"/>
    </w:pPr>
    <w:rPr>
      <w:rFonts w:ascii="黑体" w:eastAsia="黑体"/>
      <w:b w:val="0"/>
    </w:rPr>
  </w:style>
  <w:style w:type="paragraph" w:customStyle="1" w:styleId="152">
    <w:name w:val="前言、引言标题"/>
    <w:next w:val="36"/>
    <w:uiPriority w:val="0"/>
    <w:pPr>
      <w:keepNext/>
      <w:pageBreakBefore/>
      <w:shd w:val="clear" w:color="FFFFFF" w:fill="FFFFFF"/>
      <w:spacing w:before="640" w:after="560" w:afterLines="5"/>
      <w:jc w:val="center"/>
      <w:outlineLvl w:val="0"/>
    </w:pPr>
    <w:rPr>
      <w:rFonts w:ascii="黑体" w:hAnsi="Times New Roman" w:eastAsia="黑体" w:cs="Times New Roman"/>
      <w:sz w:val="32"/>
      <w:lang w:val="en-US" w:eastAsia="zh-CN" w:bidi="ar-SA"/>
    </w:rPr>
  </w:style>
  <w:style w:type="paragraph" w:customStyle="1" w:styleId="153">
    <w:name w:val="三级无"/>
    <w:basedOn w:val="90"/>
    <w:uiPriority w:val="0"/>
    <w:pPr>
      <w:spacing w:before="0" w:beforeLines="0" w:after="0" w:afterLines="0"/>
    </w:pPr>
    <w:rPr>
      <w:rFonts w:ascii="宋体" w:eastAsia="宋体"/>
    </w:rPr>
  </w:style>
  <w:style w:type="paragraph" w:customStyle="1" w:styleId="154">
    <w:name w:val="实施日期"/>
    <w:basedOn w:val="114"/>
    <w:uiPriority w:val="0"/>
    <w:pPr>
      <w:framePr w:vAnchor="page" w:hAnchor="text"/>
      <w:jc w:val="right"/>
    </w:pPr>
  </w:style>
  <w:style w:type="paragraph" w:customStyle="1" w:styleId="155">
    <w:name w:val="示例后文字"/>
    <w:basedOn w:val="36"/>
    <w:next w:val="36"/>
    <w:qFormat/>
    <w:uiPriority w:val="0"/>
    <w:pPr>
      <w:ind w:firstLine="360"/>
    </w:pPr>
    <w:rPr>
      <w:sz w:val="18"/>
    </w:rPr>
  </w:style>
  <w:style w:type="paragraph" w:customStyle="1" w:styleId="156">
    <w:name w:val="首示例"/>
    <w:next w:val="36"/>
    <w:link w:val="157"/>
    <w:qFormat/>
    <w:uiPriority w:val="0"/>
    <w:pPr>
      <w:numPr>
        <w:ilvl w:val="0"/>
        <w:numId w:val="14"/>
      </w:numPr>
      <w:spacing w:before="53" w:after="5" w:afterLines="5"/>
      <w:ind w:firstLine="0"/>
    </w:pPr>
    <w:rPr>
      <w:rFonts w:ascii="宋体" w:hAnsi="宋体" w:eastAsia="宋体" w:cs="Times New Roman"/>
      <w:kern w:val="2"/>
      <w:sz w:val="18"/>
      <w:szCs w:val="18"/>
      <w:lang w:val="en-US" w:eastAsia="zh-CN" w:bidi="ar-SA"/>
    </w:rPr>
  </w:style>
  <w:style w:type="character" w:customStyle="1" w:styleId="157">
    <w:name w:val="首示例 Char"/>
    <w:link w:val="156"/>
    <w:uiPriority w:val="0"/>
    <w:rPr>
      <w:rFonts w:ascii="宋体" w:hAnsi="宋体"/>
      <w:kern w:val="2"/>
      <w:sz w:val="18"/>
      <w:szCs w:val="18"/>
    </w:rPr>
  </w:style>
  <w:style w:type="paragraph" w:customStyle="1" w:styleId="158">
    <w:name w:val="四级无"/>
    <w:basedOn w:val="94"/>
    <w:uiPriority w:val="0"/>
    <w:pPr>
      <w:numPr>
        <w:ilvl w:val="0"/>
        <w:numId w:val="15"/>
      </w:numPr>
      <w:spacing w:before="0" w:beforeLines="0" w:after="0" w:afterLines="0"/>
      <w:ind w:firstLine="363"/>
    </w:pPr>
    <w:rPr>
      <w:rFonts w:ascii="宋体" w:eastAsia="宋体"/>
    </w:rPr>
  </w:style>
  <w:style w:type="paragraph" w:customStyle="1" w:styleId="159">
    <w:name w:val="条文脚注"/>
    <w:basedOn w:val="38"/>
    <w:uiPriority w:val="0"/>
    <w:pPr>
      <w:numPr>
        <w:numId w:val="0"/>
      </w:numPr>
      <w:jc w:val="both"/>
    </w:pPr>
  </w:style>
  <w:style w:type="paragraph" w:customStyle="1" w:styleId="160">
    <w:name w:val="图标脚注说明"/>
    <w:basedOn w:val="36"/>
    <w:qFormat/>
    <w:uiPriority w:val="0"/>
    <w:pPr>
      <w:ind w:left="840" w:hanging="420" w:firstLineChars="0"/>
    </w:pPr>
    <w:rPr>
      <w:sz w:val="18"/>
      <w:szCs w:val="18"/>
    </w:rPr>
  </w:style>
  <w:style w:type="paragraph" w:customStyle="1" w:styleId="161">
    <w:name w:val="图表脚注说明"/>
    <w:basedOn w:val="1"/>
    <w:uiPriority w:val="0"/>
    <w:pPr>
      <w:numPr>
        <w:ilvl w:val="0"/>
        <w:numId w:val="16"/>
      </w:numPr>
      <w:adjustRightInd/>
      <w:spacing w:before="53" w:after="5" w:afterLines="5" w:line="240" w:lineRule="auto"/>
      <w:textAlignment w:val="auto"/>
    </w:pPr>
    <w:rPr>
      <w:rFonts w:ascii="宋体"/>
      <w:kern w:val="2"/>
      <w:sz w:val="18"/>
      <w:szCs w:val="18"/>
    </w:rPr>
  </w:style>
  <w:style w:type="paragraph" w:customStyle="1" w:styleId="162">
    <w:name w:val="图的脚注"/>
    <w:next w:val="36"/>
    <w:qFormat/>
    <w:uiPriority w:val="0"/>
    <w:pPr>
      <w:widowControl w:val="0"/>
      <w:spacing w:before="53" w:after="5" w:afterLines="5"/>
      <w:ind w:left="840" w:leftChars="200" w:hanging="420" w:hangingChars="200"/>
      <w:jc w:val="both"/>
    </w:pPr>
    <w:rPr>
      <w:rFonts w:ascii="宋体" w:hAnsi="Times New Roman" w:eastAsia="宋体" w:cs="Times New Roman"/>
      <w:sz w:val="18"/>
      <w:lang w:val="en-US" w:eastAsia="zh-CN" w:bidi="ar-SA"/>
    </w:rPr>
  </w:style>
  <w:style w:type="character" w:customStyle="1" w:styleId="163">
    <w:name w:val="尾注文本 字符"/>
    <w:link w:val="28"/>
    <w:qFormat/>
    <w:uiPriority w:val="0"/>
    <w:rPr>
      <w:kern w:val="2"/>
      <w:sz w:val="21"/>
      <w:szCs w:val="24"/>
    </w:rPr>
  </w:style>
  <w:style w:type="paragraph" w:customStyle="1" w:styleId="164">
    <w:name w:val="文献分类号"/>
    <w:uiPriority w:val="0"/>
    <w:pPr>
      <w:framePr w:hSpace="180" w:vSpace="180" w:wrap="around" w:vAnchor="margin" w:hAnchor="margin" w:y="1" w:anchorLock="1"/>
      <w:widowControl w:val="0"/>
      <w:spacing w:before="53" w:after="5" w:afterLines="5"/>
      <w:textAlignment w:val="center"/>
    </w:pPr>
    <w:rPr>
      <w:rFonts w:ascii="黑体" w:hAnsi="Times New Roman" w:eastAsia="黑体" w:cs="Times New Roman"/>
      <w:sz w:val="21"/>
      <w:szCs w:val="21"/>
      <w:lang w:val="en-US" w:eastAsia="zh-CN" w:bidi="ar-SA"/>
    </w:rPr>
  </w:style>
  <w:style w:type="paragraph" w:customStyle="1" w:styleId="165">
    <w:name w:val="五级无"/>
    <w:basedOn w:val="95"/>
    <w:qFormat/>
    <w:uiPriority w:val="0"/>
    <w:pPr>
      <w:spacing w:before="0" w:beforeLines="0" w:after="0" w:afterLines="0"/>
    </w:pPr>
    <w:rPr>
      <w:rFonts w:ascii="宋体" w:eastAsia="宋体"/>
    </w:rPr>
  </w:style>
  <w:style w:type="paragraph" w:customStyle="1" w:styleId="166">
    <w:name w:val="一级无"/>
    <w:basedOn w:val="81"/>
    <w:qFormat/>
    <w:uiPriority w:val="0"/>
    <w:pPr>
      <w:spacing w:before="0" w:beforeLines="0" w:after="0" w:afterLines="0"/>
    </w:pPr>
    <w:rPr>
      <w:rFonts w:ascii="宋体" w:eastAsia="宋体"/>
    </w:rPr>
  </w:style>
  <w:style w:type="paragraph" w:customStyle="1" w:styleId="167">
    <w:name w:val="_Style 152"/>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68">
    <w:name w:val="正文表标题"/>
    <w:next w:val="36"/>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69">
    <w:name w:val="正文公式编号制表符"/>
    <w:basedOn w:val="36"/>
    <w:next w:val="36"/>
    <w:qFormat/>
    <w:uiPriority w:val="0"/>
    <w:pPr>
      <w:ind w:firstLine="0" w:firstLineChars="0"/>
    </w:pPr>
  </w:style>
  <w:style w:type="paragraph" w:customStyle="1" w:styleId="170">
    <w:name w:val="正文图标题"/>
    <w:next w:val="36"/>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71">
    <w:name w:val="终结线"/>
    <w:basedOn w:val="1"/>
    <w:qFormat/>
    <w:uiPriority w:val="0"/>
    <w:pPr>
      <w:framePr w:hSpace="181" w:vSpace="181" w:wrap="around" w:vAnchor="text" w:hAnchor="margin" w:xAlign="center" w:y="285"/>
      <w:adjustRightInd/>
      <w:spacing w:before="53" w:after="5" w:afterLines="5" w:line="240" w:lineRule="auto"/>
      <w:textAlignment w:val="auto"/>
    </w:pPr>
    <w:rPr>
      <w:kern w:val="2"/>
      <w:szCs w:val="24"/>
    </w:rPr>
  </w:style>
  <w:style w:type="paragraph" w:customStyle="1" w:styleId="172">
    <w:name w:val="其他发布日期"/>
    <w:basedOn w:val="114"/>
    <w:qFormat/>
    <w:uiPriority w:val="0"/>
    <w:pPr>
      <w:framePr w:vAnchor="page" w:hAnchor="text" w:x="1419"/>
    </w:pPr>
  </w:style>
  <w:style w:type="paragraph" w:customStyle="1" w:styleId="173">
    <w:name w:val="其他实施日期"/>
    <w:basedOn w:val="154"/>
    <w:qFormat/>
    <w:uiPriority w:val="0"/>
  </w:style>
  <w:style w:type="paragraph" w:customStyle="1" w:styleId="174">
    <w:name w:val="封面标准名称2"/>
    <w:basedOn w:val="117"/>
    <w:qFormat/>
    <w:uiPriority w:val="0"/>
    <w:pPr>
      <w:framePr w:y="4469"/>
      <w:spacing w:before="630" w:beforeLines="630"/>
    </w:pPr>
  </w:style>
  <w:style w:type="paragraph" w:customStyle="1" w:styleId="175">
    <w:name w:val="封面标准英文名称2"/>
    <w:basedOn w:val="118"/>
    <w:uiPriority w:val="0"/>
    <w:pPr>
      <w:framePr w:y="4469"/>
    </w:pPr>
  </w:style>
  <w:style w:type="paragraph" w:customStyle="1" w:styleId="176">
    <w:name w:val="封面一致性程度标识2"/>
    <w:basedOn w:val="119"/>
    <w:uiPriority w:val="0"/>
    <w:pPr>
      <w:framePr w:y="4469"/>
    </w:pPr>
  </w:style>
  <w:style w:type="paragraph" w:customStyle="1" w:styleId="177">
    <w:name w:val="封面标准文稿类别2"/>
    <w:basedOn w:val="120"/>
    <w:uiPriority w:val="0"/>
    <w:pPr>
      <w:framePr w:y="4469"/>
    </w:pPr>
  </w:style>
  <w:style w:type="paragraph" w:customStyle="1" w:styleId="178">
    <w:name w:val="封面标准文稿编辑信息2"/>
    <w:basedOn w:val="121"/>
    <w:qFormat/>
    <w:uiPriority w:val="0"/>
    <w:pPr>
      <w:framePr w:y="4469"/>
    </w:pPr>
  </w:style>
  <w:style w:type="character" w:customStyle="1" w:styleId="179">
    <w:name w:val="标题 2 字符"/>
    <w:link w:val="3"/>
    <w:uiPriority w:val="0"/>
    <w:rPr>
      <w:rFonts w:ascii="Arial" w:hAnsi="Arial" w:eastAsia="黑体"/>
      <w:b/>
      <w:bCs/>
      <w:sz w:val="32"/>
      <w:szCs w:val="32"/>
    </w:rPr>
  </w:style>
  <w:style w:type="paragraph" w:customStyle="1" w:styleId="180">
    <w:name w:val="Char Char Char Char Char Char Char Char Char Char Char Char1 Char Char Char"/>
    <w:basedOn w:val="1"/>
    <w:qFormat/>
    <w:uiPriority w:val="0"/>
    <w:pPr>
      <w:adjustRightInd/>
      <w:spacing w:before="53" w:after="5" w:afterLines="5" w:line="240" w:lineRule="auto"/>
      <w:textAlignment w:val="auto"/>
    </w:pPr>
    <w:rPr>
      <w:rFonts w:ascii="Tahoma" w:hAnsi="Tahoma"/>
      <w:kern w:val="2"/>
      <w:sz w:val="24"/>
    </w:rPr>
  </w:style>
  <w:style w:type="character" w:customStyle="1" w:styleId="181">
    <w:name w:val="正文缩进 字符"/>
    <w:link w:val="13"/>
    <w:qFormat/>
    <w:uiPriority w:val="0"/>
    <w:rPr>
      <w:rFonts w:ascii="Arial" w:hAnsi="Arial"/>
      <w:sz w:val="21"/>
      <w:szCs w:val="24"/>
      <w:lang w:val="zh-CN" w:eastAsia="zh-CN"/>
    </w:rPr>
  </w:style>
  <w:style w:type="paragraph" w:customStyle="1" w:styleId="182">
    <w:name w:val="普通文字"/>
    <w:basedOn w:val="65"/>
    <w:next w:val="65"/>
    <w:uiPriority w:val="0"/>
    <w:pPr>
      <w:spacing w:before="53" w:after="5" w:afterLines="5"/>
    </w:pPr>
    <w:rPr>
      <w:rFonts w:ascii="..ì." w:eastAsia="..ì." w:cs="Times New Roman"/>
      <w:color w:val="auto"/>
    </w:rPr>
  </w:style>
  <w:style w:type="paragraph" w:customStyle="1" w:styleId="183">
    <w:name w:val="正文11"/>
    <w:basedOn w:val="1"/>
    <w:qFormat/>
    <w:uiPriority w:val="0"/>
    <w:pPr>
      <w:adjustRightInd/>
      <w:spacing w:before="53" w:after="5" w:afterLines="5" w:line="240" w:lineRule="auto"/>
      <w:ind w:firstLine="540" w:firstLineChars="257"/>
      <w:textAlignment w:val="auto"/>
    </w:pPr>
    <w:rPr>
      <w:rFonts w:cs="宋体"/>
      <w:kern w:val="2"/>
    </w:rPr>
  </w:style>
  <w:style w:type="paragraph" w:customStyle="1" w:styleId="184">
    <w:name w:val="样式 样式 样式 段 + 首行缩进:  0.74 厘米 + 首行缩进:  2 字符 + 首行缩进:  2 字符"/>
    <w:basedOn w:val="1"/>
    <w:uiPriority w:val="0"/>
    <w:pPr>
      <w:autoSpaceDE w:val="0"/>
      <w:autoSpaceDN w:val="0"/>
      <w:spacing w:before="53" w:after="5" w:afterLines="5" w:line="360" w:lineRule="auto"/>
      <w:ind w:firstLine="200" w:firstLineChars="200"/>
      <w:textAlignment w:val="auto"/>
    </w:pPr>
    <w:rPr>
      <w:rFonts w:ascii="宋体" w:cs="宋体"/>
    </w:rPr>
  </w:style>
  <w:style w:type="paragraph" w:customStyle="1" w:styleId="185">
    <w:name w:val="二级无标题条"/>
    <w:basedOn w:val="1"/>
    <w:qFormat/>
    <w:uiPriority w:val="0"/>
    <w:pPr>
      <w:numPr>
        <w:ilvl w:val="3"/>
        <w:numId w:val="19"/>
      </w:numPr>
      <w:adjustRightInd/>
      <w:spacing w:before="53" w:after="5" w:afterLines="5" w:line="240" w:lineRule="auto"/>
      <w:textAlignment w:val="auto"/>
    </w:pPr>
    <w:rPr>
      <w:kern w:val="2"/>
      <w:szCs w:val="24"/>
    </w:rPr>
  </w:style>
  <w:style w:type="paragraph" w:customStyle="1" w:styleId="186">
    <w:name w:val="三级无标题条"/>
    <w:basedOn w:val="1"/>
    <w:qFormat/>
    <w:uiPriority w:val="0"/>
    <w:pPr>
      <w:numPr>
        <w:ilvl w:val="4"/>
        <w:numId w:val="19"/>
      </w:numPr>
      <w:adjustRightInd/>
      <w:spacing w:before="53" w:after="5" w:afterLines="5" w:line="240" w:lineRule="auto"/>
      <w:textAlignment w:val="auto"/>
    </w:pPr>
    <w:rPr>
      <w:kern w:val="2"/>
      <w:szCs w:val="24"/>
    </w:rPr>
  </w:style>
  <w:style w:type="paragraph" w:customStyle="1" w:styleId="187">
    <w:name w:val="四级无标题条"/>
    <w:basedOn w:val="1"/>
    <w:qFormat/>
    <w:uiPriority w:val="0"/>
    <w:pPr>
      <w:numPr>
        <w:ilvl w:val="5"/>
        <w:numId w:val="19"/>
      </w:numPr>
      <w:adjustRightInd/>
      <w:spacing w:before="53" w:after="5" w:afterLines="5" w:line="240" w:lineRule="auto"/>
      <w:textAlignment w:val="auto"/>
    </w:pPr>
    <w:rPr>
      <w:kern w:val="2"/>
      <w:szCs w:val="24"/>
    </w:rPr>
  </w:style>
  <w:style w:type="paragraph" w:customStyle="1" w:styleId="188">
    <w:name w:val="五级无标题条"/>
    <w:basedOn w:val="1"/>
    <w:qFormat/>
    <w:uiPriority w:val="0"/>
    <w:pPr>
      <w:numPr>
        <w:ilvl w:val="6"/>
        <w:numId w:val="19"/>
      </w:numPr>
      <w:adjustRightInd/>
      <w:spacing w:before="53" w:after="5" w:afterLines="5" w:line="240" w:lineRule="auto"/>
      <w:textAlignment w:val="auto"/>
    </w:pPr>
    <w:rPr>
      <w:kern w:val="2"/>
      <w:szCs w:val="24"/>
    </w:rPr>
  </w:style>
  <w:style w:type="paragraph" w:customStyle="1" w:styleId="189">
    <w:name w:val="一级无标题条"/>
    <w:basedOn w:val="1"/>
    <w:qFormat/>
    <w:uiPriority w:val="0"/>
    <w:pPr>
      <w:numPr>
        <w:ilvl w:val="2"/>
        <w:numId w:val="19"/>
      </w:numPr>
      <w:adjustRightInd/>
      <w:spacing w:before="53" w:after="5" w:afterLines="5" w:line="240" w:lineRule="auto"/>
      <w:textAlignment w:val="auto"/>
    </w:pPr>
    <w:rPr>
      <w:kern w:val="2"/>
      <w:szCs w:val="24"/>
    </w:rPr>
  </w:style>
  <w:style w:type="character" w:customStyle="1" w:styleId="190">
    <w:name w:val="章标题 Char"/>
    <w:link w:val="84"/>
    <w:qFormat/>
    <w:uiPriority w:val="0"/>
    <w:rPr>
      <w:rFonts w:ascii="黑体" w:eastAsia="黑体"/>
      <w:sz w:val="21"/>
    </w:rPr>
  </w:style>
  <w:style w:type="character" w:customStyle="1" w:styleId="191">
    <w:name w:val="f1411"/>
    <w:uiPriority w:val="0"/>
    <w:rPr>
      <w:rFonts w:hint="default" w:ascii="arial,sans-serif" w:hAnsi="arial,sans-serif"/>
      <w:color w:val="444444"/>
      <w:sz w:val="21"/>
      <w:szCs w:val="21"/>
    </w:rPr>
  </w:style>
  <w:style w:type="paragraph" w:customStyle="1" w:styleId="192">
    <w:name w:val="Table Text"/>
    <w:basedOn w:val="65"/>
    <w:next w:val="65"/>
    <w:uiPriority w:val="0"/>
    <w:pPr>
      <w:spacing w:before="40" w:after="40" w:afterLines="5"/>
    </w:pPr>
    <w:rPr>
      <w:rFonts w:ascii="Arial" w:hAnsi="Arial" w:cs="Times New Roman"/>
      <w:color w:val="auto"/>
    </w:rPr>
  </w:style>
  <w:style w:type="character" w:customStyle="1" w:styleId="193">
    <w:name w:val="批注框文本 字符"/>
    <w:link w:val="29"/>
    <w:qFormat/>
    <w:uiPriority w:val="0"/>
    <w:rPr>
      <w:sz w:val="18"/>
      <w:szCs w:val="18"/>
    </w:rPr>
  </w:style>
  <w:style w:type="paragraph" w:customStyle="1" w:styleId="194">
    <w:name w:val="Char Char Char Char Char Char Char Char Char Char Char Char1 Char Char Char Char Char2 Char Char Char1 Char"/>
    <w:basedOn w:val="1"/>
    <w:uiPriority w:val="0"/>
    <w:pPr>
      <w:adjustRightInd/>
      <w:spacing w:before="53" w:after="5" w:afterLines="5" w:line="240" w:lineRule="auto"/>
      <w:textAlignment w:val="auto"/>
    </w:pPr>
    <w:rPr>
      <w:rFonts w:ascii="Tahoma" w:hAnsi="Tahoma"/>
      <w:kern w:val="2"/>
      <w:sz w:val="24"/>
    </w:rPr>
  </w:style>
  <w:style w:type="character" w:customStyle="1" w:styleId="195">
    <w:name w:val="正文文本 Char"/>
    <w:qFormat/>
    <w:uiPriority w:val="0"/>
    <w:rPr>
      <w:kern w:val="2"/>
      <w:sz w:val="21"/>
      <w:szCs w:val="24"/>
    </w:rPr>
  </w:style>
  <w:style w:type="paragraph" w:customStyle="1" w:styleId="196">
    <w:name w:val="Header Base"/>
    <w:basedOn w:val="1"/>
    <w:qFormat/>
    <w:uiPriority w:val="0"/>
    <w:pPr>
      <w:keepLines/>
      <w:widowControl/>
      <w:tabs>
        <w:tab w:val="center" w:pos="4320"/>
        <w:tab w:val="right" w:pos="8640"/>
      </w:tabs>
      <w:adjustRightInd/>
      <w:spacing w:before="53" w:after="5" w:afterLines="5" w:line="190" w:lineRule="atLeast"/>
      <w:jc w:val="left"/>
      <w:textAlignment w:val="auto"/>
    </w:pPr>
    <w:rPr>
      <w:caps/>
      <w:sz w:val="15"/>
      <w:lang w:eastAsia="en-US"/>
    </w:rPr>
  </w:style>
  <w:style w:type="character" w:customStyle="1" w:styleId="197">
    <w:name w:val="副标题 Char"/>
    <w:qFormat/>
    <w:uiPriority w:val="0"/>
    <w:rPr>
      <w:rFonts w:ascii="Arial" w:hAnsi="Arial" w:eastAsia="宋体"/>
      <w:spacing w:val="-16"/>
      <w:kern w:val="28"/>
      <w:sz w:val="32"/>
      <w:lang w:val="en-US" w:eastAsia="en-US" w:bidi="ar-SA"/>
    </w:rPr>
  </w:style>
  <w:style w:type="character" w:customStyle="1" w:styleId="198">
    <w:name w:val="副标题 字符"/>
    <w:link w:val="37"/>
    <w:qFormat/>
    <w:uiPriority w:val="0"/>
    <w:rPr>
      <w:rFonts w:ascii="Arial" w:hAnsi="Arial"/>
      <w:spacing w:val="-16"/>
      <w:kern w:val="28"/>
      <w:sz w:val="32"/>
      <w:lang w:val="zh-CN" w:eastAsia="en-US"/>
    </w:rPr>
  </w:style>
  <w:style w:type="paragraph" w:customStyle="1" w:styleId="199">
    <w:name w:val="1"/>
    <w:qFormat/>
    <w:uiPriority w:val="0"/>
    <w:pPr>
      <w:widowControl w:val="0"/>
      <w:autoSpaceDE w:val="0"/>
      <w:autoSpaceDN w:val="0"/>
      <w:adjustRightInd w:val="0"/>
      <w:spacing w:before="53" w:after="5" w:afterLines="5"/>
    </w:pPr>
    <w:rPr>
      <w:rFonts w:ascii="Arial" w:hAnsi="Arial" w:eastAsia="宋体" w:cs="Times New Roman"/>
      <w:color w:val="000000"/>
      <w:sz w:val="24"/>
      <w:szCs w:val="24"/>
      <w:lang w:val="en-US" w:eastAsia="zh-CN" w:bidi="ar-SA"/>
    </w:rPr>
  </w:style>
  <w:style w:type="character" w:customStyle="1" w:styleId="200">
    <w:name w:val="标题 字符"/>
    <w:link w:val="47"/>
    <w:uiPriority w:val="0"/>
    <w:rPr>
      <w:rFonts w:ascii="Cambria" w:hAnsi="Cambria"/>
      <w:b/>
      <w:bCs/>
      <w:sz w:val="32"/>
      <w:szCs w:val="32"/>
    </w:rPr>
  </w:style>
  <w:style w:type="paragraph" w:customStyle="1" w:styleId="201">
    <w:name w:val="a0"/>
    <w:basedOn w:val="1"/>
    <w:qFormat/>
    <w:uiPriority w:val="0"/>
    <w:pPr>
      <w:widowControl/>
      <w:adjustRightInd/>
      <w:spacing w:before="100" w:beforeAutospacing="1" w:after="100" w:afterLines="5" w:afterAutospacing="1" w:line="240" w:lineRule="auto"/>
      <w:jc w:val="left"/>
      <w:textAlignment w:val="auto"/>
    </w:pPr>
    <w:rPr>
      <w:rFonts w:ascii="宋体" w:hAnsi="宋体" w:cs="宋体"/>
      <w:sz w:val="24"/>
      <w:szCs w:val="24"/>
    </w:rPr>
  </w:style>
  <w:style w:type="paragraph" w:customStyle="1" w:styleId="202">
    <w:name w:val="tabletext"/>
    <w:basedOn w:val="1"/>
    <w:qFormat/>
    <w:uiPriority w:val="0"/>
    <w:pPr>
      <w:widowControl/>
      <w:adjustRightInd/>
      <w:spacing w:before="100" w:beforeAutospacing="1" w:after="100" w:afterLines="5" w:afterAutospacing="1" w:line="240" w:lineRule="auto"/>
      <w:jc w:val="left"/>
      <w:textAlignment w:val="auto"/>
    </w:pPr>
    <w:rPr>
      <w:rFonts w:ascii="宋体" w:hAnsi="宋体" w:cs="宋体"/>
      <w:sz w:val="24"/>
      <w:szCs w:val="24"/>
    </w:rPr>
  </w:style>
  <w:style w:type="paragraph" w:customStyle="1" w:styleId="203">
    <w:name w:val="default"/>
    <w:basedOn w:val="1"/>
    <w:qFormat/>
    <w:uiPriority w:val="0"/>
    <w:pPr>
      <w:widowControl/>
      <w:adjustRightInd/>
      <w:spacing w:before="53" w:after="5" w:afterLines="5" w:line="240" w:lineRule="auto"/>
      <w:jc w:val="left"/>
      <w:textAlignment w:val="auto"/>
    </w:pPr>
    <w:rPr>
      <w:rFonts w:ascii="Arial" w:hAnsi="Arial" w:cs="Arial"/>
      <w:color w:val="000000"/>
      <w:sz w:val="24"/>
      <w:szCs w:val="24"/>
    </w:rPr>
  </w:style>
  <w:style w:type="character" w:customStyle="1" w:styleId="204">
    <w:name w:val="页脚 字符"/>
    <w:link w:val="30"/>
    <w:qFormat/>
    <w:uiPriority w:val="0"/>
    <w:rPr>
      <w:sz w:val="18"/>
    </w:rPr>
  </w:style>
  <w:style w:type="character" w:customStyle="1" w:styleId="205">
    <w:name w:val="批注文字 字符"/>
    <w:link w:val="17"/>
    <w:qFormat/>
    <w:uiPriority w:val="0"/>
    <w:rPr>
      <w:kern w:val="2"/>
      <w:sz w:val="21"/>
      <w:szCs w:val="24"/>
      <w:lang w:val="zh-CN" w:eastAsia="zh-CN"/>
    </w:rPr>
  </w:style>
  <w:style w:type="character" w:customStyle="1" w:styleId="206">
    <w:name w:val="批注主题 字符"/>
    <w:link w:val="48"/>
    <w:qFormat/>
    <w:uiPriority w:val="0"/>
    <w:rPr>
      <w:b/>
      <w:bCs/>
      <w:kern w:val="2"/>
      <w:sz w:val="21"/>
      <w:szCs w:val="24"/>
      <w:lang w:val="zh-CN" w:eastAsia="zh-CN"/>
    </w:rPr>
  </w:style>
  <w:style w:type="paragraph" w:customStyle="1" w:styleId="207">
    <w:name w:val="Char Char Char Char Char Char Char Char Char Char Char Char1 Char Char Char Char Char2"/>
    <w:basedOn w:val="1"/>
    <w:uiPriority w:val="0"/>
    <w:pPr>
      <w:adjustRightInd/>
      <w:spacing w:before="53" w:after="5" w:afterLines="5" w:line="240" w:lineRule="auto"/>
      <w:textAlignment w:val="auto"/>
    </w:pPr>
    <w:rPr>
      <w:rFonts w:ascii="Tahoma" w:hAnsi="Tahoma"/>
      <w:kern w:val="2"/>
      <w:sz w:val="24"/>
    </w:rPr>
  </w:style>
  <w:style w:type="character" w:customStyle="1" w:styleId="208">
    <w:name w:val="标题 1 字符"/>
    <w:link w:val="2"/>
    <w:qFormat/>
    <w:uiPriority w:val="0"/>
    <w:rPr>
      <w:b/>
      <w:bCs/>
      <w:kern w:val="44"/>
      <w:sz w:val="44"/>
      <w:szCs w:val="44"/>
    </w:rPr>
  </w:style>
  <w:style w:type="paragraph" w:customStyle="1" w:styleId="209">
    <w:name w:val="列出段落1"/>
    <w:basedOn w:val="1"/>
    <w:qFormat/>
    <w:uiPriority w:val="0"/>
    <w:pPr>
      <w:widowControl/>
      <w:adjustRightInd/>
      <w:spacing w:before="53" w:after="60" w:afterLines="5" w:line="240" w:lineRule="auto"/>
      <w:ind w:left="720"/>
      <w:contextualSpacing/>
      <w:jc w:val="left"/>
      <w:textAlignment w:val="auto"/>
    </w:pPr>
    <w:rPr>
      <w:sz w:val="24"/>
      <w:lang w:eastAsia="ja-JP"/>
    </w:rPr>
  </w:style>
  <w:style w:type="character" w:customStyle="1" w:styleId="210">
    <w:name w:val="一级条标题 Char"/>
    <w:link w:val="81"/>
    <w:qFormat/>
    <w:uiPriority w:val="0"/>
    <w:rPr>
      <w:rFonts w:ascii="黑体" w:eastAsia="黑体"/>
      <w:sz w:val="21"/>
      <w:szCs w:val="21"/>
    </w:rPr>
  </w:style>
  <w:style w:type="character" w:customStyle="1" w:styleId="211">
    <w:name w:val="apple-style-span"/>
    <w:basedOn w:val="52"/>
    <w:uiPriority w:val="0"/>
  </w:style>
  <w:style w:type="paragraph" w:customStyle="1" w:styleId="212">
    <w:name w:val="无标题条"/>
    <w:next w:val="1"/>
    <w:qFormat/>
    <w:uiPriority w:val="0"/>
    <w:pPr>
      <w:jc w:val="both"/>
    </w:pPr>
    <w:rPr>
      <w:rFonts w:ascii="Times New Roman" w:hAnsi="Times New Roman" w:eastAsia="宋体" w:cs="Times New Roman"/>
      <w:sz w:val="21"/>
      <w:lang w:val="en-US" w:eastAsia="zh-CN" w:bidi="ar-SA"/>
    </w:rPr>
  </w:style>
  <w:style w:type="paragraph" w:customStyle="1" w:styleId="213">
    <w:name w:val="默认段落字体 Para Char Char Char Char Char Char Char Char Char Char Char Char"/>
    <w:basedOn w:val="16"/>
    <w:qFormat/>
    <w:uiPriority w:val="0"/>
    <w:pPr>
      <w:spacing w:line="436" w:lineRule="exact"/>
      <w:ind w:left="357"/>
      <w:jc w:val="left"/>
      <w:textAlignment w:val="auto"/>
      <w:outlineLvl w:val="3"/>
    </w:pPr>
    <w:rPr>
      <w:rFonts w:ascii="Tahoma" w:hAnsi="Tahoma"/>
      <w:b/>
      <w:kern w:val="2"/>
      <w:sz w:val="24"/>
      <w:szCs w:val="24"/>
    </w:rPr>
  </w:style>
  <w:style w:type="paragraph" w:customStyle="1" w:styleId="214">
    <w:name w:val="默认段落字体 Para Char"/>
    <w:basedOn w:val="1"/>
    <w:qFormat/>
    <w:uiPriority w:val="0"/>
    <w:pPr>
      <w:keepNext/>
      <w:tabs>
        <w:tab w:val="left" w:pos="5040"/>
      </w:tabs>
      <w:autoSpaceDE w:val="0"/>
      <w:autoSpaceDN w:val="0"/>
      <w:spacing w:line="240" w:lineRule="auto"/>
      <w:ind w:left="5040" w:hanging="360"/>
      <w:jc w:val="left"/>
      <w:textAlignment w:val="auto"/>
    </w:pPr>
    <w:rPr>
      <w:rFonts w:eastAsia="Times New Roman"/>
      <w:sz w:val="20"/>
    </w:rPr>
  </w:style>
  <w:style w:type="paragraph" w:customStyle="1" w:styleId="215">
    <w:name w:val="Char3 Char Char Char"/>
    <w:basedOn w:val="1"/>
    <w:qFormat/>
    <w:uiPriority w:val="0"/>
    <w:pPr>
      <w:tabs>
        <w:tab w:val="left" w:pos="794"/>
        <w:tab w:val="left" w:pos="1191"/>
        <w:tab w:val="left" w:pos="1588"/>
        <w:tab w:val="left" w:pos="1985"/>
      </w:tabs>
      <w:autoSpaceDE w:val="0"/>
      <w:autoSpaceDN w:val="0"/>
      <w:spacing w:before="136" w:line="240" w:lineRule="auto"/>
      <w:textAlignment w:val="auto"/>
    </w:pPr>
    <w:rPr>
      <w:rFonts w:ascii="Tahoma" w:hAnsi="Tahoma"/>
      <w:sz w:val="24"/>
      <w:lang w:val="en-GB"/>
    </w:rPr>
  </w:style>
  <w:style w:type="character" w:customStyle="1" w:styleId="216">
    <w:name w:val="css2"/>
    <w:uiPriority w:val="0"/>
    <w:rPr>
      <w:lang w:eastAsia="zh-CN" w:bidi="ar-SA"/>
    </w:rPr>
  </w:style>
  <w:style w:type="character" w:customStyle="1" w:styleId="217">
    <w:name w:val="正文文本缩进 3 字符"/>
    <w:link w:val="40"/>
    <w:qFormat/>
    <w:uiPriority w:val="0"/>
    <w:rPr>
      <w:kern w:val="2"/>
      <w:sz w:val="16"/>
      <w:szCs w:val="16"/>
    </w:rPr>
  </w:style>
  <w:style w:type="character" w:customStyle="1" w:styleId="218">
    <w:name w:val="正文文本缩进 字符"/>
    <w:link w:val="20"/>
    <w:qFormat/>
    <w:uiPriority w:val="0"/>
    <w:rPr>
      <w:kern w:val="2"/>
      <w:sz w:val="21"/>
      <w:szCs w:val="24"/>
    </w:rPr>
  </w:style>
  <w:style w:type="character" w:customStyle="1" w:styleId="219">
    <w:name w:val="二级条标题 Char Char"/>
    <w:link w:val="85"/>
    <w:qFormat/>
    <w:uiPriority w:val="0"/>
    <w:rPr>
      <w:rFonts w:ascii="黑体" w:eastAsia="黑体"/>
      <w:sz w:val="21"/>
      <w:szCs w:val="21"/>
      <w:lang w:val="zh-CN" w:eastAsia="zh-CN"/>
    </w:rPr>
  </w:style>
  <w:style w:type="character" w:customStyle="1" w:styleId="220">
    <w:name w:val="正文文本 字符"/>
    <w:link w:val="19"/>
    <w:qFormat/>
    <w:uiPriority w:val="0"/>
    <w:rPr>
      <w:sz w:val="21"/>
    </w:rPr>
  </w:style>
  <w:style w:type="character" w:customStyle="1" w:styleId="221">
    <w:name w:val="正文文本首行缩进 字符"/>
    <w:link w:val="49"/>
    <w:uiPriority w:val="0"/>
    <w:rPr>
      <w:kern w:val="2"/>
      <w:sz w:val="21"/>
      <w:szCs w:val="24"/>
      <w:lang w:val="zh-CN" w:eastAsia="zh-CN"/>
    </w:rPr>
  </w:style>
  <w:style w:type="paragraph" w:customStyle="1" w:styleId="222">
    <w:name w:val="TOC 标题1"/>
    <w:basedOn w:val="2"/>
    <w:next w:val="1"/>
    <w:unhideWhenUsed/>
    <w:qFormat/>
    <w:uiPriority w:val="39"/>
    <w:pPr>
      <w:widowControl/>
      <w:adjustRightInd/>
      <w:spacing w:before="240" w:after="0" w:line="259" w:lineRule="auto"/>
      <w:jc w:val="left"/>
      <w:textAlignment w:val="auto"/>
      <w:outlineLvl w:val="9"/>
    </w:pPr>
    <w:rPr>
      <w:rFonts w:ascii="Calibri Light" w:hAnsi="Calibri Light"/>
      <w:b w:val="0"/>
      <w:bCs w:val="0"/>
      <w:color w:val="2E74B5"/>
      <w:kern w:val="0"/>
      <w:sz w:val="32"/>
      <w:szCs w:val="32"/>
    </w:rPr>
  </w:style>
  <w:style w:type="paragraph" w:styleId="2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D307B-D6C7-432D-82A8-B902D1CE6E81}">
  <ds:schemaRefs/>
</ds:datastoreItem>
</file>

<file path=docProps/app.xml><?xml version="1.0" encoding="utf-8"?>
<Properties xmlns="http://schemas.openxmlformats.org/officeDocument/2006/extended-properties" xmlns:vt="http://schemas.openxmlformats.org/officeDocument/2006/docPropsVTypes">
  <Template>Normal.dotm</Template>
  <Pages>40</Pages>
  <Words>4614</Words>
  <Characters>26303</Characters>
  <Lines>219</Lines>
  <Paragraphs>61</Paragraphs>
  <TotalTime>4</TotalTime>
  <ScaleCrop>false</ScaleCrop>
  <LinksUpToDate>false</LinksUpToDate>
  <CharactersWithSpaces>30856</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2019-08-19T03:14:00Z</dcterms:created>
  <dc:creator>Administrator</dc:creator>
  <cp:lastModifiedBy>李洪栋-网研院</cp:lastModifiedBy>
  <cp:lastPrinted>2019-01-25T05:52:00Z</cp:lastPrinted>
  <dcterms:modified xsi:type="dcterms:W3CDTF">2021-03-25T00:59:16Z</dcterms:modified>
  <dc:title>          </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