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rPr>
          <w:rFonts w:ascii="宋体_GB2312" w:hAnsi="宋体_GB2312" w:eastAsia="宋体_GB2312"/>
          <w:b/>
          <w:sz w:val="44"/>
        </w:rPr>
      </w:pPr>
      <w:bookmarkStart w:id="0" w:name="_Toc391838470"/>
      <w:bookmarkStart w:id="1" w:name="_Toc392577360"/>
      <w:bookmarkStart w:id="2" w:name="_Toc397252471"/>
      <w:bookmarkStart w:id="3" w:name="_Toc393450683"/>
      <w:bookmarkStart w:id="4" w:name="_Toc392577700"/>
      <w:bookmarkStart w:id="5" w:name="_Toc391843501"/>
      <w:bookmarkStart w:id="6" w:name="_Toc391830102"/>
      <w:bookmarkStart w:id="7" w:name="_Toc392576778"/>
      <w:bookmarkStart w:id="8" w:name="_Toc391837933"/>
      <w:bookmarkStart w:id="9" w:name="_Toc393099848"/>
      <w:bookmarkStart w:id="10" w:name="_Toc397252720"/>
      <w:bookmarkStart w:id="11" w:name="_Toc392578715"/>
      <w:bookmarkStart w:id="12" w:name="_Toc392577019"/>
      <w:bookmarkStart w:id="13" w:name="_Toc392578075"/>
      <w:bookmarkStart w:id="14" w:name="_Toc396658834"/>
      <w:bookmarkStart w:id="15" w:name="_Toc396654705"/>
      <w:bookmarkStart w:id="16" w:name="_Toc392576922"/>
      <w:bookmarkStart w:id="17" w:name="_Toc392061941"/>
      <w:bookmarkStart w:id="18" w:name="_Toc396611843"/>
      <w:bookmarkStart w:id="19" w:name="_Toc391837775"/>
      <w:bookmarkStart w:id="20" w:name="_Toc397227853"/>
      <w:bookmarkStart w:id="21" w:name="_Toc396789687"/>
      <w:bookmarkStart w:id="22" w:name="_Toc391804186"/>
      <w:bookmarkStart w:id="23" w:name="_Toc396728149"/>
      <w:bookmarkStart w:id="24" w:name="_Toc393275889"/>
      <w:bookmarkStart w:id="25" w:name="_Toc396741524"/>
      <w:bookmarkStart w:id="26" w:name="_Toc396658964"/>
      <w:bookmarkStart w:id="27" w:name="_Toc396655014"/>
      <w:bookmarkStart w:id="28" w:name="_Toc392580172"/>
      <w:bookmarkStart w:id="29" w:name="_Toc396534601"/>
      <w:bookmarkStart w:id="30" w:name="_Toc409516523"/>
    </w:p>
    <w:p>
      <w:pPr>
        <w:ind w:firstLine="883"/>
        <w:rPr>
          <w:rFonts w:ascii="宋体_GB2312" w:hAnsi="宋体_GB2312" w:eastAsia="宋体_GB2312"/>
          <w:b/>
          <w:sz w:val="44"/>
        </w:rPr>
      </w:pPr>
    </w:p>
    <w:p>
      <w:pPr>
        <w:spacing w:line="360" w:lineRule="atLeast"/>
        <w:ind w:firstLine="0" w:firstLineChars="0"/>
        <w:jc w:val="center"/>
        <w:rPr>
          <w:rFonts w:ascii="宋体_GB2312" w:hAnsi="宋体_GB2312" w:eastAsia="宋体_GB2312"/>
          <w:b/>
          <w:sz w:val="36"/>
          <w:szCs w:val="36"/>
        </w:rPr>
      </w:pPr>
      <w:bookmarkStart w:id="31" w:name="_Toc230328798"/>
      <w:bookmarkStart w:id="32" w:name="_Toc229801955"/>
      <w:r>
        <w:rPr>
          <w:rFonts w:hint="eastAsia" w:ascii="宋体_GB2312" w:hAnsi="宋体_GB2312" w:eastAsia="宋体_GB2312"/>
          <w:b/>
          <w:sz w:val="36"/>
          <w:szCs w:val="36"/>
          <w:lang w:val="en-US"/>
        </w:rPr>
        <w:t>中国联通平面光波导型分光器（PLC）技术规范书（2020版）</w:t>
      </w:r>
    </w:p>
    <w:bookmarkEnd w:id="31"/>
    <w:bookmarkEnd w:id="32"/>
    <w:p>
      <w:pPr>
        <w:spacing w:line="360" w:lineRule="atLeast"/>
        <w:ind w:firstLine="0" w:firstLineChars="0"/>
        <w:jc w:val="center"/>
        <w:rPr>
          <w:rFonts w:ascii="宋体_GB2312" w:hAnsi="宋体_GB2312" w:eastAsia="宋体_GB2312"/>
          <w:b/>
          <w:sz w:val="36"/>
          <w:szCs w:val="36"/>
        </w:rPr>
      </w:pPr>
    </w:p>
    <w:p>
      <w:pPr>
        <w:spacing w:line="360" w:lineRule="atLeast"/>
        <w:ind w:firstLine="0" w:firstLineChars="0"/>
        <w:jc w:val="center"/>
        <w:rPr>
          <w:rFonts w:ascii="宋体_GB2312" w:hAnsi="宋体_GB2312" w:eastAsia="宋体_GB2312"/>
          <w:b/>
          <w:sz w:val="36"/>
          <w:szCs w:val="36"/>
        </w:rPr>
      </w:pPr>
    </w:p>
    <w:p>
      <w:pPr>
        <w:ind w:firstLine="723"/>
        <w:rPr>
          <w:rFonts w:ascii="宋体_GB2312" w:hAnsi="宋体_GB2312" w:eastAsia="宋体_GB2312"/>
          <w:b/>
          <w:sz w:val="36"/>
          <w:szCs w:val="36"/>
        </w:rPr>
      </w:pPr>
    </w:p>
    <w:p>
      <w:pPr>
        <w:ind w:firstLine="723"/>
        <w:rPr>
          <w:rFonts w:ascii="宋体_GB2312" w:hAnsi="宋体_GB2312" w:eastAsia="宋体_GB2312"/>
          <w:b/>
          <w:sz w:val="36"/>
          <w:szCs w:val="36"/>
        </w:rPr>
      </w:pPr>
    </w:p>
    <w:p>
      <w:pPr>
        <w:ind w:firstLine="883"/>
        <w:rPr>
          <w:rFonts w:ascii="宋体_GB2312" w:hAnsi="宋体_GB2312" w:eastAsia="宋体_GB2312"/>
          <w:b/>
          <w:sz w:val="44"/>
        </w:rPr>
      </w:pPr>
    </w:p>
    <w:p>
      <w:pPr>
        <w:ind w:firstLine="883"/>
        <w:rPr>
          <w:rFonts w:ascii="宋体_GB2312" w:hAnsi="宋体_GB2312" w:eastAsia="宋体_GB2312"/>
          <w:b/>
          <w:sz w:val="44"/>
        </w:rPr>
      </w:pPr>
    </w:p>
    <w:p>
      <w:pPr>
        <w:ind w:firstLine="723"/>
        <w:jc w:val="center"/>
        <w:rPr>
          <w:rFonts w:ascii="宋体_GB2312" w:hAnsi="宋体_GB2312" w:eastAsia="宋体_GB2312"/>
          <w:b/>
          <w:sz w:val="36"/>
        </w:rPr>
      </w:pPr>
    </w:p>
    <w:p>
      <w:pPr>
        <w:ind w:firstLine="883"/>
        <w:rPr>
          <w:rFonts w:ascii="宋体_GB2312" w:hAnsi="宋体_GB2312" w:eastAsia="宋体_GB2312"/>
          <w:b/>
          <w:sz w:val="44"/>
        </w:rPr>
      </w:pPr>
    </w:p>
    <w:p>
      <w:pPr>
        <w:ind w:firstLine="883"/>
        <w:rPr>
          <w:rFonts w:ascii="宋体_GB2312" w:hAnsi="宋体_GB2312" w:eastAsia="宋体_GB2312"/>
          <w:b/>
          <w:sz w:val="44"/>
        </w:rPr>
      </w:pPr>
    </w:p>
    <w:p>
      <w:pPr>
        <w:ind w:firstLine="883"/>
        <w:rPr>
          <w:rFonts w:ascii="宋体_GB2312" w:hAnsi="宋体_GB2312" w:eastAsia="宋体_GB2312"/>
          <w:b/>
          <w:sz w:val="44"/>
        </w:rPr>
      </w:pPr>
    </w:p>
    <w:p>
      <w:pPr>
        <w:ind w:firstLine="883"/>
        <w:rPr>
          <w:rFonts w:ascii="宋体_GB2312" w:hAnsi="宋体_GB2312" w:eastAsia="宋体_GB2312"/>
          <w:b/>
          <w:sz w:val="44"/>
        </w:rPr>
      </w:pPr>
    </w:p>
    <w:p>
      <w:pPr>
        <w:spacing w:line="360" w:lineRule="atLeast"/>
        <w:ind w:firstLine="0" w:firstLineChars="0"/>
        <w:jc w:val="center"/>
        <w:rPr>
          <w:rFonts w:ascii="宋体_GB2312" w:hAnsi="宋体_GB2312" w:eastAsia="宋体_GB2312"/>
          <w:b/>
          <w:sz w:val="36"/>
          <w:szCs w:val="36"/>
        </w:rPr>
      </w:pPr>
      <w:r>
        <w:rPr>
          <w:rFonts w:hint="eastAsia" w:ascii="宋体_GB2312" w:hAnsi="宋体_GB2312" w:eastAsia="宋体_GB2312"/>
          <w:b/>
          <w:sz w:val="36"/>
          <w:szCs w:val="36"/>
        </w:rPr>
        <w:t>中国联合网络通信有限公司</w:t>
      </w:r>
    </w:p>
    <w:p>
      <w:pPr>
        <w:pStyle w:val="81"/>
        <w:rPr>
          <w:rFonts w:ascii="宋体_GB2312" w:hAnsi="宋体_GB2312" w:eastAsia="宋体_GB2312"/>
          <w:b/>
          <w:sz w:val="44"/>
          <w:szCs w:val="44"/>
        </w:rPr>
      </w:pPr>
    </w:p>
    <w:p>
      <w:pPr>
        <w:pStyle w:val="81"/>
        <w:rPr>
          <w:rFonts w:ascii="宋体_GB2312" w:hAnsi="宋体_GB2312" w:eastAsia="宋体_GB2312"/>
          <w:b/>
          <w:sz w:val="36"/>
          <w:szCs w:val="36"/>
        </w:rPr>
      </w:pPr>
      <w:r>
        <w:rPr>
          <w:rFonts w:ascii="宋体_GB2312" w:hAnsi="宋体_GB2312" w:eastAsia="宋体_GB2312"/>
          <w:b/>
          <w:sz w:val="36"/>
          <w:szCs w:val="36"/>
        </w:rPr>
        <w:t>202</w:t>
      </w:r>
      <w:r>
        <w:rPr>
          <w:rFonts w:hint="eastAsia" w:ascii="宋体_GB2312" w:hAnsi="宋体_GB2312" w:eastAsia="宋体_GB2312"/>
          <w:b/>
          <w:sz w:val="36"/>
          <w:szCs w:val="36"/>
          <w:lang w:val="en-US" w:eastAsia="zh-CN"/>
        </w:rPr>
        <w:t>1</w:t>
      </w:r>
      <w:r>
        <w:rPr>
          <w:rFonts w:ascii="宋体_GB2312" w:hAnsi="宋体_GB2312" w:eastAsia="宋体_GB2312"/>
          <w:b/>
          <w:sz w:val="36"/>
          <w:szCs w:val="36"/>
        </w:rPr>
        <w:t>年</w:t>
      </w:r>
      <w:r>
        <w:rPr>
          <w:rFonts w:hint="eastAsia" w:ascii="宋体_GB2312" w:hAnsi="宋体_GB2312" w:eastAsia="宋体_GB2312"/>
          <w:b/>
          <w:sz w:val="36"/>
          <w:szCs w:val="36"/>
          <w:lang w:val="en-US" w:eastAsia="zh-CN"/>
        </w:rPr>
        <w:t>2</w:t>
      </w:r>
      <w:r>
        <w:rPr>
          <w:rFonts w:hint="eastAsia" w:ascii="宋体_GB2312" w:hAnsi="宋体_GB2312" w:eastAsia="宋体_GB2312"/>
          <w:b/>
          <w:sz w:val="36"/>
          <w:szCs w:val="36"/>
        </w:rPr>
        <w:t>月</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Pr>
        <w:jc w:val="center"/>
        <w:rPr>
          <w:rFonts w:ascii="宋体_GB2312" w:hAnsi="宋体_GB2312" w:eastAsia="宋体_GB2312"/>
        </w:rPr>
        <w:sectPr>
          <w:footerReference r:id="rId5" w:type="first"/>
          <w:footerReference r:id="rId3" w:type="default"/>
          <w:footerReference r:id="rId4" w:type="even"/>
          <w:pgSz w:w="11907" w:h="16840"/>
          <w:pgMar w:top="1701" w:right="1418" w:bottom="1418" w:left="1985" w:header="1134" w:footer="851" w:gutter="0"/>
          <w:pgNumType w:fmt="lowerRoman"/>
          <w:cols w:space="720" w:num="1"/>
        </w:sectPr>
      </w:pPr>
    </w:p>
    <w:p>
      <w:pPr>
        <w:pStyle w:val="27"/>
        <w:rPr>
          <w:rFonts w:ascii="宋体_GB2312" w:hAnsi="宋体_GB2312" w:eastAsia="宋体_GB2312"/>
          <w:szCs w:val="24"/>
        </w:rPr>
      </w:pPr>
      <w:r>
        <w:rPr>
          <w:rFonts w:hint="eastAsia" w:ascii="宋体_GB2312" w:hAnsi="宋体_GB2312" w:eastAsia="宋体_GB2312"/>
          <w:szCs w:val="24"/>
        </w:rPr>
        <w:t>目</w:t>
      </w:r>
      <w:r>
        <w:rPr>
          <w:rFonts w:ascii="宋体_GB2312" w:hAnsi="宋体_GB2312" w:eastAsia="宋体_GB2312"/>
          <w:szCs w:val="24"/>
        </w:rPr>
        <w:t xml:space="preserve">   </w:t>
      </w:r>
      <w:r>
        <w:rPr>
          <w:rFonts w:hint="eastAsia" w:ascii="宋体_GB2312" w:hAnsi="宋体_GB2312" w:eastAsia="宋体_GB2312"/>
          <w:szCs w:val="24"/>
        </w:rPr>
        <w:t>录</w:t>
      </w:r>
    </w:p>
    <w:p>
      <w:pPr>
        <w:pStyle w:val="27"/>
        <w:tabs>
          <w:tab w:val="right" w:leader="dot" w:pos="8504"/>
          <w:tab w:val="clear" w:pos="8494"/>
        </w:tabs>
      </w:pPr>
      <w:r>
        <w:rPr>
          <w:rStyle w:val="41"/>
          <w:rFonts w:ascii="宋体_GB2312" w:hAnsi="宋体_GB2312" w:eastAsia="宋体_GB2312"/>
          <w:b w:val="0"/>
          <w:sz w:val="20"/>
          <w:szCs w:val="20"/>
          <w:lang w:val="en-US"/>
        </w:rPr>
        <w:fldChar w:fldCharType="begin"/>
      </w:r>
      <w:r>
        <w:rPr>
          <w:rStyle w:val="41"/>
          <w:rFonts w:ascii="宋体_GB2312" w:hAnsi="宋体_GB2312" w:eastAsia="宋体_GB2312"/>
          <w:b w:val="0"/>
          <w:sz w:val="20"/>
          <w:szCs w:val="20"/>
          <w:lang w:val="en-US"/>
        </w:rPr>
        <w:instrText xml:space="preserve"> TOC \o "1-2" \h \z \u </w:instrText>
      </w:r>
      <w:r>
        <w:rPr>
          <w:rStyle w:val="41"/>
          <w:rFonts w:ascii="宋体_GB2312" w:hAnsi="宋体_GB2312" w:eastAsia="宋体_GB2312"/>
          <w:b w:val="0"/>
          <w:sz w:val="20"/>
          <w:szCs w:val="20"/>
          <w:lang w:val="en-US"/>
        </w:rPr>
        <w:fldChar w:fldCharType="separate"/>
      </w: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_Toc26090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1</w:t>
      </w:r>
      <w:r>
        <w:rPr>
          <w:rFonts w:hint="eastAsia" w:ascii="宋体_GB2312" w:hAnsi="宋体_GB2312" w:eastAsia="宋体_GB2312"/>
          <w:szCs w:val="24"/>
          <w:lang w:val="en-US"/>
        </w:rPr>
        <w:t>概述</w:t>
      </w:r>
      <w:r>
        <w:tab/>
      </w:r>
      <w:r>
        <w:fldChar w:fldCharType="begin"/>
      </w:r>
      <w:r>
        <w:instrText xml:space="preserve"> PAGEREF _Toc26090 </w:instrText>
      </w:r>
      <w:r>
        <w:fldChar w:fldCharType="separate"/>
      </w:r>
      <w:r>
        <w:t>11</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_Toc30739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2</w:t>
      </w:r>
      <w:r>
        <w:rPr>
          <w:rFonts w:hint="eastAsia" w:ascii="宋体_GB2312" w:hAnsi="宋体_GB2312" w:eastAsia="宋体_GB2312"/>
          <w:szCs w:val="24"/>
          <w:lang w:val="en-US"/>
        </w:rPr>
        <w:t>类型及定义</w:t>
      </w:r>
      <w:r>
        <w:tab/>
      </w:r>
      <w:r>
        <w:fldChar w:fldCharType="begin"/>
      </w:r>
      <w:r>
        <w:instrText xml:space="preserve"> PAGEREF _Toc30739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_Toc26288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2.1</w:t>
      </w:r>
      <w:r>
        <w:rPr>
          <w:rFonts w:hint="eastAsia" w:ascii="宋体_GB2312" w:hAnsi="宋体_GB2312" w:eastAsia="宋体_GB2312"/>
          <w:kern w:val="0"/>
          <w:szCs w:val="32"/>
          <w:lang w:val="en-US"/>
        </w:rPr>
        <w:t>按工作带宽分类</w:t>
      </w:r>
      <w:r>
        <w:tab/>
      </w:r>
      <w:r>
        <w:fldChar w:fldCharType="begin"/>
      </w:r>
      <w:r>
        <w:instrText xml:space="preserve"> PAGEREF _Toc26288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_Toc8319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2.2</w:t>
      </w:r>
      <w:r>
        <w:rPr>
          <w:rFonts w:hint="eastAsia" w:ascii="宋体_GB2312" w:hAnsi="宋体_GB2312" w:eastAsia="宋体_GB2312"/>
          <w:kern w:val="0"/>
          <w:szCs w:val="32"/>
          <w:lang w:val="en-US"/>
        </w:rPr>
        <w:t>按输入</w:t>
      </w:r>
      <w:r>
        <w:rPr>
          <w:rFonts w:ascii="宋体_GB2312" w:hAnsi="宋体_GB2312" w:eastAsia="宋体_GB2312"/>
          <w:kern w:val="0"/>
          <w:szCs w:val="32"/>
          <w:lang w:val="en-US"/>
        </w:rPr>
        <w:t>/输出</w:t>
      </w:r>
      <w:r>
        <w:rPr>
          <w:rFonts w:hint="eastAsia" w:ascii="宋体_GB2312" w:hAnsi="宋体_GB2312" w:eastAsia="宋体_GB2312"/>
          <w:kern w:val="0"/>
          <w:szCs w:val="32"/>
          <w:lang w:val="en-US"/>
        </w:rPr>
        <w:t>端口</w:t>
      </w:r>
      <w:r>
        <w:rPr>
          <w:rFonts w:ascii="宋体_GB2312" w:hAnsi="宋体_GB2312" w:eastAsia="宋体_GB2312"/>
          <w:kern w:val="0"/>
          <w:szCs w:val="32"/>
          <w:lang w:val="en-US"/>
        </w:rPr>
        <w:t>数</w:t>
      </w:r>
      <w:r>
        <w:rPr>
          <w:rFonts w:hint="eastAsia" w:ascii="宋体_GB2312" w:hAnsi="宋体_GB2312" w:eastAsia="宋体_GB2312"/>
          <w:kern w:val="0"/>
          <w:szCs w:val="32"/>
          <w:lang w:val="en-US"/>
        </w:rPr>
        <w:t>分类</w:t>
      </w:r>
      <w:r>
        <w:tab/>
      </w:r>
      <w:r>
        <w:fldChar w:fldCharType="begin"/>
      </w:r>
      <w:r>
        <w:instrText xml:space="preserve"> PAGEREF _Toc8319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_Toc17231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2.3</w:t>
      </w:r>
      <w:r>
        <w:rPr>
          <w:rFonts w:hint="eastAsia" w:ascii="宋体_GB2312" w:hAnsi="宋体_GB2312" w:eastAsia="宋体_GB2312"/>
          <w:kern w:val="0"/>
          <w:szCs w:val="32"/>
          <w:lang w:val="en-US"/>
        </w:rPr>
        <w:t>按尾纤类型分类</w:t>
      </w:r>
      <w:r>
        <w:tab/>
      </w:r>
      <w:r>
        <w:fldChar w:fldCharType="begin"/>
      </w:r>
      <w:r>
        <w:instrText xml:space="preserve"> PAGEREF _Toc17231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_Toc1690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2.4</w:t>
      </w:r>
      <w:r>
        <w:rPr>
          <w:rFonts w:hint="eastAsia" w:ascii="宋体_GB2312" w:hAnsi="宋体_GB2312" w:eastAsia="宋体_GB2312"/>
          <w:kern w:val="0"/>
          <w:szCs w:val="32"/>
          <w:lang w:val="en-US"/>
        </w:rPr>
        <w:t>按封装结构型式分</w:t>
      </w:r>
      <w:r>
        <w:tab/>
      </w:r>
      <w:r>
        <w:fldChar w:fldCharType="begin"/>
      </w:r>
      <w:r>
        <w:instrText xml:space="preserve"> PAGEREF _Toc1690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_Toc9272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3</w:t>
      </w:r>
      <w:r>
        <w:rPr>
          <w:rFonts w:hint="eastAsia" w:ascii="宋体_GB2312" w:hAnsi="宋体_GB2312" w:eastAsia="宋体_GB2312"/>
          <w:szCs w:val="24"/>
          <w:lang w:val="en-US"/>
        </w:rPr>
        <w:t>技术要求</w:t>
      </w:r>
      <w:r>
        <w:tab/>
      </w:r>
      <w:r>
        <w:fldChar w:fldCharType="begin"/>
      </w:r>
      <w:r>
        <w:instrText xml:space="preserve"> PAGEREF _Toc9272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_Toc5328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3.1</w:t>
      </w:r>
      <w:r>
        <w:rPr>
          <w:rFonts w:hint="eastAsia" w:ascii="宋体_GB2312" w:hAnsi="宋体_GB2312" w:eastAsia="宋体_GB2312"/>
          <w:kern w:val="0"/>
          <w:szCs w:val="32"/>
          <w:lang w:val="en-US"/>
        </w:rPr>
        <w:t>基本要求</w:t>
      </w:r>
      <w:r>
        <w:tab/>
      </w:r>
      <w:r>
        <w:fldChar w:fldCharType="begin"/>
      </w:r>
      <w:r>
        <w:instrText xml:space="preserve"> PAGEREF _Toc5328 </w:instrText>
      </w:r>
      <w:r>
        <w:fldChar w:fldCharType="separate"/>
      </w:r>
      <w:r>
        <w:t>22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_Toc9954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3.2</w:t>
      </w:r>
      <w:r>
        <w:rPr>
          <w:rFonts w:hint="eastAsia" w:ascii="宋体_GB2312" w:hAnsi="宋体_GB2312" w:eastAsia="宋体_GB2312"/>
          <w:lang w:val="en-US"/>
        </w:rPr>
        <w:t>外封装盒体尺寸要求</w:t>
      </w:r>
      <w:r>
        <w:tab/>
      </w:r>
      <w:r>
        <w:fldChar w:fldCharType="begin"/>
      </w:r>
      <w:r>
        <w:instrText xml:space="preserve"> PAGEREF _Toc9954 </w:instrText>
      </w:r>
      <w:r>
        <w:fldChar w:fldCharType="separate"/>
      </w:r>
      <w:r>
        <w:t>33</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_Toc17551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3.3</w:t>
      </w:r>
      <w:r>
        <w:rPr>
          <w:rFonts w:hint="eastAsia" w:ascii="宋体_GB2312" w:hAnsi="宋体_GB2312" w:eastAsia="宋体_GB2312"/>
          <w:kern w:val="0"/>
          <w:szCs w:val="32"/>
          <w:lang w:val="en-US"/>
        </w:rPr>
        <w:t>光分路器主要光学特性要求</w:t>
      </w:r>
      <w:r>
        <w:tab/>
      </w:r>
      <w:r>
        <w:fldChar w:fldCharType="begin"/>
      </w:r>
      <w:r>
        <w:instrText xml:space="preserve"> PAGEREF _Toc17551 </w:instrText>
      </w:r>
      <w:r>
        <w:fldChar w:fldCharType="separate"/>
      </w:r>
      <w:r>
        <w:t>44</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_Toc12681 </w:instrText>
      </w:r>
      <w:r>
        <w:rPr>
          <w:rFonts w:ascii="宋体_GB2312" w:hAnsi="宋体_GB2312" w:eastAsia="宋体_GB2312"/>
          <w:bCs w:val="0"/>
          <w:caps w:val="0"/>
          <w:szCs w:val="20"/>
          <w:lang w:val="en-US"/>
        </w:rPr>
        <w:fldChar w:fldCharType="separate"/>
      </w:r>
      <w:r>
        <w:rPr>
          <w:rFonts w:hint="eastAsia" w:ascii="宋体_GB2312" w:hAnsi="宋体_GB2312" w:eastAsia="宋体_GB2312"/>
          <w:kern w:val="0"/>
          <w:szCs w:val="32"/>
          <w:lang w:val="en-US"/>
        </w:rPr>
        <w:t>3</w:t>
      </w:r>
      <w:r>
        <w:rPr>
          <w:rFonts w:ascii="宋体_GB2312" w:hAnsi="宋体_GB2312" w:eastAsia="宋体_GB2312"/>
          <w:kern w:val="0"/>
          <w:szCs w:val="32"/>
          <w:lang w:val="en-US"/>
        </w:rPr>
        <w:t>.4</w:t>
      </w:r>
      <w:r>
        <w:rPr>
          <w:rFonts w:hint="eastAsia" w:ascii="宋体_GB2312" w:hAnsi="宋体_GB2312" w:eastAsia="宋体_GB2312"/>
          <w:kern w:val="0"/>
          <w:szCs w:val="32"/>
          <w:lang w:val="en-US"/>
        </w:rPr>
        <w:t>机械和环境性能要求</w:t>
      </w:r>
      <w:r>
        <w:tab/>
      </w:r>
      <w:r>
        <w:fldChar w:fldCharType="begin"/>
      </w:r>
      <w:r>
        <w:instrText xml:space="preserve"> PAGEREF _Toc12681 </w:instrText>
      </w:r>
      <w:r>
        <w:fldChar w:fldCharType="separate"/>
      </w:r>
      <w:r>
        <w:t>55</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_Toc4997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4高功率传输性能要求</w:t>
      </w:r>
      <w:r>
        <w:tab/>
      </w:r>
      <w:r>
        <w:fldChar w:fldCharType="begin"/>
      </w:r>
      <w:r>
        <w:instrText xml:space="preserve"> PAGEREF _Toc4997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_Toc16901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5环保符合性要求</w:t>
      </w:r>
      <w:r>
        <w:tab/>
      </w:r>
      <w:r>
        <w:fldChar w:fldCharType="begin"/>
      </w:r>
      <w:r>
        <w:instrText xml:space="preserve"> PAGEREF _Toc16901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_Toc2976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6</w:t>
      </w:r>
      <w:r>
        <w:rPr>
          <w:rFonts w:hint="eastAsia" w:ascii="宋体_GB2312" w:hAnsi="宋体_GB2312" w:eastAsia="宋体_GB2312"/>
          <w:szCs w:val="24"/>
          <w:lang w:val="en-US"/>
        </w:rPr>
        <w:t>测试方法</w:t>
      </w:r>
      <w:r>
        <w:tab/>
      </w:r>
      <w:r>
        <w:fldChar w:fldCharType="begin"/>
      </w:r>
      <w:r>
        <w:instrText xml:space="preserve"> PAGEREF _Toc2976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_Toc30767 </w:instrText>
      </w:r>
      <w:r>
        <w:rPr>
          <w:rFonts w:ascii="宋体_GB2312" w:hAnsi="宋体_GB2312" w:eastAsia="宋体_GB2312"/>
          <w:bCs w:val="0"/>
          <w:caps w:val="0"/>
          <w:szCs w:val="20"/>
          <w:lang w:val="en-US"/>
        </w:rPr>
        <w:fldChar w:fldCharType="separate"/>
      </w:r>
      <w:r>
        <w:rPr>
          <w:rFonts w:hint="default" w:ascii="宋体_GB2312" w:hAnsi="宋体_GB2312" w:eastAsia="宋体_GB2312"/>
          <w:bCs/>
          <w:vanish/>
          <w:kern w:val="28"/>
          <w:szCs w:val="21"/>
        </w:rPr>
        <w:t xml:space="preserve">5 </w:t>
      </w:r>
      <w:r>
        <w:tab/>
      </w:r>
      <w:r>
        <w:fldChar w:fldCharType="begin"/>
      </w:r>
      <w:r>
        <w:instrText xml:space="preserve"> PAGEREF _Toc30767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_Toc15438 </w:instrText>
      </w:r>
      <w:r>
        <w:rPr>
          <w:rFonts w:ascii="宋体_GB2312" w:hAnsi="宋体_GB2312" w:eastAsia="宋体_GB2312"/>
          <w:bCs w:val="0"/>
          <w:caps w:val="0"/>
          <w:szCs w:val="20"/>
          <w:lang w:val="en-US"/>
        </w:rPr>
        <w:fldChar w:fldCharType="separate"/>
      </w:r>
      <w:r>
        <w:rPr>
          <w:rFonts w:hint="default" w:ascii="宋体_GB2312" w:hAnsi="宋体_GB2312" w:eastAsia="宋体_GB2312"/>
          <w:bCs/>
          <w:vanish/>
          <w:kern w:val="28"/>
          <w:szCs w:val="21"/>
        </w:rPr>
        <w:t xml:space="preserve">6 </w:t>
      </w:r>
      <w:r>
        <w:tab/>
      </w:r>
      <w:r>
        <w:fldChar w:fldCharType="begin"/>
      </w:r>
      <w:r>
        <w:instrText xml:space="preserve"> PAGEREF _Toc15438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_Toc24760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6.1</w:t>
      </w:r>
      <w:r>
        <w:rPr>
          <w:rFonts w:hint="eastAsia" w:ascii="宋体_GB2312" w:hAnsi="宋体_GB2312" w:eastAsia="宋体_GB2312"/>
          <w:kern w:val="0"/>
          <w:szCs w:val="32"/>
          <w:lang w:val="en-US"/>
        </w:rPr>
        <w:t>外观检查</w:t>
      </w:r>
      <w:r>
        <w:tab/>
      </w:r>
      <w:r>
        <w:fldChar w:fldCharType="begin"/>
      </w:r>
      <w:r>
        <w:instrText xml:space="preserve"> PAGEREF _Toc24760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_Toc13975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6.2</w:t>
      </w:r>
      <w:r>
        <w:rPr>
          <w:rFonts w:hint="eastAsia" w:ascii="宋体_GB2312" w:hAnsi="宋体_GB2312" w:eastAsia="宋体_GB2312"/>
          <w:kern w:val="0"/>
          <w:szCs w:val="32"/>
          <w:lang w:val="en-US"/>
        </w:rPr>
        <w:t>环境</w:t>
      </w:r>
      <w:r>
        <w:tab/>
      </w:r>
      <w:r>
        <w:fldChar w:fldCharType="begin"/>
      </w:r>
      <w:r>
        <w:instrText xml:space="preserve"> PAGEREF _Toc13975 </w:instrText>
      </w:r>
      <w:r>
        <w:fldChar w:fldCharType="separate"/>
      </w:r>
      <w:r>
        <w:t>66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_Toc27479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6.3</w:t>
      </w:r>
      <w:r>
        <w:rPr>
          <w:rFonts w:hint="eastAsia" w:ascii="宋体_GB2312" w:hAnsi="宋体_GB2312" w:eastAsia="宋体_GB2312"/>
          <w:kern w:val="0"/>
          <w:szCs w:val="32"/>
          <w:lang w:val="en-US"/>
        </w:rPr>
        <w:t>测试条件</w:t>
      </w:r>
      <w:r>
        <w:tab/>
      </w:r>
      <w:r>
        <w:fldChar w:fldCharType="begin"/>
      </w:r>
      <w:r>
        <w:instrText xml:space="preserve"> PAGEREF _Toc27479 </w:instrText>
      </w:r>
      <w:r>
        <w:fldChar w:fldCharType="separate"/>
      </w:r>
      <w:r>
        <w:t>77</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_Toc27380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6.4</w:t>
      </w:r>
      <w:r>
        <w:rPr>
          <w:rFonts w:hint="eastAsia" w:ascii="宋体_GB2312" w:hAnsi="宋体_GB2312" w:eastAsia="宋体_GB2312"/>
          <w:kern w:val="0"/>
          <w:szCs w:val="32"/>
          <w:lang w:val="en-US"/>
        </w:rPr>
        <w:t>插入损耗测试</w:t>
      </w:r>
      <w:r>
        <w:tab/>
      </w:r>
      <w:r>
        <w:fldChar w:fldCharType="begin"/>
      </w:r>
      <w:r>
        <w:instrText xml:space="preserve"> PAGEREF _Toc27380 </w:instrText>
      </w:r>
      <w:r>
        <w:fldChar w:fldCharType="separate"/>
      </w:r>
      <w:r>
        <w:t>88</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_Toc4018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6.5</w:t>
      </w:r>
      <w:r>
        <w:rPr>
          <w:rFonts w:hint="eastAsia" w:ascii="宋体_GB2312" w:hAnsi="宋体_GB2312" w:eastAsia="宋体_GB2312"/>
          <w:kern w:val="0"/>
          <w:szCs w:val="32"/>
          <w:lang w:val="en-US"/>
        </w:rPr>
        <w:t>方向性测试</w:t>
      </w:r>
      <w:r>
        <w:tab/>
      </w:r>
      <w:r>
        <w:fldChar w:fldCharType="begin"/>
      </w:r>
      <w:r>
        <w:instrText xml:space="preserve"> PAGEREF _Toc4018 </w:instrText>
      </w:r>
      <w:r>
        <w:fldChar w:fldCharType="separate"/>
      </w:r>
      <w:r>
        <w:t>1111</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_Toc32547 </w:instrText>
      </w:r>
      <w:r>
        <w:rPr>
          <w:rFonts w:ascii="宋体_GB2312" w:hAnsi="宋体_GB2312" w:eastAsia="宋体_GB2312"/>
          <w:bCs w:val="0"/>
          <w:caps w:val="0"/>
          <w:szCs w:val="20"/>
          <w:lang w:val="en-US"/>
        </w:rPr>
        <w:fldChar w:fldCharType="separate"/>
      </w:r>
      <w:r>
        <w:rPr>
          <w:rFonts w:hint="eastAsia" w:ascii="宋体_GB2312" w:hAnsi="宋体_GB2312" w:eastAsia="宋体_GB2312"/>
          <w:kern w:val="0"/>
          <w:szCs w:val="32"/>
          <w:lang w:val="en-US"/>
        </w:rPr>
        <w:t>6</w:t>
      </w:r>
      <w:r>
        <w:rPr>
          <w:rFonts w:ascii="宋体_GB2312" w:hAnsi="宋体_GB2312" w:eastAsia="宋体_GB2312"/>
          <w:kern w:val="0"/>
          <w:szCs w:val="32"/>
          <w:lang w:val="en-US"/>
        </w:rPr>
        <w:t>.6</w:t>
      </w:r>
      <w:r>
        <w:rPr>
          <w:rFonts w:hint="eastAsia" w:ascii="宋体_GB2312" w:hAnsi="宋体_GB2312" w:eastAsia="宋体_GB2312"/>
          <w:kern w:val="0"/>
          <w:szCs w:val="32"/>
          <w:lang w:val="en-US"/>
        </w:rPr>
        <w:t>通道均匀性测试</w:t>
      </w:r>
      <w:r>
        <w:tab/>
      </w:r>
      <w:r>
        <w:fldChar w:fldCharType="begin"/>
      </w:r>
      <w:r>
        <w:instrText xml:space="preserve"> PAGEREF _Toc32547 </w:instrText>
      </w:r>
      <w:r>
        <w:fldChar w:fldCharType="separate"/>
      </w:r>
      <w:r>
        <w:t>1212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_Toc32386 </w:instrText>
      </w:r>
      <w:r>
        <w:rPr>
          <w:rFonts w:ascii="宋体_GB2312" w:hAnsi="宋体_GB2312" w:eastAsia="宋体_GB2312"/>
          <w:bCs w:val="0"/>
          <w:caps w:val="0"/>
          <w:szCs w:val="20"/>
          <w:lang w:val="en-US"/>
        </w:rPr>
        <w:fldChar w:fldCharType="separate"/>
      </w:r>
      <w:r>
        <w:rPr>
          <w:rFonts w:hint="eastAsia" w:ascii="宋体_GB2312" w:hAnsi="宋体_GB2312" w:eastAsia="宋体_GB2312"/>
          <w:kern w:val="0"/>
          <w:szCs w:val="32"/>
          <w:lang w:val="en-US"/>
        </w:rPr>
        <w:t>6</w:t>
      </w:r>
      <w:r>
        <w:rPr>
          <w:rFonts w:ascii="宋体_GB2312" w:hAnsi="宋体_GB2312" w:eastAsia="宋体_GB2312"/>
          <w:kern w:val="0"/>
          <w:szCs w:val="32"/>
          <w:lang w:val="en-US"/>
        </w:rPr>
        <w:t>.7</w:t>
      </w:r>
      <w:r>
        <w:rPr>
          <w:rFonts w:hint="eastAsia" w:ascii="宋体_GB2312" w:hAnsi="宋体_GB2312" w:eastAsia="宋体_GB2312"/>
          <w:kern w:val="0"/>
          <w:szCs w:val="32"/>
          <w:lang w:val="en-US"/>
        </w:rPr>
        <w:t>工作带宽测试</w:t>
      </w:r>
      <w:r>
        <w:tab/>
      </w:r>
      <w:r>
        <w:fldChar w:fldCharType="begin"/>
      </w:r>
      <w:r>
        <w:instrText xml:space="preserve"> PAGEREF _Toc32386 </w:instrText>
      </w:r>
      <w:r>
        <w:fldChar w:fldCharType="separate"/>
      </w:r>
      <w:r>
        <w:t>1212</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_Toc9021 </w:instrText>
      </w:r>
      <w:r>
        <w:rPr>
          <w:rFonts w:ascii="宋体_GB2312" w:hAnsi="宋体_GB2312" w:eastAsia="宋体_GB2312"/>
          <w:bCs w:val="0"/>
          <w:caps w:val="0"/>
          <w:szCs w:val="20"/>
          <w:lang w:val="en-US"/>
        </w:rPr>
        <w:fldChar w:fldCharType="separate"/>
      </w:r>
      <w:r>
        <w:rPr>
          <w:rFonts w:hint="eastAsia" w:ascii="宋体_GB2312" w:hAnsi="宋体_GB2312" w:eastAsia="宋体_GB2312"/>
          <w:kern w:val="0"/>
          <w:szCs w:val="32"/>
          <w:lang w:val="en-US"/>
        </w:rPr>
        <w:t>6</w:t>
      </w:r>
      <w:r>
        <w:rPr>
          <w:rFonts w:ascii="宋体_GB2312" w:hAnsi="宋体_GB2312" w:eastAsia="宋体_GB2312"/>
          <w:kern w:val="0"/>
          <w:szCs w:val="32"/>
          <w:lang w:val="en-US"/>
        </w:rPr>
        <w:t>.8</w:t>
      </w:r>
      <w:r>
        <w:rPr>
          <w:rFonts w:hint="eastAsia" w:ascii="宋体_GB2312" w:hAnsi="宋体_GB2312" w:eastAsia="宋体_GB2312"/>
          <w:kern w:val="0"/>
          <w:szCs w:val="32"/>
          <w:lang w:val="en-US"/>
        </w:rPr>
        <w:t>偏振相关损耗测试</w:t>
      </w:r>
      <w:r>
        <w:tab/>
      </w:r>
      <w:r>
        <w:fldChar w:fldCharType="begin"/>
      </w:r>
      <w:r>
        <w:instrText xml:space="preserve"> PAGEREF _Toc9021 </w:instrText>
      </w:r>
      <w:r>
        <w:fldChar w:fldCharType="separate"/>
      </w:r>
      <w:r>
        <w:t>1313</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_Toc26801 </w:instrText>
      </w:r>
      <w:r>
        <w:rPr>
          <w:rFonts w:ascii="宋体_GB2312" w:hAnsi="宋体_GB2312" w:eastAsia="宋体_GB2312"/>
          <w:bCs w:val="0"/>
          <w:caps w:val="0"/>
          <w:szCs w:val="20"/>
          <w:lang w:val="en-US"/>
        </w:rPr>
        <w:fldChar w:fldCharType="separate"/>
      </w:r>
      <w:r>
        <w:rPr>
          <w:rFonts w:hint="eastAsia" w:ascii="宋体_GB2312" w:hAnsi="宋体_GB2312" w:eastAsia="宋体_GB2312"/>
          <w:kern w:val="0"/>
          <w:szCs w:val="32"/>
          <w:lang w:val="en-US"/>
        </w:rPr>
        <w:t>6</w:t>
      </w:r>
      <w:r>
        <w:rPr>
          <w:rFonts w:ascii="宋体_GB2312" w:hAnsi="宋体_GB2312" w:eastAsia="宋体_GB2312"/>
          <w:kern w:val="0"/>
          <w:szCs w:val="32"/>
          <w:lang w:val="en-US"/>
        </w:rPr>
        <w:t>.9</w:t>
      </w:r>
      <w:r>
        <w:rPr>
          <w:rFonts w:hint="eastAsia" w:ascii="宋体_GB2312" w:hAnsi="宋体_GB2312" w:eastAsia="宋体_GB2312"/>
          <w:kern w:val="0"/>
          <w:szCs w:val="32"/>
          <w:lang w:val="en-US"/>
        </w:rPr>
        <w:t>回波损耗测试</w:t>
      </w:r>
      <w:r>
        <w:tab/>
      </w:r>
      <w:r>
        <w:fldChar w:fldCharType="begin"/>
      </w:r>
      <w:r>
        <w:instrText xml:space="preserve"> PAGEREF _Toc26801 </w:instrText>
      </w:r>
      <w:r>
        <w:fldChar w:fldCharType="separate"/>
      </w:r>
      <w:r>
        <w:t>1414</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_Toc26843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7</w:t>
      </w:r>
      <w:r>
        <w:rPr>
          <w:rFonts w:hint="eastAsia" w:ascii="宋体_GB2312" w:hAnsi="宋体_GB2312" w:eastAsia="宋体_GB2312"/>
          <w:szCs w:val="24"/>
          <w:lang w:val="en-US"/>
        </w:rPr>
        <w:t>型式试验</w:t>
      </w:r>
      <w:r>
        <w:tab/>
      </w:r>
      <w:r>
        <w:fldChar w:fldCharType="begin"/>
      </w:r>
      <w:r>
        <w:instrText xml:space="preserve"> PAGEREF _Toc26843 </w:instrText>
      </w:r>
      <w:r>
        <w:fldChar w:fldCharType="separate"/>
      </w:r>
      <w:r>
        <w:t>1616</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_Toc29825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8</w:t>
      </w:r>
      <w:r>
        <w:rPr>
          <w:rFonts w:hint="eastAsia" w:ascii="宋体_GB2312" w:hAnsi="宋体_GB2312" w:eastAsia="宋体_GB2312"/>
          <w:szCs w:val="24"/>
          <w:lang w:val="en-US"/>
        </w:rPr>
        <w:t>可靠性试验</w:t>
      </w:r>
      <w:r>
        <w:tab/>
      </w:r>
      <w:r>
        <w:fldChar w:fldCharType="begin"/>
      </w:r>
      <w:r>
        <w:instrText xml:space="preserve"> PAGEREF _Toc29825 </w:instrText>
      </w:r>
      <w:r>
        <w:fldChar w:fldCharType="separate"/>
      </w:r>
      <w:r>
        <w:t>1616</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_Toc29713 </w:instrText>
      </w:r>
      <w:r>
        <w:rPr>
          <w:rFonts w:ascii="宋体_GB2312" w:hAnsi="宋体_GB2312" w:eastAsia="宋体_GB2312"/>
          <w:bCs w:val="0"/>
          <w:caps w:val="0"/>
          <w:szCs w:val="20"/>
          <w:lang w:val="en-US"/>
        </w:rPr>
        <w:fldChar w:fldCharType="separate"/>
      </w:r>
      <w:r>
        <w:rPr>
          <w:rFonts w:hint="eastAsia" w:ascii="宋体_GB2312" w:hAnsi="宋体_GB2312" w:eastAsia="宋体_GB2312"/>
          <w:szCs w:val="24"/>
          <w:lang w:val="en-US"/>
        </w:rPr>
        <w:t>9标志、包装、运输和储存</w:t>
      </w:r>
      <w:r>
        <w:tab/>
      </w:r>
      <w:r>
        <w:fldChar w:fldCharType="begin"/>
      </w:r>
      <w:r>
        <w:instrText xml:space="preserve"> PAGEREF _Toc29713 </w:instrText>
      </w:r>
      <w:r>
        <w:fldChar w:fldCharType="separate"/>
      </w:r>
      <w:r>
        <w:t>1616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_Toc30990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9.1</w:t>
      </w:r>
      <w:r>
        <w:rPr>
          <w:rFonts w:hint="eastAsia" w:ascii="宋体_GB2312" w:hAnsi="宋体_GB2312" w:eastAsia="宋体_GB2312"/>
          <w:kern w:val="0"/>
          <w:szCs w:val="32"/>
          <w:lang w:val="en-US"/>
        </w:rPr>
        <w:t>标志</w:t>
      </w:r>
      <w:r>
        <w:tab/>
      </w:r>
      <w:r>
        <w:fldChar w:fldCharType="begin"/>
      </w:r>
      <w:r>
        <w:instrText xml:space="preserve"> PAGEREF _Toc30990 </w:instrText>
      </w:r>
      <w:r>
        <w:fldChar w:fldCharType="separate"/>
      </w:r>
      <w:r>
        <w:t>1616</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_Toc23936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9.2</w:t>
      </w:r>
      <w:r>
        <w:rPr>
          <w:rFonts w:hint="eastAsia" w:ascii="宋体_GB2312" w:hAnsi="宋体_GB2312" w:eastAsia="宋体_GB2312"/>
          <w:kern w:val="0"/>
          <w:szCs w:val="32"/>
          <w:lang w:val="en-US"/>
        </w:rPr>
        <w:t>包装</w:t>
      </w:r>
      <w:r>
        <w:tab/>
      </w:r>
      <w:r>
        <w:fldChar w:fldCharType="begin"/>
      </w:r>
      <w:r>
        <w:instrText xml:space="preserve"> PAGEREF _Toc23936 </w:instrText>
      </w:r>
      <w:r>
        <w:fldChar w:fldCharType="separate"/>
      </w:r>
      <w:r>
        <w:t>1717</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_Toc6813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9.3</w:t>
      </w:r>
      <w:r>
        <w:rPr>
          <w:rFonts w:hint="eastAsia" w:ascii="宋体_GB2312" w:hAnsi="宋体_GB2312" w:eastAsia="宋体_GB2312"/>
          <w:kern w:val="0"/>
          <w:szCs w:val="32"/>
          <w:lang w:val="en-US"/>
        </w:rPr>
        <w:t>运输</w:t>
      </w:r>
      <w:r>
        <w:tab/>
      </w:r>
      <w:r>
        <w:fldChar w:fldCharType="begin"/>
      </w:r>
      <w:r>
        <w:instrText xml:space="preserve"> PAGEREF _Toc6813 </w:instrText>
      </w:r>
      <w:r>
        <w:fldChar w:fldCharType="separate"/>
      </w:r>
      <w:r>
        <w:t>1717</w:t>
      </w:r>
      <w:r>
        <w:fldChar w:fldCharType="end"/>
      </w:r>
      <w:r>
        <w:rPr>
          <w:rFonts w:ascii="宋体_GB2312" w:hAnsi="宋体_GB2312" w:eastAsia="宋体_GB2312"/>
          <w:bCs w:val="0"/>
          <w:caps w:val="0"/>
          <w:szCs w:val="20"/>
          <w:lang w:val="en-US"/>
        </w:rPr>
        <w:fldChar w:fldCharType="end"/>
      </w:r>
    </w:p>
    <w:p>
      <w:pPr>
        <w:pStyle w:val="32"/>
        <w:tabs>
          <w:tab w:val="right" w:leader="dot" w:pos="850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_Toc5594 </w:instrText>
      </w:r>
      <w:r>
        <w:rPr>
          <w:rFonts w:ascii="宋体_GB2312" w:hAnsi="宋体_GB2312" w:eastAsia="宋体_GB2312"/>
          <w:bCs w:val="0"/>
          <w:caps w:val="0"/>
          <w:szCs w:val="20"/>
          <w:lang w:val="en-US"/>
        </w:rPr>
        <w:fldChar w:fldCharType="separate"/>
      </w:r>
      <w:r>
        <w:rPr>
          <w:rFonts w:ascii="宋体_GB2312" w:hAnsi="宋体_GB2312" w:eastAsia="宋体_GB2312"/>
          <w:kern w:val="0"/>
          <w:szCs w:val="32"/>
          <w:lang w:val="en-US"/>
        </w:rPr>
        <w:t>9.4</w:t>
      </w:r>
      <w:r>
        <w:rPr>
          <w:rFonts w:hint="eastAsia" w:ascii="宋体_GB2312" w:hAnsi="宋体_GB2312" w:eastAsia="宋体_GB2312"/>
          <w:kern w:val="0"/>
          <w:szCs w:val="32"/>
          <w:lang w:val="en-US"/>
        </w:rPr>
        <w:t>储存</w:t>
      </w:r>
      <w:r>
        <w:tab/>
      </w:r>
      <w:r>
        <w:fldChar w:fldCharType="begin"/>
      </w:r>
      <w:r>
        <w:instrText xml:space="preserve"> PAGEREF _Toc5594 </w:instrText>
      </w:r>
      <w:r>
        <w:fldChar w:fldCharType="separate"/>
      </w:r>
      <w:r>
        <w:t>1717</w:t>
      </w:r>
      <w:r>
        <w:fldChar w:fldCharType="end"/>
      </w:r>
      <w:r>
        <w:rPr>
          <w:rFonts w:ascii="宋体_GB2312" w:hAnsi="宋体_GB2312" w:eastAsia="宋体_GB2312"/>
          <w:bCs w:val="0"/>
          <w:caps w:val="0"/>
          <w:szCs w:val="20"/>
          <w:lang w:val="en-US"/>
        </w:rPr>
        <w:fldChar w:fldCharType="end"/>
      </w:r>
    </w:p>
    <w:p>
      <w:pPr>
        <w:pStyle w:val="27"/>
        <w:tabs>
          <w:tab w:val="right" w:leader="dot" w:pos="8504"/>
          <w:tab w:val="clear" w:pos="8494"/>
        </w:tabs>
      </w:pPr>
      <w:r>
        <w:rPr>
          <w:rFonts w:ascii="宋体_GB2312" w:hAnsi="宋体_GB2312" w:eastAsia="宋体_GB2312"/>
          <w:bCs w:val="0"/>
          <w:caps w:val="0"/>
          <w:szCs w:val="20"/>
          <w:lang w:val="en-US"/>
        </w:rPr>
        <w:fldChar w:fldCharType="begin"/>
      </w:r>
      <w:r>
        <w:rPr>
          <w:rFonts w:ascii="宋体_GB2312" w:hAnsi="宋体_GB2312" w:eastAsia="宋体_GB2312"/>
          <w:bCs w:val="0"/>
          <w:caps w:val="0"/>
          <w:szCs w:val="20"/>
          <w:lang w:val="en-US"/>
        </w:rPr>
        <w:instrText xml:space="preserve"> HYPERLINK \l _Toc30356 </w:instrText>
      </w:r>
      <w:r>
        <w:rPr>
          <w:rFonts w:ascii="宋体_GB2312" w:hAnsi="宋体_GB2312" w:eastAsia="宋体_GB2312"/>
          <w:bCs w:val="0"/>
          <w:caps w:val="0"/>
          <w:szCs w:val="20"/>
          <w:lang w:val="en-US"/>
        </w:rPr>
        <w:fldChar w:fldCharType="separate"/>
      </w:r>
      <w:r>
        <w:rPr>
          <w:rFonts w:ascii="宋体_GB2312" w:hAnsi="宋体_GB2312" w:eastAsia="宋体_GB2312"/>
          <w:szCs w:val="24"/>
          <w:lang w:val="en-US"/>
        </w:rPr>
        <w:t>10</w:t>
      </w:r>
      <w:r>
        <w:rPr>
          <w:rFonts w:hint="eastAsia" w:ascii="宋体_GB2312" w:hAnsi="宋体_GB2312" w:eastAsia="宋体_GB2312"/>
          <w:szCs w:val="24"/>
          <w:lang w:val="en-US"/>
        </w:rPr>
        <w:t>其它指标和性能</w:t>
      </w:r>
      <w:r>
        <w:tab/>
      </w:r>
      <w:r>
        <w:fldChar w:fldCharType="begin"/>
      </w:r>
      <w:r>
        <w:instrText xml:space="preserve"> PAGEREF _Toc30356 </w:instrText>
      </w:r>
      <w:r>
        <w:fldChar w:fldCharType="separate"/>
      </w:r>
      <w:r>
        <w:t>1717</w:t>
      </w:r>
      <w:r>
        <w:fldChar w:fldCharType="end"/>
      </w:r>
      <w:r>
        <w:rPr>
          <w:rFonts w:ascii="宋体_GB2312" w:hAnsi="宋体_GB2312" w:eastAsia="宋体_GB2312"/>
          <w:bCs w:val="0"/>
          <w:caps w:val="0"/>
          <w:szCs w:val="20"/>
          <w:lang w:val="en-US"/>
        </w:rPr>
        <w:fldChar w:fldCharType="end"/>
      </w:r>
    </w:p>
    <w:p>
      <w:pPr>
        <w:pStyle w:val="27"/>
        <w:tabs>
          <w:tab w:val="right" w:leader="dot" w:pos="9737"/>
          <w:tab w:val="clear" w:pos="8494"/>
        </w:tabs>
        <w:spacing w:beforeLines="0" w:line="360" w:lineRule="auto"/>
        <w:ind w:firstLine="0" w:firstLineChars="0"/>
        <w:jc w:val="left"/>
        <w:rPr>
          <w:rFonts w:ascii="宋体_GB2312" w:hAnsi="宋体_GB2312" w:eastAsia="宋体_GB2312"/>
        </w:rPr>
      </w:pPr>
      <w:r>
        <w:rPr>
          <w:rStyle w:val="41"/>
          <w:rFonts w:ascii="宋体_GB2312" w:hAnsi="宋体_GB2312" w:eastAsia="宋体_GB2312"/>
          <w:b w:val="0"/>
          <w:bCs w:val="0"/>
          <w:caps w:val="0"/>
          <w:sz w:val="20"/>
          <w:szCs w:val="20"/>
          <w:lang w:val="en-US"/>
        </w:rPr>
        <w:fldChar w:fldCharType="end"/>
      </w:r>
    </w:p>
    <w:p>
      <w:pPr>
        <w:pStyle w:val="27"/>
        <w:tabs>
          <w:tab w:val="right" w:leader="dot" w:pos="9737"/>
          <w:tab w:val="clear" w:pos="8494"/>
        </w:tabs>
        <w:spacing w:beforeLines="0" w:line="360" w:lineRule="auto"/>
        <w:ind w:firstLine="0" w:firstLineChars="0"/>
        <w:jc w:val="left"/>
        <w:rPr>
          <w:rFonts w:ascii="宋体_GB2312" w:hAnsi="宋体_GB2312" w:eastAsia="宋体_GB2312"/>
          <w:sz w:val="21"/>
          <w:szCs w:val="21"/>
        </w:rPr>
      </w:pPr>
    </w:p>
    <w:p>
      <w:pPr>
        <w:pStyle w:val="32"/>
        <w:spacing w:before="120"/>
        <w:ind w:firstLine="400"/>
        <w:rPr>
          <w:rFonts w:ascii="宋体_GB2312" w:hAnsi="宋体_GB2312" w:eastAsia="宋体_GB2312"/>
        </w:rPr>
        <w:sectPr>
          <w:headerReference r:id="rId6" w:type="default"/>
          <w:footerReference r:id="rId7" w:type="default"/>
          <w:pgSz w:w="11907" w:h="16840"/>
          <w:pgMar w:top="1701" w:right="1418" w:bottom="1418" w:left="1985" w:header="1134" w:footer="851" w:gutter="0"/>
          <w:pgNumType w:fmt="lowerRoman" w:start="1"/>
          <w:cols w:space="720" w:num="1"/>
        </w:sectPr>
      </w:pPr>
    </w:p>
    <w:p>
      <w:pPr>
        <w:pStyle w:val="2"/>
        <w:spacing w:before="0" w:beforeLines="0" w:after="0" w:line="276" w:lineRule="auto"/>
        <w:jc w:val="both"/>
        <w:rPr>
          <w:rFonts w:ascii="宋体_GB2312" w:hAnsi="宋体_GB2312" w:eastAsia="宋体_GB2312"/>
          <w:sz w:val="24"/>
          <w:szCs w:val="24"/>
          <w:lang w:val="en-US"/>
        </w:rPr>
      </w:pPr>
      <w:bookmarkStart w:id="33" w:name="_Toc445478111"/>
      <w:bookmarkStart w:id="34" w:name="_Toc26090"/>
      <w:bookmarkStart w:id="35" w:name="_Toc161823031"/>
      <w:bookmarkStart w:id="36" w:name="_Toc247356413"/>
      <w:bookmarkStart w:id="37" w:name="_Toc246910566"/>
      <w:bookmarkStart w:id="38" w:name="_Toc532376583"/>
      <w:bookmarkStart w:id="39" w:name="_Toc247357558"/>
      <w:bookmarkStart w:id="40" w:name="_Toc17184315"/>
      <w:r>
        <w:rPr>
          <w:rFonts w:ascii="宋体_GB2312" w:hAnsi="宋体_GB2312" w:eastAsia="宋体_GB2312"/>
          <w:sz w:val="24"/>
          <w:szCs w:val="24"/>
          <w:lang w:val="en-US"/>
        </w:rPr>
        <w:t>1</w:t>
      </w:r>
      <w:r>
        <w:rPr>
          <w:rFonts w:hint="eastAsia" w:ascii="宋体_GB2312" w:hAnsi="宋体_GB2312" w:eastAsia="宋体_GB2312"/>
          <w:sz w:val="24"/>
          <w:szCs w:val="24"/>
          <w:lang w:val="en-US"/>
        </w:rPr>
        <w:t>概述</w:t>
      </w:r>
      <w:bookmarkEnd w:id="33"/>
      <w:bookmarkEnd w:id="34"/>
      <w:bookmarkEnd w:id="35"/>
      <w:bookmarkEnd w:id="36"/>
      <w:bookmarkEnd w:id="37"/>
      <w:bookmarkEnd w:id="38"/>
      <w:bookmarkEnd w:id="39"/>
      <w:bookmarkEnd w:id="40"/>
    </w:p>
    <w:p>
      <w:pPr>
        <w:rPr>
          <w:rFonts w:ascii="宋体_GB2312" w:hAnsi="宋体_GB2312" w:eastAsia="宋体_GB2312"/>
          <w:szCs w:val="24"/>
        </w:rPr>
      </w:pPr>
      <w:r>
        <w:rPr>
          <w:rFonts w:ascii="宋体_GB2312" w:hAnsi="宋体_GB2312" w:eastAsia="宋体_GB2312"/>
          <w:szCs w:val="24"/>
          <w:lang w:val="en-US"/>
        </w:rPr>
        <w:t>1.1</w:t>
      </w:r>
      <w:r>
        <w:rPr>
          <w:rFonts w:hint="eastAsia" w:ascii="宋体_GB2312" w:hAnsi="宋体_GB2312" w:eastAsia="宋体_GB2312"/>
          <w:szCs w:val="24"/>
          <w:lang w:val="en-US"/>
        </w:rPr>
        <w:t>本文件为中国联通平面光波导型分光器（PLC）技术规范书（2020版），同时</w:t>
      </w:r>
      <w:r>
        <w:rPr>
          <w:rFonts w:ascii="宋体_GB2312" w:hAnsi="宋体_GB2312" w:eastAsia="宋体_GB2312"/>
          <w:szCs w:val="24"/>
          <w:lang w:val="en-US"/>
        </w:rPr>
        <w:t>作为</w:t>
      </w:r>
      <w:r>
        <w:rPr>
          <w:rFonts w:hint="eastAsia" w:ascii="宋体_GB2312" w:hAnsi="宋体_GB2312" w:eastAsia="宋体_GB2312"/>
          <w:szCs w:val="24"/>
          <w:lang w:val="en-US"/>
        </w:rPr>
        <w:t>中国联合网络通信有限公司及其所属企业（以下简称“中国联通”或“招标人”）进行网络业务功能及供货、安装、调测、验收的要求。本次招标只针对基于平面光波导（</w:t>
      </w:r>
      <w:r>
        <w:rPr>
          <w:rFonts w:ascii="宋体_GB2312" w:hAnsi="宋体_GB2312" w:eastAsia="宋体_GB2312"/>
          <w:szCs w:val="24"/>
          <w:lang w:val="en-US"/>
        </w:rPr>
        <w:t>PLC</w:t>
      </w:r>
      <w:r>
        <w:rPr>
          <w:rFonts w:hint="eastAsia" w:ascii="宋体_GB2312" w:hAnsi="宋体_GB2312" w:eastAsia="宋体_GB2312"/>
          <w:szCs w:val="24"/>
          <w:lang w:val="en-US"/>
        </w:rPr>
        <w:t>）技术的均匀分光的全带宽型无源光分路器设备（工作波长范围</w:t>
      </w:r>
      <w:r>
        <w:rPr>
          <w:rFonts w:ascii="宋体_GB2312" w:hAnsi="宋体_GB2312" w:eastAsia="宋体_GB2312"/>
          <w:szCs w:val="24"/>
          <w:lang w:val="en-US"/>
        </w:rPr>
        <w:t>1260nm~1650nm）</w:t>
      </w:r>
      <w:r>
        <w:rPr>
          <w:rFonts w:hint="eastAsia" w:ascii="宋体_GB2312" w:hAnsi="宋体_GB2312" w:eastAsia="宋体_GB2312"/>
          <w:szCs w:val="24"/>
          <w:lang w:val="en-US"/>
        </w:rPr>
        <w:t>。</w:t>
      </w:r>
    </w:p>
    <w:p>
      <w:pPr>
        <w:rPr>
          <w:rFonts w:ascii="宋体_GB2312" w:hAnsi="宋体_GB2312" w:eastAsia="宋体_GB2312"/>
          <w:szCs w:val="24"/>
          <w:highlight w:val="none"/>
        </w:rPr>
      </w:pPr>
      <w:r>
        <w:rPr>
          <w:rFonts w:ascii="宋体_GB2312" w:hAnsi="宋体_GB2312" w:eastAsia="宋体_GB2312"/>
          <w:szCs w:val="24"/>
          <w:lang w:val="en-US"/>
        </w:rPr>
        <w:t>1.2本技术规范书未规定的其它技</w:t>
      </w:r>
      <w:r>
        <w:rPr>
          <w:rFonts w:ascii="宋体_GB2312" w:hAnsi="宋体_GB2312" w:eastAsia="宋体_GB2312"/>
          <w:szCs w:val="24"/>
          <w:highlight w:val="none"/>
          <w:lang w:val="en-US"/>
        </w:rPr>
        <w:t>术要求应不劣于ＩＴＵ—Ｔ、ＩＥＣ建议和中国国家标准、通信行业标准</w:t>
      </w:r>
      <w:r>
        <w:rPr>
          <w:rFonts w:hint="eastAsia" w:ascii="宋体_GB2312" w:hAnsi="宋体_GB2312" w:eastAsia="宋体_GB2312"/>
          <w:szCs w:val="24"/>
          <w:highlight w:val="none"/>
          <w:lang w:val="en-US"/>
        </w:rPr>
        <w:t>、</w:t>
      </w:r>
      <w:r>
        <w:rPr>
          <w:rFonts w:ascii="宋体_GB2312" w:hAnsi="宋体_GB2312" w:eastAsia="宋体_GB2312"/>
          <w:szCs w:val="24"/>
          <w:highlight w:val="none"/>
          <w:lang w:val="en-US"/>
        </w:rPr>
        <w:t>中国联通企业标准</w:t>
      </w:r>
      <w:r>
        <w:rPr>
          <w:rFonts w:hint="eastAsia" w:ascii="宋体_GB2312" w:hAnsi="宋体_GB2312" w:eastAsia="宋体_GB2312"/>
          <w:szCs w:val="24"/>
          <w:highlight w:val="none"/>
          <w:lang w:val="en-US"/>
        </w:rPr>
        <w:t>。</w:t>
      </w:r>
      <w:bookmarkStart w:id="173" w:name="_GoBack"/>
      <w:bookmarkEnd w:id="173"/>
    </w:p>
    <w:p>
      <w:pPr>
        <w:rPr>
          <w:rFonts w:ascii="宋体_GB2312" w:hAnsi="宋体_GB2312" w:eastAsia="宋体_GB2312"/>
          <w:szCs w:val="24"/>
          <w:highlight w:val="none"/>
        </w:rPr>
      </w:pPr>
      <w:r>
        <w:rPr>
          <w:rFonts w:ascii="宋体_GB2312" w:hAnsi="宋体_GB2312" w:eastAsia="宋体_GB2312"/>
          <w:szCs w:val="24"/>
          <w:highlight w:val="none"/>
          <w:lang w:val="en-US"/>
        </w:rPr>
        <w:t>1.3本技术</w:t>
      </w:r>
      <w:r>
        <w:rPr>
          <w:rFonts w:hint="eastAsia" w:ascii="宋体_GB2312" w:hAnsi="宋体_GB2312" w:eastAsia="宋体_GB2312"/>
          <w:szCs w:val="24"/>
          <w:highlight w:val="none"/>
          <w:lang w:val="en-US"/>
        </w:rPr>
        <w:t>规范书未标明日期的ＩＴＵ—Ｔ、ＩＥＣ建议和中国国家标准、通信行业标准均使用最新版本（截至招标日）。</w:t>
      </w:r>
    </w:p>
    <w:p>
      <w:pPr>
        <w:rPr>
          <w:rFonts w:ascii="宋体_GB2312" w:hAnsi="宋体_GB2312" w:eastAsia="宋体_GB2312"/>
          <w:szCs w:val="24"/>
          <w:highlight w:val="none"/>
        </w:rPr>
      </w:pPr>
      <w:r>
        <w:rPr>
          <w:rFonts w:ascii="宋体_GB2312" w:hAnsi="宋体_GB2312" w:eastAsia="宋体_GB2312"/>
          <w:szCs w:val="24"/>
          <w:highlight w:val="none"/>
          <w:lang w:val="en-US"/>
        </w:rPr>
        <w:t>1.4</w:t>
      </w:r>
      <w:r>
        <w:rPr>
          <w:rFonts w:hint="eastAsia" w:ascii="宋体_GB2312" w:hAnsi="宋体_GB2312" w:eastAsia="宋体_GB2312"/>
          <w:szCs w:val="24"/>
          <w:highlight w:val="none"/>
          <w:lang w:val="en-US"/>
        </w:rPr>
        <w:t>投标人在答复中如无特别说明，投标人声明支持的功能应为设备已实现的功能，不包括有能力支持但尚未实现的、近期将要实现的、未来计划实现的功能。</w:t>
      </w:r>
    </w:p>
    <w:p>
      <w:pPr>
        <w:rPr>
          <w:rFonts w:ascii="宋体_GB2312" w:hAnsi="宋体_GB2312" w:eastAsia="宋体_GB2312"/>
          <w:szCs w:val="24"/>
          <w:highlight w:val="none"/>
        </w:rPr>
      </w:pPr>
      <w:r>
        <w:rPr>
          <w:rFonts w:ascii="宋体_GB2312" w:hAnsi="宋体_GB2312" w:eastAsia="宋体_GB2312"/>
          <w:szCs w:val="24"/>
          <w:highlight w:val="none"/>
          <w:lang w:val="en-US"/>
        </w:rPr>
        <w:t>1.5</w:t>
      </w:r>
      <w:r>
        <w:rPr>
          <w:rFonts w:hint="eastAsia" w:ascii="宋体_GB2312" w:hAnsi="宋体_GB2312" w:eastAsia="宋体_GB2312"/>
          <w:szCs w:val="24"/>
          <w:highlight w:val="none"/>
          <w:lang w:val="en-US"/>
        </w:rPr>
        <w:t>光分路器使用寿命应≧</w:t>
      </w:r>
      <w:r>
        <w:rPr>
          <w:rFonts w:ascii="宋体_GB2312" w:hAnsi="宋体_GB2312" w:eastAsia="宋体_GB2312"/>
          <w:szCs w:val="24"/>
          <w:highlight w:val="none"/>
          <w:lang w:val="en-US"/>
        </w:rPr>
        <w:t>25年</w:t>
      </w:r>
      <w:r>
        <w:rPr>
          <w:rFonts w:hint="eastAsia" w:ascii="宋体_GB2312" w:hAnsi="宋体_GB2312" w:eastAsia="宋体_GB2312"/>
          <w:szCs w:val="24"/>
          <w:highlight w:val="none"/>
          <w:lang w:val="en-US"/>
        </w:rPr>
        <w:t>。</w:t>
      </w:r>
    </w:p>
    <w:p>
      <w:pPr>
        <w:rPr>
          <w:rFonts w:ascii="宋体_GB2312" w:hAnsi="宋体_GB2312" w:eastAsia="宋体_GB2312"/>
          <w:szCs w:val="24"/>
          <w:highlight w:val="none"/>
        </w:rPr>
      </w:pPr>
      <w:r>
        <w:rPr>
          <w:rFonts w:ascii="宋体_GB2312" w:hAnsi="宋体_GB2312" w:eastAsia="宋体_GB2312"/>
          <w:szCs w:val="24"/>
          <w:highlight w:val="none"/>
          <w:lang w:val="en-US"/>
        </w:rPr>
        <w:t>1.6</w:t>
      </w:r>
      <w:r>
        <w:rPr>
          <w:rFonts w:hint="eastAsia" w:ascii="宋体_GB2312" w:hAnsi="宋体_GB2312" w:eastAsia="宋体_GB2312"/>
          <w:szCs w:val="24"/>
          <w:highlight w:val="none"/>
          <w:lang w:val="en-US"/>
        </w:rPr>
        <w:t>投标人原材料保证</w:t>
      </w:r>
    </w:p>
    <w:p>
      <w:pPr>
        <w:rPr>
          <w:rFonts w:ascii="宋体_GB2312" w:hAnsi="宋体_GB2312" w:eastAsia="宋体_GB2312"/>
          <w:szCs w:val="24"/>
          <w:highlight w:val="none"/>
        </w:rPr>
      </w:pPr>
      <w:r>
        <w:rPr>
          <w:rFonts w:hint="eastAsia" w:ascii="宋体_GB2312" w:hAnsi="宋体_GB2312" w:eastAsia="宋体_GB2312"/>
          <w:szCs w:val="24"/>
          <w:highlight w:val="none"/>
          <w:lang w:val="en-US"/>
        </w:rPr>
        <w:t>（</w:t>
      </w:r>
      <w:r>
        <w:rPr>
          <w:rFonts w:ascii="宋体_GB2312" w:hAnsi="宋体_GB2312" w:eastAsia="宋体_GB2312"/>
          <w:szCs w:val="24"/>
          <w:highlight w:val="none"/>
          <w:lang w:val="en-US"/>
        </w:rPr>
        <w:t>1）</w:t>
      </w:r>
      <w:r>
        <w:rPr>
          <w:rFonts w:hint="eastAsia" w:ascii="宋体_GB2312" w:hAnsi="宋体_GB2312" w:eastAsia="宋体_GB2312"/>
          <w:szCs w:val="24"/>
          <w:highlight w:val="none"/>
          <w:lang w:val="en-US"/>
        </w:rPr>
        <w:t>投标人应保证本招标产品全部采用全新合格材料生产。</w:t>
      </w:r>
    </w:p>
    <w:p>
      <w:pPr>
        <w:rPr>
          <w:rFonts w:ascii="宋体_GB2312" w:hAnsi="宋体_GB2312" w:eastAsia="宋体_GB2312"/>
          <w:szCs w:val="24"/>
          <w:highlight w:val="none"/>
        </w:rPr>
      </w:pPr>
      <w:r>
        <w:rPr>
          <w:rFonts w:hint="eastAsia" w:ascii="宋体_GB2312" w:hAnsi="宋体_GB2312" w:eastAsia="宋体_GB2312"/>
          <w:szCs w:val="24"/>
          <w:highlight w:val="none"/>
          <w:lang w:val="en-US"/>
        </w:rPr>
        <w:t>（</w:t>
      </w:r>
      <w:r>
        <w:rPr>
          <w:rFonts w:ascii="宋体_GB2312" w:hAnsi="宋体_GB2312" w:eastAsia="宋体_GB2312"/>
          <w:szCs w:val="24"/>
          <w:highlight w:val="none"/>
          <w:lang w:val="en-US"/>
        </w:rPr>
        <w:t>2）</w:t>
      </w:r>
      <w:r>
        <w:rPr>
          <w:rFonts w:hint="eastAsia" w:ascii="宋体_GB2312" w:hAnsi="宋体_GB2312" w:eastAsia="宋体_GB2312"/>
          <w:szCs w:val="24"/>
          <w:highlight w:val="none"/>
          <w:lang w:val="en-US"/>
        </w:rPr>
        <w:t>投标人应保证不采用任何再生料、利旧料、废弃料、回收料、次品料等非全新合格材料来进行本招标产品的生产。</w:t>
      </w:r>
    </w:p>
    <w:p>
      <w:pPr>
        <w:rPr>
          <w:rFonts w:ascii="宋体_GB2312" w:hAnsi="宋体_GB2312" w:eastAsia="宋体_GB2312"/>
          <w:szCs w:val="24"/>
          <w:highlight w:val="none"/>
        </w:rPr>
      </w:pPr>
      <w:r>
        <w:rPr>
          <w:rFonts w:hint="eastAsia" w:ascii="宋体_GB2312" w:hAnsi="宋体_GB2312" w:eastAsia="宋体_GB2312"/>
          <w:szCs w:val="24"/>
          <w:highlight w:val="none"/>
          <w:lang w:val="en-US"/>
        </w:rPr>
        <w:t>（</w:t>
      </w:r>
      <w:r>
        <w:rPr>
          <w:rFonts w:ascii="宋体_GB2312" w:hAnsi="宋体_GB2312" w:eastAsia="宋体_GB2312"/>
          <w:szCs w:val="24"/>
          <w:highlight w:val="none"/>
          <w:lang w:val="en-US"/>
        </w:rPr>
        <w:t>3）</w:t>
      </w:r>
      <w:r>
        <w:rPr>
          <w:rFonts w:hint="eastAsia" w:ascii="宋体_GB2312" w:hAnsi="宋体_GB2312" w:eastAsia="宋体_GB2312"/>
          <w:szCs w:val="24"/>
          <w:highlight w:val="none"/>
          <w:lang w:val="en-US"/>
        </w:rPr>
        <w:t>投标人应保证不采用和本招标产品无关的半成品材料来生产本招标产品。</w:t>
      </w:r>
    </w:p>
    <w:p>
      <w:pPr>
        <w:rPr>
          <w:rFonts w:ascii="宋体_GB2312" w:hAnsi="宋体_GB2312" w:eastAsia="宋体_GB2312"/>
          <w:szCs w:val="24"/>
          <w:highlight w:val="none"/>
        </w:rPr>
      </w:pPr>
      <w:r>
        <w:rPr>
          <w:rFonts w:ascii="宋体_GB2312" w:hAnsi="宋体_GB2312" w:eastAsia="宋体_GB2312"/>
          <w:szCs w:val="24"/>
          <w:highlight w:val="none"/>
          <w:lang w:val="en-US"/>
        </w:rPr>
        <w:t>1.7</w:t>
      </w:r>
      <w:r>
        <w:rPr>
          <w:rFonts w:hint="eastAsia" w:ascii="宋体_GB2312" w:hAnsi="宋体_GB2312" w:eastAsia="宋体_GB2312"/>
          <w:szCs w:val="24"/>
          <w:highlight w:val="none"/>
          <w:lang w:val="en-US"/>
        </w:rPr>
        <w:t>投标人应对芯片提供者送达的所有到货芯片进行质量检测并确认其符合招标人的技术要求。如果芯片质量缺陷导致光分路器不合格，投标人须承担质量责任。</w:t>
      </w:r>
    </w:p>
    <w:p>
      <w:pPr>
        <w:rPr>
          <w:rFonts w:ascii="宋体_GB2312" w:hAnsi="宋体_GB2312" w:eastAsia="宋体_GB2312"/>
          <w:szCs w:val="24"/>
          <w:highlight w:val="none"/>
        </w:rPr>
      </w:pPr>
      <w:r>
        <w:rPr>
          <w:rFonts w:ascii="宋体_GB2312" w:hAnsi="宋体_GB2312" w:eastAsia="宋体_GB2312"/>
          <w:sz w:val="24"/>
          <w:szCs w:val="22"/>
          <w:highlight w:val="none"/>
        </w:rPr>
        <w:t>1.8</w:t>
      </w:r>
      <w:r>
        <w:rPr>
          <w:rFonts w:hint="eastAsia" w:ascii="宋体_GB2312" w:hAnsi="宋体_GB2312" w:eastAsia="宋体_GB2312"/>
          <w:sz w:val="24"/>
          <w:szCs w:val="22"/>
          <w:highlight w:val="none"/>
        </w:rPr>
        <w:t>加注</w:t>
      </w:r>
      <w:r>
        <w:rPr>
          <w:rFonts w:hint="eastAsia" w:ascii="宋体_GB2312" w:hAnsi="宋体_GB2312" w:eastAsia="宋体_GB2312"/>
          <w:b/>
          <w:color w:val="FF0000"/>
          <w:sz w:val="24"/>
          <w:szCs w:val="22"/>
          <w:highlight w:val="none"/>
        </w:rPr>
        <w:t>★</w:t>
      </w:r>
      <w:r>
        <w:rPr>
          <w:rFonts w:hint="eastAsia" w:ascii="宋体_GB2312" w:hAnsi="宋体_GB2312" w:eastAsia="宋体_GB2312"/>
          <w:sz w:val="24"/>
          <w:szCs w:val="22"/>
          <w:highlight w:val="none"/>
        </w:rPr>
        <w:t>的技术指标为</w:t>
      </w:r>
      <w:r>
        <w:rPr>
          <w:rFonts w:ascii="宋体_GB2312" w:hAnsi="宋体_GB2312" w:eastAsia="宋体_GB2312"/>
          <w:sz w:val="24"/>
          <w:szCs w:val="22"/>
          <w:highlight w:val="none"/>
        </w:rPr>
        <w:t>A类</w:t>
      </w:r>
      <w:r>
        <w:rPr>
          <w:rFonts w:hint="eastAsia" w:ascii="宋体_GB2312" w:hAnsi="宋体_GB2312" w:eastAsia="宋体_GB2312"/>
          <w:sz w:val="24"/>
          <w:szCs w:val="22"/>
          <w:highlight w:val="none"/>
        </w:rPr>
        <w:t>关键</w:t>
      </w:r>
      <w:r>
        <w:rPr>
          <w:rFonts w:ascii="宋体_GB2312" w:hAnsi="宋体_GB2312" w:eastAsia="宋体_GB2312"/>
          <w:sz w:val="24"/>
          <w:szCs w:val="22"/>
          <w:highlight w:val="none"/>
        </w:rPr>
        <w:t>指标</w:t>
      </w:r>
      <w:r>
        <w:rPr>
          <w:rFonts w:hint="eastAsia" w:ascii="宋体_GB2312" w:hAnsi="宋体_GB2312" w:eastAsia="宋体_GB2312"/>
          <w:sz w:val="24"/>
          <w:szCs w:val="22"/>
          <w:highlight w:val="none"/>
        </w:rPr>
        <w:t>，不可偏离；其它技术指标为</w:t>
      </w:r>
      <w:r>
        <w:rPr>
          <w:rFonts w:ascii="宋体_GB2312" w:hAnsi="宋体_GB2312" w:eastAsia="宋体_GB2312"/>
          <w:sz w:val="24"/>
          <w:szCs w:val="22"/>
          <w:highlight w:val="none"/>
        </w:rPr>
        <w:t>B类指标。</w:t>
      </w:r>
      <w:r>
        <w:rPr>
          <w:rFonts w:hint="eastAsia" w:ascii="宋体_GB2312" w:hAnsi="宋体_GB2312" w:eastAsia="宋体_GB2312"/>
          <w:sz w:val="24"/>
          <w:szCs w:val="22"/>
          <w:highlight w:val="none"/>
        </w:rPr>
        <w:t>任一项</w:t>
      </w:r>
      <w:r>
        <w:rPr>
          <w:rFonts w:ascii="宋体_GB2312" w:hAnsi="宋体_GB2312" w:eastAsia="宋体_GB2312"/>
          <w:sz w:val="24"/>
          <w:szCs w:val="22"/>
          <w:highlight w:val="none"/>
        </w:rPr>
        <w:t>A类</w:t>
      </w:r>
      <w:r>
        <w:rPr>
          <w:rFonts w:hint="eastAsia" w:ascii="宋体_GB2312" w:hAnsi="宋体_GB2312" w:eastAsia="宋体_GB2312"/>
          <w:sz w:val="24"/>
          <w:szCs w:val="22"/>
          <w:highlight w:val="none"/>
        </w:rPr>
        <w:t>关键指标不合格即判定该投标人本次招标测试不合格，不具备招标入围条件。对于</w:t>
      </w:r>
      <w:r>
        <w:rPr>
          <w:rFonts w:ascii="宋体_GB2312" w:hAnsi="宋体_GB2312" w:eastAsia="宋体_GB2312"/>
          <w:sz w:val="24"/>
          <w:szCs w:val="22"/>
          <w:highlight w:val="none"/>
        </w:rPr>
        <w:t>B类</w:t>
      </w:r>
      <w:r>
        <w:rPr>
          <w:rFonts w:ascii="宋体_GB2312" w:hAnsi="宋体_GB2312" w:eastAsia="宋体_GB2312"/>
          <w:color w:val="auto"/>
          <w:sz w:val="24"/>
          <w:szCs w:val="22"/>
          <w:highlight w:val="none"/>
        </w:rPr>
        <w:t>指标，</w:t>
      </w:r>
      <w:r>
        <w:rPr>
          <w:rFonts w:hint="eastAsia" w:ascii="宋体_GB2312" w:hAnsi="宋体_GB2312" w:eastAsia="宋体_GB2312"/>
          <w:color w:val="auto"/>
          <w:sz w:val="24"/>
          <w:szCs w:val="22"/>
          <w:highlight w:val="none"/>
        </w:rPr>
        <w:t>每任意两项不合格，则视为一个</w:t>
      </w:r>
      <w:r>
        <w:rPr>
          <w:rFonts w:ascii="宋体_GB2312" w:hAnsi="宋体_GB2312" w:eastAsia="宋体_GB2312"/>
          <w:color w:val="auto"/>
          <w:sz w:val="24"/>
          <w:szCs w:val="22"/>
          <w:highlight w:val="none"/>
        </w:rPr>
        <w:t>A类关键指标不合格</w:t>
      </w:r>
      <w:r>
        <w:rPr>
          <w:rFonts w:hint="eastAsia" w:ascii="宋体_GB2312" w:hAnsi="宋体_GB2312" w:eastAsia="宋体_GB2312"/>
          <w:color w:val="auto"/>
          <w:sz w:val="24"/>
          <w:szCs w:val="22"/>
          <w:highlight w:val="none"/>
        </w:rPr>
        <w:t>，即判定该投标人本次招标测试不合格，不具备招标入围条件。对于</w:t>
      </w:r>
      <w:r>
        <w:rPr>
          <w:rFonts w:ascii="宋体_GB2312" w:hAnsi="宋体_GB2312" w:eastAsia="宋体_GB2312"/>
          <w:color w:val="auto"/>
          <w:sz w:val="24"/>
          <w:szCs w:val="22"/>
          <w:highlight w:val="none"/>
        </w:rPr>
        <w:t>B类</w:t>
      </w:r>
      <w:r>
        <w:rPr>
          <w:rFonts w:hint="eastAsia" w:ascii="宋体_GB2312" w:hAnsi="宋体_GB2312" w:eastAsia="宋体_GB2312"/>
          <w:color w:val="auto"/>
          <w:sz w:val="24"/>
          <w:szCs w:val="22"/>
          <w:highlight w:val="none"/>
        </w:rPr>
        <w:t>指标在招标测试时不合格，但可以上架的（</w:t>
      </w:r>
      <w:r>
        <w:rPr>
          <w:rFonts w:ascii="宋体_GB2312" w:hAnsi="宋体_GB2312" w:eastAsia="宋体_GB2312"/>
          <w:color w:val="auto"/>
          <w:sz w:val="24"/>
          <w:szCs w:val="22"/>
          <w:highlight w:val="none"/>
        </w:rPr>
        <w:t>B类不合格指标</w:t>
      </w:r>
      <w:r>
        <w:rPr>
          <w:rFonts w:hint="eastAsia" w:ascii="宋体_GB2312" w:hAnsi="宋体_GB2312" w:eastAsia="宋体_GB2312"/>
          <w:color w:val="auto"/>
          <w:sz w:val="24"/>
          <w:szCs w:val="22"/>
          <w:highlight w:val="none"/>
          <w:lang w:val="en-US" w:eastAsia="zh-CN"/>
        </w:rPr>
        <w:t>为一项</w:t>
      </w:r>
      <w:r>
        <w:rPr>
          <w:rFonts w:hint="eastAsia" w:ascii="宋体_GB2312" w:hAnsi="宋体_GB2312" w:eastAsia="宋体_GB2312"/>
          <w:color w:val="auto"/>
          <w:sz w:val="24"/>
          <w:szCs w:val="22"/>
          <w:highlight w:val="none"/>
        </w:rPr>
        <w:t>），投标人必须保证在产品上架和供货时，不合格指标应达到本技术规范书要求，全部为合格</w:t>
      </w:r>
      <w:r>
        <w:rPr>
          <w:rFonts w:hint="eastAsia" w:ascii="宋体_GB2312" w:hAnsi="宋体_GB2312" w:eastAsia="宋体_GB2312"/>
          <w:color w:val="auto"/>
          <w:sz w:val="24"/>
          <w:szCs w:val="22"/>
          <w:highlight w:val="none"/>
          <w:lang w:val="en-US" w:eastAsia="zh-CN"/>
        </w:rPr>
        <w:t>指标</w:t>
      </w:r>
      <w:r>
        <w:rPr>
          <w:rFonts w:hint="eastAsia" w:ascii="宋体_GB2312" w:hAnsi="宋体_GB2312" w:eastAsia="宋体_GB2312"/>
          <w:color w:val="auto"/>
          <w:sz w:val="24"/>
          <w:szCs w:val="22"/>
          <w:highlight w:val="none"/>
        </w:rPr>
        <w:t>。该规定也适用于后期抽检测试。</w:t>
      </w:r>
    </w:p>
    <w:p>
      <w:pPr>
        <w:rPr>
          <w:rFonts w:ascii="宋体_GB2312" w:hAnsi="宋体_GB2312" w:eastAsia="宋体_GB2312"/>
          <w:szCs w:val="24"/>
        </w:rPr>
      </w:pPr>
      <w:r>
        <w:rPr>
          <w:rFonts w:ascii="宋体_GB2312" w:hAnsi="宋体_GB2312" w:eastAsia="宋体_GB2312"/>
          <w:szCs w:val="24"/>
          <w:highlight w:val="none"/>
          <w:lang w:val="en-US"/>
        </w:rPr>
        <w:t>1.9</w:t>
      </w:r>
      <w:r>
        <w:rPr>
          <w:rFonts w:hint="eastAsia" w:ascii="宋体_GB2312" w:hAnsi="宋体_GB2312" w:eastAsia="宋体_GB2312"/>
          <w:szCs w:val="24"/>
          <w:highlight w:val="none"/>
          <w:lang w:val="en-US"/>
        </w:rPr>
        <w:t>本文件的解释权属于招标人。</w:t>
      </w:r>
      <w:bookmarkStart w:id="41" w:name="_Toc270064528"/>
      <w:bookmarkEnd w:id="41"/>
      <w:bookmarkStart w:id="42" w:name="_Toc263344346"/>
      <w:bookmarkEnd w:id="42"/>
      <w:bookmarkStart w:id="43" w:name="_Toc271100240"/>
      <w:bookmarkEnd w:id="43"/>
      <w:bookmarkStart w:id="44" w:name="_Toc263346469"/>
      <w:bookmarkEnd w:id="44"/>
    </w:p>
    <w:p>
      <w:pPr>
        <w:pStyle w:val="2"/>
        <w:spacing w:before="0" w:beforeLines="0" w:after="0" w:line="276" w:lineRule="auto"/>
        <w:jc w:val="both"/>
        <w:rPr>
          <w:rFonts w:ascii="宋体_GB2312" w:hAnsi="宋体_GB2312" w:eastAsia="宋体_GB2312"/>
          <w:sz w:val="24"/>
          <w:szCs w:val="24"/>
          <w:lang w:val="en-US"/>
        </w:rPr>
      </w:pPr>
      <w:bookmarkStart w:id="45" w:name="_Toc466474539"/>
      <w:bookmarkEnd w:id="45"/>
      <w:bookmarkStart w:id="46" w:name="_Toc466474533"/>
      <w:bookmarkEnd w:id="46"/>
      <w:bookmarkStart w:id="47" w:name="_Toc466474536"/>
      <w:bookmarkEnd w:id="47"/>
      <w:bookmarkStart w:id="48" w:name="_Toc466474540"/>
      <w:bookmarkEnd w:id="48"/>
      <w:bookmarkStart w:id="49" w:name="_Toc466474534"/>
      <w:bookmarkEnd w:id="49"/>
      <w:bookmarkStart w:id="50" w:name="_Toc466474541"/>
      <w:bookmarkEnd w:id="50"/>
      <w:bookmarkStart w:id="51" w:name="_Toc466474538"/>
      <w:bookmarkEnd w:id="51"/>
      <w:bookmarkStart w:id="52" w:name="_Toc177831360"/>
      <w:bookmarkEnd w:id="52"/>
      <w:bookmarkStart w:id="53" w:name="_Toc466474535"/>
      <w:bookmarkEnd w:id="53"/>
      <w:bookmarkStart w:id="54" w:name="_Toc466474542"/>
      <w:bookmarkEnd w:id="54"/>
      <w:bookmarkStart w:id="55" w:name="_Toc466474532"/>
      <w:bookmarkEnd w:id="55"/>
      <w:bookmarkStart w:id="56" w:name="_Toc466474537"/>
      <w:bookmarkEnd w:id="56"/>
      <w:bookmarkStart w:id="57" w:name="_Toc466474543"/>
      <w:bookmarkEnd w:id="57"/>
      <w:bookmarkStart w:id="58" w:name="_Toc30739"/>
      <w:bookmarkStart w:id="59" w:name="_Toc17184316"/>
      <w:bookmarkStart w:id="60" w:name="_Toc532376584"/>
      <w:r>
        <w:rPr>
          <w:rFonts w:ascii="宋体_GB2312" w:hAnsi="宋体_GB2312" w:eastAsia="宋体_GB2312"/>
          <w:sz w:val="24"/>
          <w:szCs w:val="24"/>
          <w:lang w:val="en-US"/>
        </w:rPr>
        <w:t>2</w:t>
      </w:r>
      <w:r>
        <w:rPr>
          <w:rFonts w:hint="eastAsia" w:ascii="宋体_GB2312" w:hAnsi="宋体_GB2312" w:eastAsia="宋体_GB2312"/>
          <w:sz w:val="24"/>
          <w:szCs w:val="24"/>
          <w:lang w:val="en-US"/>
        </w:rPr>
        <w:t>类型及定义</w:t>
      </w:r>
      <w:bookmarkEnd w:id="58"/>
      <w:bookmarkEnd w:id="59"/>
      <w:bookmarkEnd w:id="60"/>
    </w:p>
    <w:p>
      <w:pPr>
        <w:pStyle w:val="3"/>
        <w:keepNext/>
        <w:spacing w:before="260" w:beforeLines="0" w:after="260" w:line="416" w:lineRule="atLeast"/>
        <w:ind w:right="240"/>
        <w:jc w:val="both"/>
        <w:rPr>
          <w:rFonts w:ascii="宋体_GB2312" w:hAnsi="宋体_GB2312" w:eastAsia="宋体_GB2312"/>
          <w:kern w:val="0"/>
          <w:szCs w:val="32"/>
          <w:lang w:val="en-US"/>
        </w:rPr>
      </w:pPr>
      <w:bookmarkStart w:id="61" w:name="_Toc532376585"/>
      <w:bookmarkStart w:id="62" w:name="_Toc26288"/>
      <w:bookmarkStart w:id="63" w:name="_Toc17184317"/>
      <w:r>
        <w:rPr>
          <w:rFonts w:ascii="宋体_GB2312" w:hAnsi="宋体_GB2312" w:eastAsia="宋体_GB2312"/>
          <w:kern w:val="0"/>
          <w:szCs w:val="32"/>
          <w:lang w:val="en-US"/>
        </w:rPr>
        <w:t>2.1</w:t>
      </w:r>
      <w:r>
        <w:rPr>
          <w:rFonts w:hint="eastAsia" w:ascii="宋体_GB2312" w:hAnsi="宋体_GB2312" w:eastAsia="宋体_GB2312"/>
          <w:kern w:val="0"/>
          <w:szCs w:val="32"/>
          <w:lang w:val="en-US"/>
        </w:rPr>
        <w:t>按工作带宽分</w:t>
      </w:r>
      <w:bookmarkEnd w:id="61"/>
      <w:r>
        <w:rPr>
          <w:rFonts w:hint="eastAsia" w:ascii="宋体_GB2312" w:hAnsi="宋体_GB2312" w:eastAsia="宋体_GB2312"/>
          <w:kern w:val="0"/>
          <w:szCs w:val="32"/>
          <w:lang w:val="en-US"/>
        </w:rPr>
        <w:t>类</w:t>
      </w:r>
      <w:bookmarkEnd w:id="62"/>
      <w:bookmarkEnd w:id="63"/>
    </w:p>
    <w:p>
      <w:pPr>
        <w:rPr>
          <w:rFonts w:ascii="宋体_GB2312" w:hAnsi="宋体_GB2312" w:eastAsia="宋体_GB2312"/>
          <w:szCs w:val="24"/>
          <w:lang w:val="en-US"/>
        </w:rPr>
      </w:pPr>
      <w:r>
        <w:rPr>
          <w:rFonts w:hint="eastAsia" w:ascii="宋体_GB2312" w:hAnsi="宋体_GB2312" w:eastAsia="宋体_GB2312"/>
          <w:szCs w:val="24"/>
          <w:lang w:val="en-US"/>
        </w:rPr>
        <w:t>本次招标产品为全带宽（适用波长</w:t>
      </w:r>
      <w:r>
        <w:rPr>
          <w:rFonts w:ascii="宋体_GB2312" w:hAnsi="宋体_GB2312" w:eastAsia="宋体_GB2312"/>
          <w:szCs w:val="24"/>
          <w:lang w:val="en-US"/>
        </w:rPr>
        <w:t>1260</w:t>
      </w:r>
      <w:r>
        <w:rPr>
          <w:rFonts w:hint="eastAsia" w:ascii="宋体_GB2312" w:hAnsi="宋体_GB2312" w:eastAsia="宋体_GB2312"/>
          <w:szCs w:val="24"/>
          <w:lang w:val="en-US"/>
        </w:rPr>
        <w:t>～</w:t>
      </w:r>
      <w:r>
        <w:rPr>
          <w:rFonts w:ascii="宋体_GB2312" w:hAnsi="宋体_GB2312" w:eastAsia="宋体_GB2312"/>
          <w:szCs w:val="24"/>
          <w:lang w:val="en-US"/>
        </w:rPr>
        <w:t>1650 nm</w:t>
      </w:r>
      <w:r>
        <w:rPr>
          <w:rFonts w:hint="eastAsia" w:ascii="宋体_GB2312" w:hAnsi="宋体_GB2312" w:eastAsia="宋体_GB2312"/>
          <w:szCs w:val="24"/>
          <w:lang w:val="en-US"/>
        </w:rPr>
        <w:t>）平面光波导型光</w:t>
      </w:r>
      <w:r>
        <w:rPr>
          <w:rFonts w:ascii="宋体_GB2312" w:hAnsi="宋体_GB2312" w:eastAsia="宋体_GB2312"/>
          <w:szCs w:val="24"/>
          <w:lang w:val="en-US"/>
        </w:rPr>
        <w:t>分路器</w:t>
      </w:r>
      <w:r>
        <w:rPr>
          <w:rFonts w:hint="eastAsia" w:ascii="宋体_GB2312" w:hAnsi="宋体_GB2312" w:eastAsia="宋体_GB2312"/>
          <w:szCs w:val="24"/>
          <w:lang w:val="en-US"/>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64" w:name="_Toc532376586"/>
      <w:bookmarkStart w:id="65" w:name="_Toc8319"/>
      <w:bookmarkStart w:id="66" w:name="_Toc17184318"/>
      <w:r>
        <w:rPr>
          <w:rFonts w:ascii="宋体_GB2312" w:hAnsi="宋体_GB2312" w:eastAsia="宋体_GB2312"/>
          <w:kern w:val="0"/>
          <w:szCs w:val="32"/>
          <w:lang w:val="en-US"/>
        </w:rPr>
        <w:t>2.2</w:t>
      </w:r>
      <w:r>
        <w:rPr>
          <w:rFonts w:hint="eastAsia" w:ascii="宋体_GB2312" w:hAnsi="宋体_GB2312" w:eastAsia="宋体_GB2312"/>
          <w:kern w:val="0"/>
          <w:szCs w:val="32"/>
          <w:lang w:val="en-US"/>
        </w:rPr>
        <w:t>按输入</w:t>
      </w:r>
      <w:r>
        <w:rPr>
          <w:rFonts w:ascii="宋体_GB2312" w:hAnsi="宋体_GB2312" w:eastAsia="宋体_GB2312"/>
          <w:kern w:val="0"/>
          <w:szCs w:val="32"/>
          <w:lang w:val="en-US"/>
        </w:rPr>
        <w:t>/输出</w:t>
      </w:r>
      <w:r>
        <w:rPr>
          <w:rFonts w:hint="eastAsia" w:ascii="宋体_GB2312" w:hAnsi="宋体_GB2312" w:eastAsia="宋体_GB2312"/>
          <w:kern w:val="0"/>
          <w:szCs w:val="32"/>
          <w:lang w:val="en-US"/>
        </w:rPr>
        <w:t>端口</w:t>
      </w:r>
      <w:r>
        <w:rPr>
          <w:rFonts w:ascii="宋体_GB2312" w:hAnsi="宋体_GB2312" w:eastAsia="宋体_GB2312"/>
          <w:kern w:val="0"/>
          <w:szCs w:val="32"/>
          <w:lang w:val="en-US"/>
        </w:rPr>
        <w:t>数</w:t>
      </w:r>
      <w:r>
        <w:rPr>
          <w:rFonts w:hint="eastAsia" w:ascii="宋体_GB2312" w:hAnsi="宋体_GB2312" w:eastAsia="宋体_GB2312"/>
          <w:kern w:val="0"/>
          <w:szCs w:val="32"/>
          <w:lang w:val="en-US"/>
        </w:rPr>
        <w:t>分</w:t>
      </w:r>
      <w:bookmarkEnd w:id="64"/>
      <w:r>
        <w:rPr>
          <w:rFonts w:hint="eastAsia" w:ascii="宋体_GB2312" w:hAnsi="宋体_GB2312" w:eastAsia="宋体_GB2312"/>
          <w:kern w:val="0"/>
          <w:szCs w:val="32"/>
          <w:lang w:val="en-US"/>
        </w:rPr>
        <w:t>类</w:t>
      </w:r>
      <w:bookmarkEnd w:id="65"/>
      <w:bookmarkEnd w:id="66"/>
    </w:p>
    <w:p>
      <w:pPr>
        <w:rPr>
          <w:rFonts w:ascii="宋体_GB2312" w:hAnsi="宋体_GB2312" w:eastAsia="宋体_GB2312"/>
          <w:szCs w:val="24"/>
          <w:lang w:val="en-US"/>
        </w:rPr>
      </w:pPr>
      <w:r>
        <w:rPr>
          <w:rFonts w:hint="eastAsia" w:ascii="宋体_GB2312" w:hAnsi="宋体_GB2312" w:eastAsia="宋体_GB2312"/>
          <w:szCs w:val="24"/>
          <w:lang w:val="en-US"/>
        </w:rPr>
        <w:t>按器件输入</w:t>
      </w:r>
      <w:r>
        <w:rPr>
          <w:rFonts w:ascii="宋体_GB2312" w:hAnsi="宋体_GB2312" w:eastAsia="宋体_GB2312"/>
          <w:szCs w:val="24"/>
          <w:lang w:val="en-US"/>
        </w:rPr>
        <w:t>/输出</w:t>
      </w:r>
      <w:r>
        <w:rPr>
          <w:rFonts w:hint="eastAsia" w:ascii="宋体_GB2312" w:hAnsi="宋体_GB2312" w:eastAsia="宋体_GB2312"/>
          <w:szCs w:val="24"/>
          <w:lang w:val="en-US"/>
        </w:rPr>
        <w:t>端口数分为</w:t>
      </w:r>
      <w:r>
        <w:rPr>
          <w:rFonts w:ascii="宋体_GB2312" w:hAnsi="宋体_GB2312" w:eastAsia="宋体_GB2312"/>
          <w:szCs w:val="24"/>
          <w:lang w:val="en-US"/>
        </w:rPr>
        <w:t>1×N PLC</w:t>
      </w:r>
      <w:r>
        <w:rPr>
          <w:rFonts w:hint="eastAsia" w:ascii="宋体_GB2312" w:hAnsi="宋体_GB2312" w:eastAsia="宋体_GB2312"/>
          <w:szCs w:val="24"/>
          <w:lang w:val="en-US"/>
        </w:rPr>
        <w:t>光分路器和</w:t>
      </w:r>
      <w:r>
        <w:rPr>
          <w:rFonts w:ascii="宋体_GB2312" w:hAnsi="宋体_GB2312" w:eastAsia="宋体_GB2312"/>
          <w:szCs w:val="24"/>
          <w:lang w:val="en-US"/>
        </w:rPr>
        <w:t>2</w:t>
      </w:r>
      <w:r>
        <w:rPr>
          <w:rFonts w:hint="eastAsia" w:ascii="宋体_GB2312" w:hAnsi="宋体_GB2312" w:eastAsia="宋体_GB2312"/>
          <w:szCs w:val="24"/>
          <w:lang w:val="en-US"/>
        </w:rPr>
        <w:t>×</w:t>
      </w:r>
      <w:r>
        <w:rPr>
          <w:rFonts w:ascii="宋体_GB2312" w:hAnsi="宋体_GB2312" w:eastAsia="宋体_GB2312"/>
          <w:szCs w:val="24"/>
          <w:lang w:val="en-US"/>
        </w:rPr>
        <w:t>N PLC</w:t>
      </w:r>
      <w:r>
        <w:rPr>
          <w:rFonts w:hint="eastAsia" w:ascii="宋体_GB2312" w:hAnsi="宋体_GB2312" w:eastAsia="宋体_GB2312"/>
          <w:szCs w:val="24"/>
          <w:lang w:val="en-US"/>
        </w:rPr>
        <w:t>光分路器，</w:t>
      </w:r>
      <w:r>
        <w:rPr>
          <w:rFonts w:ascii="宋体_GB2312" w:hAnsi="宋体_GB2312" w:eastAsia="宋体_GB2312"/>
          <w:szCs w:val="24"/>
          <w:lang w:val="en-US"/>
        </w:rPr>
        <w:t>N可为2/4/8/16/32/64/128</w:t>
      </w:r>
      <w:r>
        <w:rPr>
          <w:rFonts w:hint="eastAsia" w:ascii="宋体_GB2312" w:hAnsi="宋体_GB2312" w:eastAsia="宋体_GB2312"/>
          <w:szCs w:val="24"/>
          <w:lang w:val="en-US"/>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67" w:name="_Toc270064535"/>
      <w:bookmarkEnd w:id="67"/>
      <w:bookmarkStart w:id="68" w:name="_Toc263346476"/>
      <w:bookmarkEnd w:id="68"/>
      <w:bookmarkStart w:id="69" w:name="_Toc271100247"/>
      <w:bookmarkEnd w:id="69"/>
      <w:bookmarkStart w:id="70" w:name="_Toc532376587"/>
      <w:bookmarkStart w:id="71" w:name="_Toc17231"/>
      <w:bookmarkStart w:id="72" w:name="_Toc17184319"/>
      <w:r>
        <w:rPr>
          <w:rFonts w:ascii="宋体_GB2312" w:hAnsi="宋体_GB2312" w:eastAsia="宋体_GB2312"/>
          <w:kern w:val="0"/>
          <w:szCs w:val="32"/>
          <w:lang w:val="en-US"/>
        </w:rPr>
        <w:t>2.3</w:t>
      </w:r>
      <w:r>
        <w:rPr>
          <w:rFonts w:hint="eastAsia" w:ascii="宋体_GB2312" w:hAnsi="宋体_GB2312" w:eastAsia="宋体_GB2312"/>
          <w:kern w:val="0"/>
          <w:szCs w:val="32"/>
          <w:lang w:val="en-US"/>
        </w:rPr>
        <w:t>按尾纤类型分</w:t>
      </w:r>
      <w:bookmarkEnd w:id="70"/>
      <w:r>
        <w:rPr>
          <w:rFonts w:hint="eastAsia" w:ascii="宋体_GB2312" w:hAnsi="宋体_GB2312" w:eastAsia="宋体_GB2312"/>
          <w:kern w:val="0"/>
          <w:szCs w:val="32"/>
          <w:lang w:val="en-US"/>
        </w:rPr>
        <w:t>类</w:t>
      </w:r>
      <w:bookmarkEnd w:id="71"/>
      <w:bookmarkEnd w:id="72"/>
    </w:p>
    <w:p>
      <w:pPr>
        <w:rPr>
          <w:rFonts w:ascii="宋体_GB2312" w:hAnsi="宋体_GB2312" w:eastAsia="宋体_GB2312"/>
          <w:szCs w:val="24"/>
          <w:lang w:val="en-US"/>
        </w:rPr>
      </w:pPr>
      <w:r>
        <w:rPr>
          <w:rFonts w:hint="eastAsia" w:ascii="宋体_GB2312" w:hAnsi="宋体_GB2312" w:eastAsia="宋体_GB2312"/>
          <w:szCs w:val="24"/>
          <w:lang w:val="en-US"/>
        </w:rPr>
        <w:t>按尾纤类型分为：</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1）</w:t>
      </w:r>
      <w:r>
        <w:rPr>
          <w:rFonts w:hint="eastAsia" w:ascii="宋体_GB2312" w:hAnsi="宋体_GB2312" w:eastAsia="宋体_GB2312"/>
          <w:szCs w:val="24"/>
          <w:lang w:val="en-US"/>
        </w:rPr>
        <w:t>尾纤型</w:t>
      </w:r>
      <w:r>
        <w:rPr>
          <w:rFonts w:ascii="宋体_GB2312" w:hAnsi="宋体_GB2312" w:eastAsia="宋体_GB2312"/>
          <w:szCs w:val="24"/>
          <w:lang w:val="en-US"/>
        </w:rPr>
        <w:t>PLC</w:t>
      </w:r>
      <w:r>
        <w:rPr>
          <w:rFonts w:hint="eastAsia" w:ascii="宋体_GB2312" w:hAnsi="宋体_GB2312" w:eastAsia="宋体_GB2312"/>
          <w:szCs w:val="24"/>
          <w:lang w:val="en-US"/>
        </w:rPr>
        <w:t>光分路器</w:t>
      </w:r>
      <w:r>
        <w:rPr>
          <w:rFonts w:ascii="宋体_GB2312" w:hAnsi="宋体_GB2312" w:eastAsia="宋体_GB2312"/>
          <w:szCs w:val="24"/>
          <w:lang w:val="en-US"/>
        </w:rPr>
        <w:t xml:space="preserve"> (PLC</w:t>
      </w:r>
      <w:r>
        <w:rPr>
          <w:rFonts w:hint="eastAsia" w:ascii="宋体_GB2312" w:hAnsi="宋体_GB2312" w:eastAsia="宋体_GB2312"/>
          <w:szCs w:val="24"/>
          <w:lang w:val="en-US"/>
        </w:rPr>
        <w:t>器件</w:t>
      </w:r>
      <w:r>
        <w:rPr>
          <w:rFonts w:ascii="宋体_GB2312" w:hAnsi="宋体_GB2312" w:eastAsia="宋体_GB2312"/>
          <w:szCs w:val="24"/>
          <w:lang w:val="en-US"/>
        </w:rPr>
        <w:t>)</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2）</w:t>
      </w:r>
      <w:r>
        <w:rPr>
          <w:rFonts w:hint="eastAsia" w:ascii="宋体_GB2312" w:hAnsi="宋体_GB2312" w:eastAsia="宋体_GB2312"/>
          <w:szCs w:val="24"/>
          <w:lang w:val="en-US"/>
        </w:rPr>
        <w:t>带连接器插头的</w:t>
      </w:r>
      <w:r>
        <w:rPr>
          <w:rFonts w:ascii="宋体_GB2312" w:hAnsi="宋体_GB2312" w:eastAsia="宋体_GB2312"/>
          <w:szCs w:val="24"/>
          <w:lang w:val="en-US"/>
        </w:rPr>
        <w:t>PLC</w:t>
      </w:r>
      <w:r>
        <w:rPr>
          <w:rFonts w:hint="eastAsia" w:ascii="宋体_GB2312" w:hAnsi="宋体_GB2312" w:eastAsia="宋体_GB2312"/>
          <w:szCs w:val="24"/>
          <w:lang w:val="en-US"/>
        </w:rPr>
        <w:t>光分路器</w:t>
      </w:r>
      <w:r>
        <w:rPr>
          <w:rFonts w:ascii="宋体_GB2312" w:hAnsi="宋体_GB2312" w:eastAsia="宋体_GB2312"/>
          <w:szCs w:val="24"/>
          <w:lang w:val="en-US"/>
        </w:rPr>
        <w:t xml:space="preserve"> (</w:t>
      </w:r>
      <w:r>
        <w:rPr>
          <w:rFonts w:hint="eastAsia" w:ascii="宋体_GB2312" w:hAnsi="宋体_GB2312" w:eastAsia="宋体_GB2312"/>
          <w:szCs w:val="24"/>
          <w:lang w:val="en-US"/>
        </w:rPr>
        <w:t>插头型</w:t>
      </w:r>
      <w:r>
        <w:rPr>
          <w:rFonts w:ascii="宋体_GB2312" w:hAnsi="宋体_GB2312" w:eastAsia="宋体_GB2312"/>
          <w:szCs w:val="24"/>
          <w:lang w:val="en-US"/>
        </w:rPr>
        <w:t>PLC</w:t>
      </w:r>
      <w:r>
        <w:rPr>
          <w:rFonts w:hint="eastAsia" w:ascii="宋体_GB2312" w:hAnsi="宋体_GB2312" w:eastAsia="宋体_GB2312"/>
          <w:szCs w:val="24"/>
          <w:lang w:val="en-US"/>
        </w:rPr>
        <w:t>组件</w:t>
      </w:r>
      <w:r>
        <w:rPr>
          <w:rFonts w:ascii="宋体_GB2312" w:hAnsi="宋体_GB2312" w:eastAsia="宋体_GB2312"/>
          <w:szCs w:val="24"/>
          <w:lang w:val="en-US"/>
        </w:rPr>
        <w:t>)</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3）</w:t>
      </w:r>
      <w:r>
        <w:rPr>
          <w:rFonts w:hint="eastAsia" w:ascii="宋体_GB2312" w:hAnsi="宋体_GB2312" w:eastAsia="宋体_GB2312"/>
          <w:szCs w:val="24"/>
          <w:lang w:val="en-US"/>
        </w:rPr>
        <w:t>带适配器的</w:t>
      </w:r>
      <w:r>
        <w:rPr>
          <w:rFonts w:ascii="宋体_GB2312" w:hAnsi="宋体_GB2312" w:eastAsia="宋体_GB2312"/>
          <w:szCs w:val="24"/>
          <w:lang w:val="en-US"/>
        </w:rPr>
        <w:t>PLC</w:t>
      </w:r>
      <w:r>
        <w:rPr>
          <w:rFonts w:hint="eastAsia" w:ascii="宋体_GB2312" w:hAnsi="宋体_GB2312" w:eastAsia="宋体_GB2312"/>
          <w:szCs w:val="24"/>
          <w:lang w:val="en-US"/>
        </w:rPr>
        <w:t>光分路器</w:t>
      </w:r>
      <w:r>
        <w:rPr>
          <w:rFonts w:ascii="宋体_GB2312" w:hAnsi="宋体_GB2312" w:eastAsia="宋体_GB2312"/>
          <w:szCs w:val="24"/>
          <w:lang w:val="en-US"/>
        </w:rPr>
        <w:t xml:space="preserve"> (</w:t>
      </w:r>
      <w:r>
        <w:rPr>
          <w:rFonts w:hint="eastAsia" w:ascii="宋体_GB2312" w:hAnsi="宋体_GB2312" w:eastAsia="宋体_GB2312"/>
          <w:szCs w:val="24"/>
          <w:lang w:val="en-US"/>
        </w:rPr>
        <w:t>适配器型</w:t>
      </w:r>
      <w:r>
        <w:rPr>
          <w:rFonts w:ascii="宋体_GB2312" w:hAnsi="宋体_GB2312" w:eastAsia="宋体_GB2312"/>
          <w:szCs w:val="24"/>
          <w:lang w:val="en-US"/>
        </w:rPr>
        <w:t>PLC</w:t>
      </w:r>
      <w:r>
        <w:rPr>
          <w:rFonts w:hint="eastAsia" w:ascii="宋体_GB2312" w:hAnsi="宋体_GB2312" w:eastAsia="宋体_GB2312"/>
          <w:szCs w:val="24"/>
          <w:lang w:val="en-US"/>
        </w:rPr>
        <w:t>组件</w:t>
      </w:r>
      <w:r>
        <w:rPr>
          <w:rFonts w:ascii="宋体_GB2312" w:hAnsi="宋体_GB2312" w:eastAsia="宋体_GB2312"/>
          <w:szCs w:val="24"/>
          <w:lang w:val="en-US"/>
        </w:rPr>
        <w:t>)</w:t>
      </w:r>
      <w:r>
        <w:rPr>
          <w:rFonts w:hint="eastAsia" w:ascii="宋体_GB2312" w:hAnsi="宋体_GB2312" w:eastAsia="宋体_GB2312"/>
          <w:szCs w:val="24"/>
          <w:lang w:val="en-US"/>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73" w:name="_Toc271100249"/>
      <w:bookmarkEnd w:id="73"/>
      <w:bookmarkStart w:id="74" w:name="_Toc263344354"/>
      <w:bookmarkEnd w:id="74"/>
      <w:bookmarkStart w:id="75" w:name="_Toc270064537"/>
      <w:bookmarkEnd w:id="75"/>
      <w:bookmarkStart w:id="76" w:name="_Toc263346478"/>
      <w:bookmarkEnd w:id="76"/>
      <w:bookmarkStart w:id="77" w:name="_Toc532376588"/>
      <w:bookmarkStart w:id="78" w:name="_Toc1690"/>
      <w:bookmarkStart w:id="79" w:name="_Toc17184320"/>
      <w:r>
        <w:rPr>
          <w:rFonts w:ascii="宋体_GB2312" w:hAnsi="宋体_GB2312" w:eastAsia="宋体_GB2312"/>
          <w:kern w:val="0"/>
          <w:szCs w:val="32"/>
          <w:lang w:val="en-US"/>
        </w:rPr>
        <w:t>2.4</w:t>
      </w:r>
      <w:r>
        <w:rPr>
          <w:rFonts w:hint="eastAsia" w:ascii="宋体_GB2312" w:hAnsi="宋体_GB2312" w:eastAsia="宋体_GB2312"/>
          <w:kern w:val="0"/>
          <w:szCs w:val="32"/>
          <w:lang w:val="en-US"/>
        </w:rPr>
        <w:t>按封装结构型式分</w:t>
      </w:r>
      <w:bookmarkEnd w:id="77"/>
      <w:bookmarkEnd w:id="78"/>
      <w:bookmarkEnd w:id="79"/>
    </w:p>
    <w:p>
      <w:pPr>
        <w:rPr>
          <w:rFonts w:ascii="宋体_GB2312" w:hAnsi="宋体_GB2312" w:eastAsia="宋体_GB2312"/>
          <w:lang w:val="en-US"/>
        </w:rPr>
      </w:pPr>
      <w:r>
        <w:rPr>
          <w:rFonts w:hint="eastAsia" w:ascii="宋体_GB2312" w:hAnsi="宋体_GB2312" w:eastAsia="宋体_GB2312"/>
          <w:lang w:val="en-US"/>
        </w:rPr>
        <w:t>根据不同的安装设施和安装环境，</w:t>
      </w:r>
      <w:r>
        <w:rPr>
          <w:rFonts w:hint="eastAsia" w:ascii="宋体_GB2312" w:hAnsi="宋体_GB2312" w:eastAsia="宋体_GB2312"/>
          <w:szCs w:val="24"/>
        </w:rPr>
        <w:t>光分路器</w:t>
      </w:r>
      <w:r>
        <w:rPr>
          <w:rFonts w:hint="eastAsia" w:ascii="宋体_GB2312" w:hAnsi="宋体_GB2312" w:eastAsia="宋体_GB2312"/>
          <w:lang w:val="en-US"/>
        </w:rPr>
        <w:t>可分为五种</w:t>
      </w:r>
      <w:r>
        <w:rPr>
          <w:rFonts w:hint="eastAsia" w:ascii="宋体_GB2312" w:hAnsi="宋体_GB2312" w:eastAsia="宋体_GB2312"/>
          <w:szCs w:val="24"/>
        </w:rPr>
        <w:t>封装结构：机架式封装、盒式封装、微型</w:t>
      </w:r>
      <w:r>
        <w:rPr>
          <w:rFonts w:hint="eastAsia" w:ascii="宋体_GB2312" w:hAnsi="宋体_GB2312" w:eastAsia="宋体_GB2312"/>
          <w:szCs w:val="24"/>
          <w:lang w:val="en-US"/>
        </w:rPr>
        <w:t>封装</w:t>
      </w:r>
      <w:r>
        <w:rPr>
          <w:rFonts w:hint="eastAsia" w:ascii="宋体_GB2312" w:hAnsi="宋体_GB2312" w:eastAsia="宋体_GB2312"/>
          <w:szCs w:val="24"/>
        </w:rPr>
        <w:t>、插片式封装和托盘式封装。</w:t>
      </w:r>
    </w:p>
    <w:p>
      <w:pP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1）</w:t>
      </w:r>
      <w:r>
        <w:rPr>
          <w:rFonts w:hint="eastAsia" w:ascii="宋体_GB2312" w:hAnsi="宋体_GB2312" w:eastAsia="宋体_GB2312"/>
        </w:rPr>
        <w:t>机架式封装：指将光分路器芯片、内部盘纤封装在一个适合安装在</w:t>
      </w:r>
      <w:r>
        <w:rPr>
          <w:rFonts w:ascii="宋体_GB2312" w:hAnsi="宋体_GB2312" w:eastAsia="宋体_GB2312"/>
        </w:rPr>
        <w:t>19英寸</w:t>
      </w:r>
      <w:r>
        <w:rPr>
          <w:rFonts w:hint="eastAsia" w:ascii="宋体_GB2312" w:hAnsi="宋体_GB2312" w:eastAsia="宋体_GB2312"/>
        </w:rPr>
        <w:t>标准机架内的框体中，外部引出光纤适配器。</w:t>
      </w:r>
    </w:p>
    <w:p>
      <w:pP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2）</w:t>
      </w:r>
      <w:r>
        <w:rPr>
          <w:rFonts w:hint="eastAsia" w:ascii="宋体_GB2312" w:hAnsi="宋体_GB2312" w:eastAsia="宋体_GB2312"/>
        </w:rPr>
        <w:t>盒式封装：指将光分路器芯片、内部盘纤封装在一个盒体内，外部直接引出尾纤或带连接器插头。适用于</w:t>
      </w:r>
      <w:r>
        <w:rPr>
          <w:rFonts w:ascii="宋体_GB2312" w:hAnsi="宋体_GB2312" w:eastAsia="宋体_GB2312"/>
        </w:rPr>
        <w:t>分纤</w:t>
      </w:r>
      <w:r>
        <w:rPr>
          <w:rFonts w:hint="eastAsia" w:ascii="宋体_GB2312" w:hAnsi="宋体_GB2312" w:eastAsia="宋体_GB2312"/>
        </w:rPr>
        <w:t>箱</w:t>
      </w:r>
      <w:r>
        <w:rPr>
          <w:rFonts w:ascii="宋体_GB2312" w:hAnsi="宋体_GB2312" w:eastAsia="宋体_GB2312"/>
        </w:rPr>
        <w:t>/盒</w:t>
      </w:r>
      <w:r>
        <w:rPr>
          <w:rFonts w:hint="eastAsia" w:ascii="宋体_GB2312" w:hAnsi="宋体_GB2312" w:eastAsia="宋体_GB2312"/>
        </w:rPr>
        <w:t>、托盘式安装。</w:t>
      </w:r>
    </w:p>
    <w:p>
      <w:pP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3）</w:t>
      </w:r>
      <w:r>
        <w:rPr>
          <w:rFonts w:hint="eastAsia" w:ascii="宋体_GB2312" w:hAnsi="宋体_GB2312" w:eastAsia="宋体_GB2312"/>
        </w:rPr>
        <w:t>微型封装：指将光分路器芯片主体部分密闭封装，直接引出尾纤或带连接器插头。适用于接头盒、分纤盒内等隐蔽方式安装。</w:t>
      </w:r>
    </w:p>
    <w:p>
      <w:pP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4）</w:t>
      </w:r>
      <w:r>
        <w:rPr>
          <w:rFonts w:hint="eastAsia" w:ascii="宋体_GB2312" w:hAnsi="宋体_GB2312" w:eastAsia="宋体_GB2312"/>
        </w:rPr>
        <w:t>插片式封装：整体</w:t>
      </w:r>
      <w:r>
        <w:rPr>
          <w:rFonts w:ascii="宋体_GB2312" w:hAnsi="宋体_GB2312" w:eastAsia="宋体_GB2312"/>
        </w:rPr>
        <w:t>密封，并</w:t>
      </w:r>
      <w:r>
        <w:rPr>
          <w:rFonts w:hint="eastAsia" w:ascii="宋体_GB2312" w:hAnsi="宋体_GB2312" w:eastAsia="宋体_GB2312"/>
        </w:rPr>
        <w:t>带有光纤适配器，安装在光缆交接箱、</w:t>
      </w:r>
      <w:r>
        <w:rPr>
          <w:rFonts w:ascii="宋体_GB2312" w:hAnsi="宋体_GB2312" w:eastAsia="宋体_GB2312"/>
        </w:rPr>
        <w:t>ODF架等内置的插箱，配合导纤</w:t>
      </w:r>
      <w:r>
        <w:rPr>
          <w:rFonts w:hint="eastAsia" w:ascii="宋体_GB2312" w:hAnsi="宋体_GB2312" w:eastAsia="宋体_GB2312"/>
          <w:szCs w:val="24"/>
          <w:lang w:val="en-US"/>
        </w:rPr>
        <w:t>装置</w:t>
      </w:r>
      <w:r>
        <w:rPr>
          <w:rFonts w:hint="eastAsia" w:ascii="宋体_GB2312" w:hAnsi="宋体_GB2312" w:eastAsia="宋体_GB2312"/>
        </w:rPr>
        <w:t>使用。</w:t>
      </w:r>
    </w:p>
    <w:p>
      <w:pPr>
        <w:rPr>
          <w:rFonts w:ascii="宋体_GB2312" w:hAnsi="宋体_GB2312" w:eastAsia="宋体_GB2312"/>
        </w:rPr>
      </w:pPr>
      <w:r>
        <w:rPr>
          <w:rFonts w:hint="eastAsia" w:ascii="宋体_GB2312" w:hAnsi="宋体_GB2312" w:eastAsia="宋体_GB2312"/>
        </w:rPr>
        <w:t>（</w:t>
      </w:r>
      <w:r>
        <w:rPr>
          <w:rFonts w:ascii="宋体_GB2312" w:hAnsi="宋体_GB2312" w:eastAsia="宋体_GB2312"/>
        </w:rPr>
        <w:t>5）</w:t>
      </w:r>
      <w:r>
        <w:rPr>
          <w:rFonts w:hint="eastAsia" w:ascii="宋体_GB2312" w:hAnsi="宋体_GB2312" w:eastAsia="宋体_GB2312"/>
        </w:rPr>
        <w:t>托盘式封装：带有光纤适配器，配合导纤装置使用，适用于托盘内安装。</w:t>
      </w:r>
    </w:p>
    <w:p>
      <w:pPr>
        <w:pStyle w:val="2"/>
        <w:spacing w:before="0" w:beforeLines="0" w:after="0" w:line="276" w:lineRule="auto"/>
        <w:jc w:val="both"/>
        <w:rPr>
          <w:rFonts w:ascii="宋体_GB2312" w:hAnsi="宋体_GB2312" w:eastAsia="宋体_GB2312"/>
          <w:sz w:val="24"/>
          <w:szCs w:val="24"/>
          <w:lang w:val="en-US"/>
        </w:rPr>
      </w:pPr>
      <w:bookmarkStart w:id="80" w:name="_Toc177356428"/>
      <w:bookmarkStart w:id="81" w:name="_Toc17184321"/>
      <w:bookmarkStart w:id="82" w:name="_Toc532376589"/>
      <w:bookmarkStart w:id="83" w:name="_Toc9272"/>
      <w:r>
        <w:rPr>
          <w:rFonts w:ascii="宋体_GB2312" w:hAnsi="宋体_GB2312" w:eastAsia="宋体_GB2312"/>
          <w:sz w:val="24"/>
          <w:szCs w:val="24"/>
          <w:lang w:val="en-US"/>
        </w:rPr>
        <w:t>3</w:t>
      </w:r>
      <w:r>
        <w:rPr>
          <w:rFonts w:hint="eastAsia" w:ascii="宋体_GB2312" w:hAnsi="宋体_GB2312" w:eastAsia="宋体_GB2312"/>
          <w:sz w:val="24"/>
          <w:szCs w:val="24"/>
          <w:lang w:val="en-US"/>
        </w:rPr>
        <w:t>技术要求</w:t>
      </w:r>
      <w:bookmarkEnd w:id="80"/>
      <w:bookmarkEnd w:id="81"/>
      <w:bookmarkEnd w:id="82"/>
      <w:bookmarkEnd w:id="83"/>
    </w:p>
    <w:p>
      <w:pPr>
        <w:pStyle w:val="3"/>
        <w:keepNext/>
        <w:spacing w:before="260" w:beforeLines="0" w:after="260" w:line="416" w:lineRule="atLeast"/>
        <w:ind w:right="240"/>
        <w:jc w:val="both"/>
        <w:rPr>
          <w:rFonts w:ascii="宋体_GB2312" w:hAnsi="宋体_GB2312" w:eastAsia="宋体_GB2312"/>
          <w:kern w:val="0"/>
          <w:szCs w:val="32"/>
          <w:lang w:val="en-US"/>
        </w:rPr>
      </w:pPr>
      <w:bookmarkStart w:id="84" w:name="_Toc17184322"/>
      <w:bookmarkStart w:id="85" w:name="_Toc532376590"/>
      <w:bookmarkStart w:id="86" w:name="_Toc5328"/>
      <w:r>
        <w:rPr>
          <w:rFonts w:ascii="宋体_GB2312" w:hAnsi="宋体_GB2312" w:eastAsia="宋体_GB2312"/>
          <w:kern w:val="0"/>
          <w:szCs w:val="32"/>
          <w:lang w:val="en-US"/>
        </w:rPr>
        <w:t>3.1</w:t>
      </w:r>
      <w:r>
        <w:rPr>
          <w:rFonts w:hint="eastAsia" w:ascii="宋体_GB2312" w:hAnsi="宋体_GB2312" w:eastAsia="宋体_GB2312"/>
          <w:kern w:val="0"/>
          <w:szCs w:val="32"/>
          <w:lang w:val="en-US"/>
        </w:rPr>
        <w:t>基本要求</w:t>
      </w:r>
      <w:bookmarkEnd w:id="84"/>
      <w:bookmarkEnd w:id="85"/>
      <w:bookmarkEnd w:id="86"/>
    </w:p>
    <w:p>
      <w:pPr>
        <w:rPr>
          <w:rFonts w:ascii="宋体_GB2312" w:hAnsi="宋体_GB2312" w:eastAsia="宋体_GB2312"/>
        </w:rPr>
      </w:pPr>
      <w:r>
        <w:rPr>
          <w:rFonts w:hint="eastAsia" w:ascii="宋体_GB2312" w:hAnsi="宋体_GB2312" w:eastAsia="宋体_GB2312"/>
          <w:szCs w:val="24"/>
        </w:rPr>
        <w:t>（</w:t>
      </w:r>
      <w:r>
        <w:rPr>
          <w:rFonts w:ascii="宋体_GB2312" w:hAnsi="宋体_GB2312" w:eastAsia="宋体_GB2312"/>
          <w:szCs w:val="24"/>
        </w:rPr>
        <w:t>1）</w:t>
      </w:r>
      <w:r>
        <w:rPr>
          <w:rFonts w:hint="eastAsia" w:ascii="宋体_GB2312" w:hAnsi="宋体_GB2312" w:eastAsia="宋体_GB2312"/>
        </w:rPr>
        <w:t>光分路器模块应经济高效、坚固且结构紧凑，所有器件应固定良好并可提供足够的供管理、连接、安装、维护、检验、测试用的空间。</w:t>
      </w:r>
    </w:p>
    <w:p>
      <w:pPr>
        <w:rPr>
          <w:rFonts w:ascii="宋体_GB2312" w:hAnsi="宋体_GB2312" w:eastAsia="宋体_GB2312"/>
          <w:szCs w:val="24"/>
        </w:rPr>
      </w:pPr>
      <w:r>
        <w:rPr>
          <w:rFonts w:hint="eastAsia" w:ascii="宋体_GB2312" w:hAnsi="宋体_GB2312" w:eastAsia="宋体_GB2312"/>
          <w:szCs w:val="24"/>
        </w:rPr>
        <w:t>（</w:t>
      </w:r>
      <w:r>
        <w:rPr>
          <w:rFonts w:ascii="宋体_GB2312" w:hAnsi="宋体_GB2312" w:eastAsia="宋体_GB2312"/>
          <w:szCs w:val="24"/>
        </w:rPr>
        <w:t>2）盘纤单元应保证纤芯、尾纤无论处于何处弯曲，其曲率半径应不小于30mm；保证盘绕的光纤、尾纤不受损伤。其要求参见YD/T 778</w:t>
      </w:r>
      <w:r>
        <w:rPr>
          <w:rFonts w:hint="eastAsia" w:ascii="宋体_GB2312" w:hAnsi="宋体_GB2312" w:eastAsia="宋体_GB2312"/>
        </w:rPr>
        <w:t>《光纤配线架》</w:t>
      </w:r>
      <w:r>
        <w:rPr>
          <w:rFonts w:ascii="宋体_GB2312" w:hAnsi="宋体_GB2312" w:eastAsia="宋体_GB2312"/>
          <w:szCs w:val="24"/>
        </w:rPr>
        <w:t>的相关规定。</w:t>
      </w:r>
    </w:p>
    <w:p>
      <w:pPr>
        <w:rPr>
          <w:rFonts w:ascii="宋体_GB2312" w:hAnsi="宋体_GB2312" w:eastAsia="宋体_GB2312"/>
        </w:rPr>
      </w:pPr>
      <w:r>
        <w:rPr>
          <w:rFonts w:hint="eastAsia" w:ascii="宋体_GB2312" w:hAnsi="宋体_GB2312" w:eastAsia="宋体_GB2312"/>
          <w:szCs w:val="24"/>
        </w:rPr>
        <w:t>（</w:t>
      </w:r>
      <w:r>
        <w:rPr>
          <w:rFonts w:ascii="宋体_GB2312" w:hAnsi="宋体_GB2312" w:eastAsia="宋体_GB2312"/>
          <w:szCs w:val="24"/>
        </w:rPr>
        <w:t>3）所提供光</w:t>
      </w:r>
      <w:r>
        <w:rPr>
          <w:rFonts w:hint="eastAsia" w:ascii="宋体_GB2312" w:hAnsi="宋体_GB2312" w:eastAsia="宋体_GB2312"/>
          <w:szCs w:val="24"/>
          <w:lang w:val="en-US"/>
        </w:rPr>
        <w:t>分路器</w:t>
      </w:r>
      <w:r>
        <w:rPr>
          <w:rFonts w:hint="eastAsia" w:ascii="宋体_GB2312" w:hAnsi="宋体_GB2312" w:eastAsia="宋体_GB2312"/>
          <w:szCs w:val="24"/>
        </w:rPr>
        <w:t>的尾纤应具备</w:t>
      </w:r>
      <w:r>
        <w:rPr>
          <w:rFonts w:ascii="宋体_GB2312" w:hAnsi="宋体_GB2312" w:eastAsia="宋体_GB2312"/>
          <w:szCs w:val="24"/>
        </w:rPr>
        <w:t>G.652D</w:t>
      </w:r>
      <w:r>
        <w:rPr>
          <w:rFonts w:hint="eastAsia" w:ascii="宋体_GB2312" w:hAnsi="宋体_GB2312" w:eastAsia="宋体_GB2312"/>
          <w:szCs w:val="24"/>
        </w:rPr>
        <w:t>（B</w:t>
      </w:r>
      <w:r>
        <w:rPr>
          <w:rFonts w:ascii="宋体_GB2312" w:hAnsi="宋体_GB2312" w:eastAsia="宋体_GB2312"/>
          <w:szCs w:val="24"/>
        </w:rPr>
        <w:t>1.3</w:t>
      </w:r>
      <w:r>
        <w:rPr>
          <w:rFonts w:hint="eastAsia" w:ascii="宋体_GB2312" w:hAnsi="宋体_GB2312" w:eastAsia="宋体_GB2312"/>
          <w:szCs w:val="24"/>
        </w:rPr>
        <w:t>）</w:t>
      </w:r>
      <w:r>
        <w:rPr>
          <w:rFonts w:ascii="宋体_GB2312" w:hAnsi="宋体_GB2312" w:eastAsia="宋体_GB2312"/>
          <w:szCs w:val="24"/>
        </w:rPr>
        <w:t>、G.657A2</w:t>
      </w:r>
      <w:r>
        <w:rPr>
          <w:rFonts w:hint="eastAsia" w:ascii="宋体_GB2312" w:hAnsi="宋体_GB2312" w:eastAsia="宋体_GB2312"/>
          <w:szCs w:val="24"/>
        </w:rPr>
        <w:t>（B</w:t>
      </w:r>
      <w:r>
        <w:rPr>
          <w:rFonts w:ascii="宋体_GB2312" w:hAnsi="宋体_GB2312" w:eastAsia="宋体_GB2312"/>
          <w:szCs w:val="24"/>
        </w:rPr>
        <w:t>6.</w:t>
      </w:r>
      <w:r>
        <w:rPr>
          <w:rFonts w:hint="eastAsia" w:ascii="宋体_GB2312" w:hAnsi="宋体_GB2312" w:eastAsia="宋体_GB2312"/>
          <w:szCs w:val="24"/>
        </w:rPr>
        <w:t>a</w:t>
      </w:r>
      <w:r>
        <w:rPr>
          <w:rFonts w:ascii="宋体_GB2312" w:hAnsi="宋体_GB2312" w:eastAsia="宋体_GB2312"/>
          <w:szCs w:val="24"/>
        </w:rPr>
        <w:t>2</w:t>
      </w:r>
      <w:r>
        <w:rPr>
          <w:rFonts w:hint="eastAsia" w:ascii="宋体_GB2312" w:hAnsi="宋体_GB2312" w:eastAsia="宋体_GB2312"/>
          <w:szCs w:val="24"/>
        </w:rPr>
        <w:t>）</w:t>
      </w:r>
      <w:r>
        <w:rPr>
          <w:rFonts w:ascii="宋体_GB2312" w:hAnsi="宋体_GB2312" w:eastAsia="宋体_GB2312"/>
          <w:szCs w:val="24"/>
        </w:rPr>
        <w:t>等规格。</w:t>
      </w:r>
    </w:p>
    <w:p>
      <w:pPr>
        <w:rPr>
          <w:rFonts w:ascii="宋体_GB2312" w:hAnsi="宋体_GB2312" w:eastAsia="宋体_GB2312"/>
          <w:szCs w:val="24"/>
        </w:rPr>
      </w:pPr>
      <w:r>
        <w:rPr>
          <w:rFonts w:hint="eastAsia" w:ascii="宋体_GB2312" w:hAnsi="宋体_GB2312" w:eastAsia="宋体_GB2312"/>
        </w:rPr>
        <w:t>（</w:t>
      </w:r>
      <w:r>
        <w:rPr>
          <w:rFonts w:ascii="宋体_GB2312" w:hAnsi="宋体_GB2312" w:eastAsia="宋体_GB2312"/>
        </w:rPr>
        <w:t>4）引出尾纤</w:t>
      </w:r>
      <w:r>
        <w:rPr>
          <w:rFonts w:hint="eastAsia" w:ascii="宋体_GB2312" w:hAnsi="宋体_GB2312" w:eastAsia="宋体_GB2312"/>
          <w:szCs w:val="24"/>
          <w:lang w:val="en-US"/>
        </w:rPr>
        <w:t>要求</w:t>
      </w:r>
      <w:r>
        <w:rPr>
          <w:rFonts w:hint="eastAsia" w:ascii="宋体_GB2312" w:hAnsi="宋体_GB2312" w:eastAsia="宋体_GB2312"/>
        </w:rPr>
        <w:t>：盒式光分路器引出光纤一般采用</w:t>
      </w:r>
      <w:r>
        <w:rPr>
          <w:rFonts w:hint="eastAsia" w:ascii="宋体_GB2312" w:hAnsi="宋体_GB2312" w:eastAsia="宋体_GB2312"/>
          <w:szCs w:val="24"/>
        </w:rPr>
        <w:t>Φ0</w:t>
      </w:r>
      <w:r>
        <w:rPr>
          <w:rFonts w:ascii="宋体_GB2312" w:hAnsi="宋体_GB2312" w:eastAsia="宋体_GB2312"/>
          <w:szCs w:val="24"/>
        </w:rPr>
        <w:t>.9mm</w:t>
      </w:r>
      <w:r>
        <w:rPr>
          <w:rFonts w:hint="eastAsia" w:ascii="宋体_GB2312" w:hAnsi="宋体_GB2312" w:eastAsia="宋体_GB2312"/>
          <w:szCs w:val="24"/>
        </w:rPr>
        <w:t>或Φ</w:t>
      </w:r>
      <w:r>
        <w:rPr>
          <w:rFonts w:ascii="宋体_GB2312" w:hAnsi="宋体_GB2312" w:eastAsia="宋体_GB2312"/>
          <w:szCs w:val="24"/>
        </w:rPr>
        <w:t>2.0mm</w:t>
      </w:r>
      <w:r>
        <w:rPr>
          <w:rFonts w:hint="eastAsia" w:ascii="宋体_GB2312" w:hAnsi="宋体_GB2312" w:eastAsia="宋体_GB2312"/>
        </w:rPr>
        <w:t>外护套软光纤，微型封装光分路器采用</w:t>
      </w:r>
      <w:r>
        <w:rPr>
          <w:rFonts w:hint="eastAsia" w:ascii="宋体_GB2312" w:hAnsi="宋体_GB2312" w:eastAsia="宋体_GB2312"/>
          <w:szCs w:val="24"/>
        </w:rPr>
        <w:t>Φ</w:t>
      </w:r>
      <w:r>
        <w:rPr>
          <w:rFonts w:ascii="宋体_GB2312" w:hAnsi="宋体_GB2312" w:eastAsia="宋体_GB2312"/>
        </w:rPr>
        <w:t>0.9mm</w:t>
      </w:r>
      <w:r>
        <w:rPr>
          <w:rFonts w:hint="eastAsia" w:ascii="宋体_GB2312" w:hAnsi="宋体_GB2312" w:eastAsia="宋体_GB2312"/>
        </w:rPr>
        <w:t>外护套软光纤。盒式光分路器</w:t>
      </w:r>
      <w:r>
        <w:rPr>
          <w:rFonts w:hint="eastAsia" w:ascii="宋体_GB2312" w:hAnsi="宋体_GB2312" w:eastAsia="宋体_GB2312"/>
          <w:szCs w:val="24"/>
        </w:rPr>
        <w:t>尾纤长度一般为</w:t>
      </w:r>
      <w:r>
        <w:rPr>
          <w:rFonts w:ascii="宋体_GB2312" w:hAnsi="宋体_GB2312" w:eastAsia="宋体_GB2312"/>
          <w:szCs w:val="24"/>
        </w:rPr>
        <w:t>1.5米</w:t>
      </w:r>
      <w:r>
        <w:rPr>
          <w:rFonts w:hint="eastAsia" w:ascii="宋体_GB2312" w:hAnsi="宋体_GB2312" w:eastAsia="宋体_GB2312"/>
          <w:szCs w:val="24"/>
        </w:rPr>
        <w:t>，</w:t>
      </w:r>
      <w:r>
        <w:rPr>
          <w:rFonts w:hint="eastAsia" w:ascii="宋体_GB2312" w:hAnsi="宋体_GB2312" w:eastAsia="宋体_GB2312"/>
        </w:rPr>
        <w:t>微型封装光分路器</w:t>
      </w:r>
      <w:r>
        <w:rPr>
          <w:rFonts w:hint="eastAsia" w:ascii="宋体_GB2312" w:hAnsi="宋体_GB2312" w:eastAsia="宋体_GB2312"/>
          <w:szCs w:val="24"/>
        </w:rPr>
        <w:t>尾纤长度一般为</w:t>
      </w:r>
      <w:r>
        <w:rPr>
          <w:rFonts w:ascii="宋体_GB2312" w:hAnsi="宋体_GB2312" w:eastAsia="宋体_GB2312"/>
          <w:szCs w:val="24"/>
        </w:rPr>
        <w:t>0.9米</w:t>
      </w:r>
      <w:r>
        <w:rPr>
          <w:rFonts w:hint="eastAsia" w:ascii="宋体_GB2312" w:hAnsi="宋体_GB2312" w:eastAsia="宋体_GB2312"/>
        </w:rPr>
        <w:t>,</w:t>
      </w:r>
      <w:r>
        <w:rPr>
          <w:rFonts w:hint="eastAsia" w:ascii="宋体_GB2312" w:hAnsi="宋体_GB2312" w:eastAsia="宋体_GB2312"/>
          <w:szCs w:val="24"/>
        </w:rPr>
        <w:t>但必须具备其它不同长度尾纤的产品，以备各省公司工程建设采购选用。</w:t>
      </w:r>
    </w:p>
    <w:p>
      <w:pPr>
        <w:rPr>
          <w:rFonts w:ascii="宋体_GB2312" w:hAnsi="宋体_GB2312" w:eastAsia="宋体_GB2312"/>
          <w:szCs w:val="24"/>
        </w:rPr>
      </w:pPr>
      <w:r>
        <w:rPr>
          <w:rFonts w:hint="eastAsia" w:ascii="宋体_GB2312" w:hAnsi="宋体_GB2312" w:eastAsia="宋体_GB2312"/>
          <w:szCs w:val="24"/>
        </w:rPr>
        <w:t>（</w:t>
      </w:r>
      <w:r>
        <w:rPr>
          <w:rFonts w:ascii="宋体_GB2312" w:hAnsi="宋体_GB2312" w:eastAsia="宋体_GB2312"/>
          <w:szCs w:val="24"/>
        </w:rPr>
        <w:t>5）本次</w:t>
      </w:r>
      <w:r>
        <w:rPr>
          <w:rFonts w:hint="eastAsia" w:ascii="宋体_GB2312" w:hAnsi="宋体_GB2312" w:eastAsia="宋体_GB2312"/>
          <w:szCs w:val="24"/>
        </w:rPr>
        <w:t>招标产品的适配器及尾纤插头可选择</w:t>
      </w:r>
      <w:r>
        <w:rPr>
          <w:rFonts w:ascii="宋体_GB2312" w:hAnsi="宋体_GB2312" w:eastAsia="宋体_GB2312"/>
          <w:szCs w:val="24"/>
        </w:rPr>
        <w:t>SC、FC、LC等</w:t>
      </w:r>
      <w:r>
        <w:rPr>
          <w:rFonts w:hint="eastAsia" w:ascii="宋体_GB2312" w:hAnsi="宋体_GB2312" w:eastAsia="宋体_GB2312"/>
          <w:szCs w:val="24"/>
        </w:rPr>
        <w:t>多种插头类型</w:t>
      </w:r>
      <w:r>
        <w:rPr>
          <w:rFonts w:ascii="宋体_GB2312" w:hAnsi="宋体_GB2312" w:eastAsia="宋体_GB2312"/>
          <w:szCs w:val="24"/>
        </w:rPr>
        <w:t>，</w:t>
      </w:r>
      <w:r>
        <w:rPr>
          <w:rFonts w:hint="eastAsia" w:ascii="宋体_GB2312" w:hAnsi="宋体_GB2312" w:eastAsia="宋体_GB2312"/>
          <w:szCs w:val="24"/>
        </w:rPr>
        <w:t>以备各省公司工程建设采购选用。插头端面以</w:t>
      </w:r>
      <w:r>
        <w:rPr>
          <w:rFonts w:ascii="宋体_GB2312" w:hAnsi="宋体_GB2312" w:eastAsia="宋体_GB2312"/>
          <w:szCs w:val="24"/>
        </w:rPr>
        <w:t>UPC为主，APC端面适配器主要在承载模拟CATV信号时采用。技术条件应分别符合YD/T 1272.1（LC型）</w:t>
      </w:r>
      <w:r>
        <w:rPr>
          <w:rFonts w:hint="eastAsia" w:ascii="宋体_GB2312" w:hAnsi="宋体_GB2312" w:eastAsia="宋体_GB2312"/>
          <w:szCs w:val="24"/>
        </w:rPr>
        <w:t>、</w:t>
      </w:r>
      <w:r>
        <w:rPr>
          <w:rFonts w:ascii="宋体_GB2312" w:hAnsi="宋体_GB2312" w:eastAsia="宋体_GB2312"/>
          <w:szCs w:val="24"/>
        </w:rPr>
        <w:t>YD/T 1272.3（SC型）</w:t>
      </w:r>
      <w:r>
        <w:rPr>
          <w:rFonts w:hint="eastAsia" w:ascii="宋体_GB2312" w:hAnsi="宋体_GB2312" w:eastAsia="宋体_GB2312"/>
          <w:szCs w:val="24"/>
        </w:rPr>
        <w:t>、</w:t>
      </w:r>
      <w:r>
        <w:rPr>
          <w:rFonts w:ascii="宋体_GB2312" w:hAnsi="宋体_GB2312" w:eastAsia="宋体_GB2312"/>
          <w:szCs w:val="24"/>
        </w:rPr>
        <w:t>YD/T 1272.4（FC型）等标准的相关规定。</w:t>
      </w:r>
    </w:p>
    <w:p>
      <w:pPr>
        <w:rPr>
          <w:rFonts w:ascii="宋体_GB2312" w:hAnsi="宋体_GB2312" w:eastAsia="宋体_GB2312"/>
          <w:szCs w:val="24"/>
        </w:rPr>
      </w:pPr>
      <w:r>
        <w:rPr>
          <w:rFonts w:hint="eastAsia" w:ascii="宋体_GB2312" w:hAnsi="宋体_GB2312" w:eastAsia="宋体_GB2312"/>
          <w:szCs w:val="24"/>
        </w:rPr>
        <w:t>（</w:t>
      </w:r>
      <w:r>
        <w:rPr>
          <w:rFonts w:ascii="宋体_GB2312" w:hAnsi="宋体_GB2312" w:eastAsia="宋体_GB2312"/>
          <w:szCs w:val="24"/>
        </w:rPr>
        <w:t>6</w:t>
      </w:r>
      <w:r>
        <w:rPr>
          <w:rFonts w:hint="eastAsia" w:ascii="宋体_GB2312" w:hAnsi="宋体_GB2312" w:eastAsia="宋体_GB2312"/>
          <w:szCs w:val="24"/>
        </w:rPr>
        <w:t>）为便于识别光纤链路，应在每个光分路器的尾纤端子末端和设备面板上进行永久性端口标识，输入侧标识为</w:t>
      </w:r>
      <w:r>
        <w:rPr>
          <w:rFonts w:ascii="宋体_GB2312" w:hAnsi="宋体_GB2312" w:eastAsia="宋体_GB2312"/>
          <w:szCs w:val="24"/>
        </w:rPr>
        <w:t>IN1和IN2，输出侧标识依次为1、2…</w:t>
      </w:r>
      <w:r>
        <w:rPr>
          <w:rFonts w:hint="eastAsia" w:ascii="宋体_GB2312" w:hAnsi="宋体_GB2312" w:eastAsia="宋体_GB2312"/>
          <w:szCs w:val="24"/>
        </w:rPr>
        <w:t>至最后一个端口。</w:t>
      </w:r>
      <w:r>
        <w:rPr>
          <w:rFonts w:hint="eastAsia" w:ascii="宋体_GB2312" w:hAnsi="宋体_GB2312" w:eastAsia="宋体_GB2312" w:cs="Times New Roman"/>
          <w:szCs w:val="24"/>
        </w:rPr>
        <w:t>输入端、输出端适配器采用不同颜色</w:t>
      </w:r>
      <w:r>
        <w:rPr>
          <w:rFonts w:hint="eastAsia" w:ascii="宋体_GB2312" w:hAnsi="宋体_GB2312" w:eastAsia="宋体_GB2312"/>
          <w:szCs w:val="24"/>
        </w:rPr>
        <w:t>。</w:t>
      </w:r>
      <w:r>
        <w:rPr>
          <w:rFonts w:hint="eastAsia" w:ascii="宋体_GB2312" w:hAnsi="宋体_GB2312" w:eastAsia="宋体_GB2312" w:cs="Times New Roman"/>
          <w:szCs w:val="24"/>
          <w:highlight w:val="none"/>
        </w:rPr>
        <w:t>盒式光分路器的输入端、输出端尾纤外护套采用不同颜色。</w:t>
      </w:r>
    </w:p>
    <w:p>
      <w:pPr>
        <w:rPr>
          <w:rFonts w:hint="eastAsia" w:ascii="宋体_GB2312" w:hAnsi="宋体_GB2312" w:eastAsia="宋体_GB2312"/>
          <w:szCs w:val="24"/>
        </w:rPr>
      </w:pPr>
      <w:r>
        <w:rPr>
          <w:rFonts w:hint="eastAsia" w:ascii="宋体_GB2312" w:hAnsi="宋体_GB2312" w:eastAsia="宋体_GB2312"/>
          <w:szCs w:val="24"/>
        </w:rPr>
        <w:t>（7）</w:t>
      </w:r>
      <w:r>
        <w:rPr>
          <w:rFonts w:hint="eastAsia" w:ascii="宋体_GB2312" w:hAnsi="宋体_GB2312" w:eastAsia="宋体_GB2312"/>
          <w:szCs w:val="24"/>
          <w:highlight w:val="none"/>
        </w:rPr>
        <w:t>适配器型光分路器的每个适配器应配置防尘帽</w:t>
      </w:r>
      <w:r>
        <w:rPr>
          <w:rFonts w:hint="eastAsia" w:ascii="宋体_GB2312" w:hAnsi="宋体_GB2312" w:eastAsia="宋体_GB2312"/>
          <w:szCs w:val="24"/>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87" w:name="_Toc532376591"/>
      <w:bookmarkStart w:id="88" w:name="_Toc9954"/>
      <w:bookmarkStart w:id="89" w:name="_Toc17184323"/>
      <w:r>
        <w:rPr>
          <w:rFonts w:ascii="宋体_GB2312" w:hAnsi="宋体_GB2312" w:eastAsia="宋体_GB2312"/>
          <w:kern w:val="0"/>
          <w:szCs w:val="32"/>
          <w:lang w:val="en-US"/>
        </w:rPr>
        <w:t>3.2</w:t>
      </w:r>
      <w:bookmarkEnd w:id="87"/>
      <w:r>
        <w:rPr>
          <w:rFonts w:hint="eastAsia" w:ascii="宋体_GB2312" w:hAnsi="宋体_GB2312" w:eastAsia="宋体_GB2312"/>
          <w:lang w:val="en-US"/>
        </w:rPr>
        <w:t>外封装盒体尺寸要求</w:t>
      </w:r>
      <w:bookmarkEnd w:id="88"/>
      <w:bookmarkEnd w:id="89"/>
    </w:p>
    <w:p>
      <w:pPr>
        <w:rPr>
          <w:rFonts w:ascii="宋体_GB2312" w:hAnsi="宋体_GB2312" w:eastAsia="宋体_GB2312"/>
        </w:rPr>
      </w:pPr>
      <w:bookmarkStart w:id="90" w:name="_Toc177356430"/>
      <w:r>
        <w:rPr>
          <w:rFonts w:hint="eastAsia" w:ascii="宋体_GB2312" w:hAnsi="宋体_GB2312" w:eastAsia="宋体_GB2312"/>
          <w:lang w:val="en-US"/>
        </w:rPr>
        <w:t>（</w:t>
      </w:r>
      <w:r>
        <w:rPr>
          <w:rFonts w:ascii="宋体_GB2312" w:hAnsi="宋体_GB2312" w:eastAsia="宋体_GB2312"/>
          <w:lang w:val="en-US"/>
        </w:rPr>
        <w:t>1</w:t>
      </w:r>
      <w:r>
        <w:rPr>
          <w:rFonts w:hint="eastAsia" w:ascii="宋体_GB2312" w:hAnsi="宋体_GB2312" w:eastAsia="宋体_GB2312"/>
          <w:lang w:val="en-US"/>
        </w:rPr>
        <w:t>）</w:t>
      </w:r>
      <w:r>
        <w:rPr>
          <w:rFonts w:hint="eastAsia" w:ascii="宋体_GB2312" w:hAnsi="宋体_GB2312" w:eastAsia="宋体_GB2312"/>
        </w:rPr>
        <w:t>机架式结构的必须适合</w:t>
      </w:r>
      <w:r>
        <w:rPr>
          <w:rFonts w:ascii="宋体_GB2312" w:hAnsi="宋体_GB2312" w:eastAsia="宋体_GB2312"/>
        </w:rPr>
        <w:t>IEC标准19英寸</w:t>
      </w:r>
      <w:r>
        <w:rPr>
          <w:rFonts w:hint="eastAsia" w:ascii="宋体_GB2312" w:hAnsi="宋体_GB2312" w:eastAsia="宋体_GB2312"/>
        </w:rPr>
        <w:t>机架安装，</w:t>
      </w:r>
      <w:r>
        <w:rPr>
          <w:rFonts w:ascii="宋体_GB2312" w:hAnsi="宋体_GB2312" w:eastAsia="宋体_GB2312"/>
        </w:rPr>
        <w:t>机箱</w:t>
      </w:r>
      <w:r>
        <w:rPr>
          <w:rFonts w:hint="eastAsia" w:ascii="宋体_GB2312" w:hAnsi="宋体_GB2312" w:eastAsia="宋体_GB2312"/>
        </w:rPr>
        <w:t>应符合</w:t>
      </w:r>
      <w:r>
        <w:rPr>
          <w:rFonts w:ascii="宋体_GB2312" w:hAnsi="宋体_GB2312" w:eastAsia="宋体_GB2312"/>
        </w:rPr>
        <w:t xml:space="preserve">ODF架、光交接箱等相关尺寸要求， </w:t>
      </w:r>
      <w:r>
        <w:rPr>
          <w:rFonts w:hint="eastAsia" w:ascii="宋体_GB2312" w:hAnsi="宋体_GB2312" w:eastAsia="宋体_GB2312"/>
        </w:rPr>
        <w:t>建议</w:t>
      </w:r>
      <w:r>
        <w:rPr>
          <w:rFonts w:ascii="宋体_GB2312" w:hAnsi="宋体_GB2312" w:eastAsia="宋体_GB2312"/>
        </w:rPr>
        <w:t>最大尺寸(长×宽</w:t>
      </w:r>
      <w:r>
        <w:rPr>
          <w:rFonts w:hint="eastAsia" w:ascii="宋体_GB2312" w:hAnsi="宋体_GB2312" w:eastAsia="宋体_GB2312"/>
        </w:rPr>
        <w:t>×高</w:t>
      </w:r>
      <w:r>
        <w:rPr>
          <w:rFonts w:ascii="宋体_GB2312" w:hAnsi="宋体_GB2312" w:eastAsia="宋体_GB2312"/>
        </w:rPr>
        <w:t>) 为: 483mm</w:t>
      </w:r>
      <w:r>
        <w:rPr>
          <w:rFonts w:hint="eastAsia" w:ascii="宋体_GB2312" w:hAnsi="宋体_GB2312" w:eastAsia="宋体_GB2312"/>
        </w:rPr>
        <w:t>×</w:t>
      </w:r>
      <w:r>
        <w:rPr>
          <w:rFonts w:ascii="宋体_GB2312" w:hAnsi="宋体_GB2312" w:eastAsia="宋体_GB2312"/>
        </w:rPr>
        <w:t>200mm</w:t>
      </w:r>
      <w:r>
        <w:rPr>
          <w:rFonts w:hint="eastAsia" w:ascii="宋体_GB2312" w:hAnsi="宋体_GB2312" w:eastAsia="宋体_GB2312"/>
        </w:rPr>
        <w:t>×</w:t>
      </w:r>
      <w:r>
        <w:rPr>
          <w:rFonts w:ascii="宋体_GB2312" w:hAnsi="宋体_GB2312" w:eastAsia="宋体_GB2312"/>
        </w:rPr>
        <w:t>43.5mm</w:t>
      </w:r>
      <w:r>
        <w:rPr>
          <w:rFonts w:hint="eastAsia" w:ascii="宋体_GB2312" w:hAnsi="宋体_GB2312" w:eastAsia="宋体_GB2312"/>
        </w:rPr>
        <w:t>。</w:t>
      </w:r>
    </w:p>
    <w:p>
      <w:pPr>
        <w:rPr>
          <w:rFonts w:ascii="宋体_GB2312" w:hAnsi="宋体_GB2312" w:eastAsia="宋体_GB2312"/>
        </w:rPr>
      </w:pPr>
      <w:r>
        <w:rPr>
          <w:rFonts w:hint="eastAsia" w:ascii="宋体_GB2312" w:hAnsi="宋体_GB2312" w:eastAsia="宋体_GB2312"/>
          <w:lang w:val="en-US"/>
        </w:rPr>
        <w:t>（</w:t>
      </w:r>
      <w:r>
        <w:rPr>
          <w:rFonts w:ascii="宋体_GB2312" w:hAnsi="宋体_GB2312" w:eastAsia="宋体_GB2312"/>
          <w:lang w:val="en-US"/>
        </w:rPr>
        <w:t>2）</w:t>
      </w:r>
      <w:r>
        <w:rPr>
          <w:rFonts w:ascii="宋体_GB2312" w:hAnsi="宋体_GB2312" w:eastAsia="宋体_GB2312"/>
        </w:rPr>
        <w:t>盒</w:t>
      </w:r>
      <w:r>
        <w:rPr>
          <w:rFonts w:hint="eastAsia" w:ascii="宋体_GB2312" w:hAnsi="宋体_GB2312" w:eastAsia="宋体_GB2312"/>
        </w:rPr>
        <w:t>式封装结构的建议</w:t>
      </w:r>
      <w:r>
        <w:rPr>
          <w:rFonts w:ascii="宋体_GB2312" w:hAnsi="宋体_GB2312" w:eastAsia="宋体_GB2312"/>
        </w:rPr>
        <w:t>最大尺寸(长×宽×高)为</w:t>
      </w:r>
      <w:r>
        <w:rPr>
          <w:rFonts w:hint="eastAsia" w:ascii="宋体_GB2312" w:hAnsi="宋体_GB2312" w:eastAsia="宋体_GB2312"/>
        </w:rPr>
        <w:t>：</w:t>
      </w:r>
      <w:r>
        <w:rPr>
          <w:rFonts w:ascii="宋体_GB2312" w:hAnsi="宋体_GB2312" w:eastAsia="宋体_GB2312"/>
        </w:rPr>
        <w:t>180mm×150mm×22mm</w:t>
      </w:r>
      <w:r>
        <w:rPr>
          <w:rFonts w:hint="eastAsia" w:ascii="宋体_GB2312" w:hAnsi="宋体_GB2312" w:eastAsia="宋体_GB2312"/>
        </w:rPr>
        <w:t>。</w:t>
      </w:r>
    </w:p>
    <w:p>
      <w:pPr>
        <w:rPr>
          <w:rFonts w:ascii="宋体_GB2312" w:hAnsi="宋体_GB2312" w:eastAsia="宋体_GB2312"/>
        </w:rPr>
      </w:pPr>
      <w:r>
        <w:rPr>
          <w:rFonts w:hint="eastAsia" w:ascii="宋体_GB2312" w:hAnsi="宋体_GB2312" w:eastAsia="宋体_GB2312"/>
          <w:lang w:val="en-US"/>
        </w:rPr>
        <w:t>（</w:t>
      </w:r>
      <w:r>
        <w:rPr>
          <w:rFonts w:ascii="宋体_GB2312" w:hAnsi="宋体_GB2312" w:eastAsia="宋体_GB2312"/>
          <w:lang w:val="en-US"/>
        </w:rPr>
        <w:t>3）</w:t>
      </w:r>
      <w:r>
        <w:rPr>
          <w:rFonts w:hint="eastAsia" w:ascii="宋体_GB2312" w:hAnsi="宋体_GB2312" w:eastAsia="宋体_GB2312"/>
        </w:rPr>
        <w:t>微型封装结构的建议最大尺寸</w:t>
      </w:r>
      <w:r>
        <w:rPr>
          <w:rFonts w:ascii="宋体_GB2312" w:hAnsi="宋体_GB2312" w:eastAsia="宋体_GB2312"/>
        </w:rPr>
        <w:t>(长×宽×高)</w:t>
      </w:r>
      <w:r>
        <w:rPr>
          <w:rFonts w:hint="eastAsia" w:ascii="宋体_GB2312" w:hAnsi="宋体_GB2312" w:eastAsia="宋体_GB2312"/>
        </w:rPr>
        <w:t>为：</w:t>
      </w:r>
      <w:r>
        <w:rPr>
          <w:rFonts w:ascii="宋体_GB2312" w:hAnsi="宋体_GB2312" w:eastAsia="宋体_GB2312"/>
        </w:rPr>
        <w:t>140mm×113mm×18mm</w:t>
      </w:r>
      <w:r>
        <w:rPr>
          <w:rFonts w:hint="eastAsia" w:ascii="宋体_GB2312" w:hAnsi="宋体_GB2312" w:eastAsia="宋体_GB2312"/>
        </w:rPr>
        <w:t>。</w:t>
      </w:r>
    </w:p>
    <w:p>
      <w:pPr>
        <w:rPr>
          <w:rFonts w:ascii="宋体_GB2312" w:hAnsi="宋体_GB2312" w:eastAsia="宋体_GB2312"/>
        </w:rPr>
      </w:pPr>
      <w:r>
        <w:rPr>
          <w:rFonts w:hint="eastAsia" w:ascii="宋体_GB2312" w:hAnsi="宋体_GB2312" w:eastAsia="宋体_GB2312"/>
          <w:lang w:val="en-US"/>
        </w:rPr>
        <w:t>（</w:t>
      </w:r>
      <w:r>
        <w:rPr>
          <w:rFonts w:ascii="宋体_GB2312" w:hAnsi="宋体_GB2312" w:eastAsia="宋体_GB2312"/>
          <w:lang w:val="en-US"/>
        </w:rPr>
        <w:t>4）</w:t>
      </w:r>
      <w:r>
        <w:rPr>
          <w:rFonts w:hint="eastAsia" w:ascii="宋体_GB2312" w:hAnsi="宋体_GB2312" w:eastAsia="宋体_GB2312"/>
        </w:rPr>
        <w:t>托盘式封装</w:t>
      </w:r>
      <w:r>
        <w:rPr>
          <w:rFonts w:hint="eastAsia" w:ascii="宋体_GB2312" w:hAnsi="宋体_GB2312" w:eastAsia="宋体_GB2312"/>
          <w:szCs w:val="24"/>
          <w:lang w:val="en-US"/>
        </w:rPr>
        <w:t>外形</w:t>
      </w:r>
      <w:r>
        <w:rPr>
          <w:rFonts w:hint="eastAsia" w:ascii="宋体_GB2312" w:hAnsi="宋体_GB2312" w:eastAsia="宋体_GB2312"/>
        </w:rPr>
        <w:t>和尺寸应满足《中国联通光纤配线架技术规范》中</w:t>
      </w:r>
      <w:r>
        <w:rPr>
          <w:rFonts w:ascii="宋体_GB2312" w:hAnsi="宋体_GB2312" w:eastAsia="宋体_GB2312"/>
        </w:rPr>
        <w:t xml:space="preserve">12芯熔配一体化托盘要求， </w:t>
      </w:r>
      <w:r>
        <w:rPr>
          <w:rFonts w:hint="eastAsia" w:ascii="宋体_GB2312" w:hAnsi="宋体_GB2312" w:eastAsia="宋体_GB2312"/>
        </w:rPr>
        <w:t>1/2×32光分路器占用2个托盘空间；1/2×64光分路器，采用LC型插头时占用2个托盘空间，采用SC型插头时可占用4个托盘空间；对</w:t>
      </w:r>
      <w:r>
        <w:rPr>
          <w:rFonts w:ascii="宋体_GB2312" w:hAnsi="宋体_GB2312" w:eastAsia="宋体_GB2312"/>
        </w:rPr>
        <w:t>1/2×128光分路器暂不做规定，其余规格占用1个托盘空间。</w:t>
      </w:r>
    </w:p>
    <w:p>
      <w:pPr>
        <w:rPr>
          <w:rFonts w:ascii="宋体_GB2312" w:hAnsi="宋体_GB2312" w:eastAsia="宋体_GB2312"/>
        </w:rPr>
      </w:pPr>
      <w:r>
        <w:rPr>
          <w:rFonts w:hint="eastAsia" w:ascii="宋体_GB2312" w:hAnsi="宋体_GB2312" w:eastAsia="宋体_GB2312"/>
          <w:lang w:val="en-US"/>
        </w:rPr>
        <w:t>（</w:t>
      </w:r>
      <w:r>
        <w:rPr>
          <w:rFonts w:ascii="宋体_GB2312" w:hAnsi="宋体_GB2312" w:eastAsia="宋体_GB2312"/>
          <w:lang w:val="en-US"/>
        </w:rPr>
        <w:t>5）</w:t>
      </w:r>
      <w:r>
        <w:rPr>
          <w:rFonts w:hint="eastAsia" w:ascii="宋体_GB2312" w:hAnsi="宋体_GB2312" w:eastAsia="宋体_GB2312"/>
        </w:rPr>
        <w:t>插片式封装结构的建议最大尺寸</w:t>
      </w:r>
      <w:r>
        <w:rPr>
          <w:rFonts w:ascii="宋体_GB2312" w:hAnsi="宋体_GB2312" w:eastAsia="宋体_GB2312"/>
        </w:rPr>
        <w:t>(长×宽×高)</w:t>
      </w:r>
      <w:r>
        <w:rPr>
          <w:rFonts w:hint="eastAsia" w:ascii="宋体_GB2312" w:hAnsi="宋体_GB2312" w:eastAsia="宋体_GB2312"/>
        </w:rPr>
        <w:t>为：</w:t>
      </w:r>
      <w:r>
        <w:rPr>
          <w:rFonts w:ascii="宋体_GB2312" w:hAnsi="宋体_GB2312" w:eastAsia="宋体_GB2312"/>
        </w:rPr>
        <w:t>1/2×2/4/8光分路器为130mm×100mm×25mm</w:t>
      </w:r>
      <w:r>
        <w:rPr>
          <w:rFonts w:hint="eastAsia" w:ascii="宋体_GB2312" w:hAnsi="宋体_GB2312" w:eastAsia="宋体_GB2312"/>
        </w:rPr>
        <w:t>；</w:t>
      </w:r>
      <w:r>
        <w:rPr>
          <w:rFonts w:ascii="宋体_GB2312" w:hAnsi="宋体_GB2312" w:eastAsia="宋体_GB2312"/>
        </w:rPr>
        <w:t>1/2×16光分路器为130mm×100mm×50mm</w:t>
      </w:r>
      <w:r>
        <w:rPr>
          <w:rFonts w:hint="eastAsia" w:ascii="宋体_GB2312" w:hAnsi="宋体_GB2312" w:eastAsia="宋体_GB2312"/>
        </w:rPr>
        <w:t>；</w:t>
      </w:r>
      <w:r>
        <w:rPr>
          <w:rFonts w:ascii="宋体_GB2312" w:hAnsi="宋体_GB2312" w:eastAsia="宋体_GB2312"/>
        </w:rPr>
        <w:t>1/2×32光</w:t>
      </w:r>
      <w:r>
        <w:rPr>
          <w:rFonts w:hint="eastAsia" w:ascii="宋体_GB2312" w:hAnsi="宋体_GB2312" w:eastAsia="宋体_GB2312"/>
        </w:rPr>
        <w:t>分路器为</w:t>
      </w:r>
      <w:r>
        <w:rPr>
          <w:rFonts w:ascii="宋体_GB2312" w:hAnsi="宋体_GB2312" w:eastAsia="宋体_GB2312"/>
        </w:rPr>
        <w:t>130mm×100mm×102mm</w:t>
      </w:r>
      <w:r>
        <w:rPr>
          <w:rFonts w:hint="eastAsia" w:ascii="宋体_GB2312" w:hAnsi="宋体_GB2312" w:eastAsia="宋体_GB2312"/>
        </w:rPr>
        <w:t>；</w:t>
      </w:r>
      <w:r>
        <w:rPr>
          <w:rFonts w:ascii="宋体_GB2312" w:hAnsi="宋体_GB2312" w:eastAsia="宋体_GB2312"/>
        </w:rPr>
        <w:t>1/2×64光分路器为130mm×100mm×200mm</w:t>
      </w:r>
      <w:r>
        <w:rPr>
          <w:rFonts w:hint="eastAsia" w:ascii="宋体_GB2312" w:hAnsi="宋体_GB2312" w:eastAsia="宋体_GB2312"/>
        </w:rPr>
        <w:t>；</w:t>
      </w:r>
      <w:r>
        <w:rPr>
          <w:rFonts w:ascii="宋体_GB2312" w:hAnsi="宋体_GB2312" w:eastAsia="宋体_GB2312"/>
        </w:rPr>
        <w:t>1/2×128光分路器暂不做规定。</w:t>
      </w:r>
    </w:p>
    <w:p>
      <w:pPr>
        <w:rPr>
          <w:rFonts w:ascii="宋体_GB2312" w:hAnsi="宋体_GB2312" w:eastAsia="宋体_GB2312"/>
        </w:rPr>
      </w:pPr>
      <w:r>
        <w:rPr>
          <w:rFonts w:hint="eastAsia" w:ascii="宋体_GB2312" w:hAnsi="宋体_GB2312" w:eastAsia="宋体_GB2312"/>
          <w:lang w:val="en-US"/>
        </w:rPr>
        <w:t>（</w:t>
      </w:r>
      <w:r>
        <w:rPr>
          <w:rFonts w:ascii="宋体_GB2312" w:hAnsi="宋体_GB2312" w:eastAsia="宋体_GB2312"/>
          <w:lang w:val="en-US"/>
        </w:rPr>
        <w:t>6）</w:t>
      </w:r>
      <w:r>
        <w:rPr>
          <w:rFonts w:hint="eastAsia" w:ascii="宋体_GB2312" w:hAnsi="宋体_GB2312" w:eastAsia="宋体_GB2312"/>
        </w:rPr>
        <w:t>对于大分光比（</w:t>
      </w:r>
      <w:r>
        <w:rPr>
          <w:rFonts w:ascii="宋体_GB2312" w:hAnsi="宋体_GB2312" w:eastAsia="宋体_GB2312"/>
        </w:rPr>
        <w:t>1×64、1×128、2×64、2×128）的光分路器，若尺寸不满足上述要求，</w:t>
      </w:r>
      <w:r>
        <w:rPr>
          <w:rFonts w:hint="eastAsia" w:ascii="宋体_GB2312" w:hAnsi="宋体_GB2312" w:eastAsia="宋体_GB2312"/>
        </w:rPr>
        <w:t>应详细说明。</w:t>
      </w:r>
    </w:p>
    <w:bookmarkEnd w:id="90"/>
    <w:p>
      <w:pPr>
        <w:pStyle w:val="3"/>
        <w:keepNext/>
        <w:spacing w:before="260" w:beforeLines="0" w:after="260" w:line="416" w:lineRule="atLeast"/>
        <w:ind w:right="240"/>
        <w:jc w:val="both"/>
        <w:rPr>
          <w:rFonts w:ascii="宋体_GB2312" w:hAnsi="宋体_GB2312" w:eastAsia="宋体_GB2312"/>
          <w:kern w:val="0"/>
          <w:szCs w:val="32"/>
          <w:lang w:val="en-US"/>
        </w:rPr>
      </w:pPr>
      <w:bookmarkStart w:id="91" w:name="_Toc532376592"/>
      <w:bookmarkStart w:id="92" w:name="_Toc17551"/>
      <w:bookmarkStart w:id="93" w:name="_Toc17184324"/>
      <w:r>
        <w:rPr>
          <w:rFonts w:ascii="宋体_GB2312" w:hAnsi="宋体_GB2312" w:eastAsia="宋体_GB2312"/>
          <w:kern w:val="0"/>
          <w:szCs w:val="32"/>
          <w:lang w:val="en-US"/>
        </w:rPr>
        <w:t>3.3</w:t>
      </w:r>
      <w:r>
        <w:rPr>
          <w:rFonts w:hint="eastAsia" w:ascii="宋体_GB2312" w:hAnsi="宋体_GB2312" w:eastAsia="宋体_GB2312"/>
          <w:kern w:val="0"/>
          <w:szCs w:val="32"/>
          <w:lang w:val="en-US"/>
        </w:rPr>
        <w:t>光分路器主要光学特性要求</w:t>
      </w:r>
      <w:bookmarkEnd w:id="91"/>
      <w:bookmarkEnd w:id="92"/>
      <w:bookmarkEnd w:id="93"/>
    </w:p>
    <w:p>
      <w:pPr>
        <w:pStyle w:val="82"/>
        <w:keepLines/>
        <w:numPr>
          <w:ilvl w:val="0"/>
          <w:numId w:val="1"/>
        </w:numPr>
        <w:spacing w:line="360" w:lineRule="auto"/>
        <w:ind w:firstLineChars="0"/>
        <w:jc w:val="left"/>
        <w:outlineLvl w:val="2"/>
        <w:rPr>
          <w:rFonts w:ascii="宋体_GB2312" w:hAnsi="宋体_GB2312" w:eastAsia="宋体_GB2312"/>
          <w:b/>
          <w:vanish/>
          <w:kern w:val="28"/>
          <w:szCs w:val="28"/>
        </w:rPr>
      </w:pPr>
      <w:bookmarkStart w:id="94" w:name="_Toc445628964"/>
      <w:bookmarkEnd w:id="94"/>
    </w:p>
    <w:p>
      <w:pPr>
        <w:pStyle w:val="82"/>
        <w:keepLines/>
        <w:numPr>
          <w:ilvl w:val="0"/>
          <w:numId w:val="1"/>
        </w:numPr>
        <w:spacing w:line="360" w:lineRule="auto"/>
        <w:ind w:firstLineChars="0"/>
        <w:jc w:val="left"/>
        <w:outlineLvl w:val="2"/>
        <w:rPr>
          <w:rFonts w:ascii="宋体_GB2312" w:hAnsi="宋体_GB2312" w:eastAsia="宋体_GB2312"/>
          <w:b/>
          <w:vanish/>
          <w:kern w:val="28"/>
          <w:szCs w:val="28"/>
        </w:rPr>
      </w:pPr>
    </w:p>
    <w:p>
      <w:pPr>
        <w:pStyle w:val="82"/>
        <w:keepLines/>
        <w:numPr>
          <w:ilvl w:val="0"/>
          <w:numId w:val="1"/>
        </w:numPr>
        <w:spacing w:line="360" w:lineRule="auto"/>
        <w:ind w:firstLineChars="0"/>
        <w:jc w:val="left"/>
        <w:outlineLvl w:val="2"/>
        <w:rPr>
          <w:rFonts w:ascii="宋体_GB2312" w:hAnsi="宋体_GB2312" w:eastAsia="宋体_GB2312"/>
          <w:b/>
          <w:vanish/>
          <w:kern w:val="28"/>
          <w:szCs w:val="28"/>
        </w:rPr>
      </w:pPr>
    </w:p>
    <w:p>
      <w:pPr>
        <w:pStyle w:val="82"/>
        <w:keepLines/>
        <w:numPr>
          <w:ilvl w:val="1"/>
          <w:numId w:val="1"/>
        </w:numPr>
        <w:spacing w:line="360" w:lineRule="auto"/>
        <w:ind w:firstLineChars="0"/>
        <w:jc w:val="left"/>
        <w:outlineLvl w:val="2"/>
        <w:rPr>
          <w:rFonts w:ascii="宋体_GB2312" w:hAnsi="宋体_GB2312" w:eastAsia="宋体_GB2312"/>
          <w:b/>
          <w:vanish/>
          <w:kern w:val="28"/>
          <w:szCs w:val="28"/>
        </w:rPr>
      </w:pPr>
    </w:p>
    <w:p>
      <w:pPr>
        <w:pStyle w:val="82"/>
        <w:keepLines/>
        <w:numPr>
          <w:ilvl w:val="1"/>
          <w:numId w:val="1"/>
        </w:numPr>
        <w:spacing w:line="360" w:lineRule="auto"/>
        <w:ind w:firstLineChars="0"/>
        <w:jc w:val="left"/>
        <w:outlineLvl w:val="2"/>
        <w:rPr>
          <w:rFonts w:ascii="宋体_GB2312" w:hAnsi="宋体_GB2312" w:eastAsia="宋体_GB2312"/>
          <w:b/>
          <w:vanish/>
          <w:kern w:val="28"/>
          <w:szCs w:val="28"/>
        </w:rPr>
      </w:pPr>
    </w:p>
    <w:p>
      <w:pPr>
        <w:pStyle w:val="82"/>
        <w:keepLines/>
        <w:numPr>
          <w:ilvl w:val="1"/>
          <w:numId w:val="1"/>
        </w:numPr>
        <w:spacing w:line="360" w:lineRule="auto"/>
        <w:ind w:firstLineChars="0"/>
        <w:jc w:val="left"/>
        <w:outlineLvl w:val="2"/>
        <w:rPr>
          <w:rFonts w:ascii="宋体_GB2312" w:hAnsi="宋体_GB2312" w:eastAsia="宋体_GB2312"/>
          <w:b/>
          <w:vanish/>
          <w:kern w:val="28"/>
          <w:szCs w:val="28"/>
        </w:rPr>
      </w:pPr>
    </w:p>
    <w:p>
      <w:pPr>
        <w:pStyle w:val="4"/>
        <w:rPr>
          <w:rFonts w:ascii="宋体_GB2312" w:hAnsi="宋体_GB2312" w:eastAsia="宋体_GB2312"/>
        </w:rPr>
      </w:pPr>
      <w:r>
        <w:rPr>
          <w:rFonts w:ascii="宋体_GB2312" w:hAnsi="宋体_GB2312" w:eastAsia="宋体_GB2312"/>
        </w:rPr>
        <w:t>3.3.1 1</w:t>
      </w:r>
      <w:r>
        <w:rPr>
          <w:rFonts w:hint="eastAsia" w:ascii="宋体_GB2312" w:hAnsi="宋体_GB2312" w:eastAsia="宋体_GB2312"/>
        </w:rPr>
        <w:t>×</w:t>
      </w:r>
      <w:r>
        <w:rPr>
          <w:rFonts w:ascii="宋体_GB2312" w:hAnsi="宋体_GB2312" w:eastAsia="宋体_GB2312"/>
        </w:rPr>
        <w:t>N PLC</w:t>
      </w:r>
      <w:r>
        <w:rPr>
          <w:rFonts w:hint="eastAsia" w:ascii="宋体_GB2312" w:hAnsi="宋体_GB2312" w:eastAsia="宋体_GB2312"/>
        </w:rPr>
        <w:t>光分路器</w:t>
      </w:r>
    </w:p>
    <w:p>
      <w:pPr>
        <w:ind w:firstLine="422"/>
        <w:jc w:val="center"/>
        <w:rPr>
          <w:rFonts w:ascii="宋体_GB2312" w:hAnsi="宋体_GB2312" w:eastAsia="宋体_GB2312"/>
          <w:b/>
          <w:sz w:val="21"/>
        </w:rPr>
      </w:pPr>
      <w:r>
        <w:rPr>
          <w:rFonts w:hint="eastAsia" w:ascii="宋体_GB2312" w:hAnsi="宋体_GB2312" w:eastAsia="宋体_GB2312"/>
          <w:b/>
          <w:sz w:val="21"/>
        </w:rPr>
        <w:t>表</w:t>
      </w:r>
      <w:r>
        <w:rPr>
          <w:rFonts w:ascii="宋体_GB2312" w:hAnsi="宋体_GB2312" w:eastAsia="宋体_GB2312"/>
          <w:b/>
          <w:sz w:val="21"/>
        </w:rPr>
        <w:t>1  1</w:t>
      </w:r>
      <w:r>
        <w:rPr>
          <w:rFonts w:hint="eastAsia" w:ascii="宋体_GB2312" w:hAnsi="宋体_GB2312" w:eastAsia="宋体_GB2312"/>
          <w:b/>
          <w:sz w:val="21"/>
        </w:rPr>
        <w:t>×</w:t>
      </w:r>
      <w:r>
        <w:rPr>
          <w:rFonts w:ascii="宋体_GB2312" w:hAnsi="宋体_GB2312" w:eastAsia="宋体_GB2312"/>
          <w:b/>
          <w:sz w:val="21"/>
        </w:rPr>
        <w:t>N PLC</w:t>
      </w:r>
      <w:r>
        <w:rPr>
          <w:rFonts w:hint="eastAsia" w:ascii="宋体_GB2312" w:hAnsi="宋体_GB2312" w:eastAsia="宋体_GB2312"/>
          <w:b/>
          <w:sz w:val="21"/>
        </w:rPr>
        <w:t>光分路器指标要求表</w:t>
      </w:r>
    </w:p>
    <w:tbl>
      <w:tblPr>
        <w:tblStyle w:val="35"/>
        <w:tblW w:w="8800" w:type="dxa"/>
        <w:tblInd w:w="108" w:type="dxa"/>
        <w:tblLayout w:type="fixed"/>
        <w:tblCellMar>
          <w:top w:w="0" w:type="dxa"/>
          <w:left w:w="108" w:type="dxa"/>
          <w:bottom w:w="0" w:type="dxa"/>
          <w:right w:w="108" w:type="dxa"/>
        </w:tblCellMar>
      </w:tblPr>
      <w:tblGrid>
        <w:gridCol w:w="835"/>
        <w:gridCol w:w="1802"/>
        <w:gridCol w:w="396"/>
        <w:gridCol w:w="830"/>
        <w:gridCol w:w="830"/>
        <w:gridCol w:w="918"/>
        <w:gridCol w:w="797"/>
        <w:gridCol w:w="797"/>
        <w:gridCol w:w="797"/>
        <w:gridCol w:w="798"/>
      </w:tblGrid>
      <w:tr>
        <w:tblPrEx>
          <w:tblCellMar>
            <w:top w:w="0" w:type="dxa"/>
            <w:left w:w="108" w:type="dxa"/>
            <w:bottom w:w="0" w:type="dxa"/>
            <w:right w:w="108" w:type="dxa"/>
          </w:tblCellMar>
        </w:tblPrEx>
        <w:trPr>
          <w:trHeight w:val="237" w:hRule="atLeast"/>
        </w:trPr>
        <w:tc>
          <w:tcPr>
            <w:tcW w:w="8800" w:type="dxa"/>
            <w:gridSpan w:val="10"/>
            <w:tcBorders>
              <w:top w:val="nil"/>
              <w:left w:val="nil"/>
              <w:bottom w:val="single" w:color="auto" w:sz="4" w:space="0"/>
              <w:right w:val="nil"/>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21"/>
                <w:szCs w:val="21"/>
                <w:lang w:val="en-US"/>
              </w:rPr>
            </w:pPr>
          </w:p>
        </w:tc>
      </w:tr>
      <w:tr>
        <w:tblPrEx>
          <w:tblCellMar>
            <w:top w:w="0" w:type="dxa"/>
            <w:left w:w="108" w:type="dxa"/>
            <w:bottom w:w="0" w:type="dxa"/>
            <w:right w:w="108" w:type="dxa"/>
          </w:tblCellMar>
        </w:tblPrEx>
        <w:trPr>
          <w:trHeight w:val="237" w:hRule="atLeast"/>
        </w:trPr>
        <w:tc>
          <w:tcPr>
            <w:tcW w:w="26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参数</w:t>
            </w:r>
          </w:p>
        </w:tc>
        <w:tc>
          <w:tcPr>
            <w:tcW w:w="396"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单位</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指标</w:t>
            </w:r>
          </w:p>
        </w:tc>
      </w:tr>
      <w:tr>
        <w:tblPrEx>
          <w:tblCellMar>
            <w:top w:w="0" w:type="dxa"/>
            <w:left w:w="108" w:type="dxa"/>
            <w:bottom w:w="0" w:type="dxa"/>
            <w:right w:w="108" w:type="dxa"/>
          </w:tblCellMar>
        </w:tblPrEx>
        <w:trPr>
          <w:trHeight w:val="237" w:hRule="atLeast"/>
        </w:trPr>
        <w:tc>
          <w:tcPr>
            <w:tcW w:w="263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396"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1×2</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1×4</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1×16</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1×32</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1×64</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1×128</w:t>
            </w:r>
          </w:p>
        </w:tc>
      </w:tr>
      <w:tr>
        <w:tblPrEx>
          <w:tblCellMar>
            <w:top w:w="0" w:type="dxa"/>
            <w:left w:w="108" w:type="dxa"/>
            <w:bottom w:w="0" w:type="dxa"/>
            <w:right w:w="108" w:type="dxa"/>
          </w:tblCellMar>
        </w:tblPrEx>
        <w:trPr>
          <w:trHeight w:val="237" w:hRule="atLeast"/>
        </w:trPr>
        <w:tc>
          <w:tcPr>
            <w:tcW w:w="2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工作带宽</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nm</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1260～1650</w:t>
            </w:r>
          </w:p>
        </w:tc>
      </w:tr>
      <w:tr>
        <w:tblPrEx>
          <w:tblCellMar>
            <w:top w:w="0" w:type="dxa"/>
            <w:left w:w="108" w:type="dxa"/>
            <w:bottom w:w="0" w:type="dxa"/>
            <w:right w:w="108" w:type="dxa"/>
          </w:tblCellMar>
        </w:tblPrEx>
        <w:trPr>
          <w:trHeight w:val="237" w:hRule="atLeast"/>
        </w:trPr>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b/>
                <w:sz w:val="44"/>
              </w:rPr>
            </w:pPr>
            <w:r>
              <w:rPr>
                <w:rFonts w:hint="eastAsia" w:ascii="宋体_GB2312" w:hAnsi="宋体_GB2312" w:eastAsia="宋体_GB2312" w:cs="宋体"/>
                <w:color w:val="FF0000"/>
                <w:sz w:val="28"/>
                <w:szCs w:val="18"/>
                <w:lang w:val="en-US"/>
              </w:rPr>
              <w:t>★</w:t>
            </w:r>
          </w:p>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插入损耗</w:t>
            </w: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PLC器件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3.8</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7.2</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16.8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20.1</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24.0</w:t>
            </w:r>
          </w:p>
        </w:tc>
      </w:tr>
      <w:tr>
        <w:tblPrEx>
          <w:tblCellMar>
            <w:top w:w="0" w:type="dxa"/>
            <w:left w:w="108" w:type="dxa"/>
            <w:bottom w:w="0" w:type="dxa"/>
            <w:right w:w="108" w:type="dxa"/>
          </w:tblCellMar>
        </w:tblPrEx>
        <w:trPr>
          <w:trHeight w:val="237" w:hRule="atLeast"/>
        </w:trPr>
        <w:tc>
          <w:tcPr>
            <w:tcW w:w="835"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插头型</w:t>
            </w: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4.1</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7.4</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17.1</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20.4</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24.4</w:t>
            </w:r>
          </w:p>
        </w:tc>
      </w:tr>
      <w:tr>
        <w:tblPrEx>
          <w:tblCellMar>
            <w:top w:w="0" w:type="dxa"/>
            <w:left w:w="108" w:type="dxa"/>
            <w:bottom w:w="0" w:type="dxa"/>
            <w:right w:w="108" w:type="dxa"/>
          </w:tblCellMar>
        </w:tblPrEx>
        <w:trPr>
          <w:trHeight w:val="237" w:hRule="atLeast"/>
        </w:trPr>
        <w:tc>
          <w:tcPr>
            <w:tcW w:w="835"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适配器型</w:t>
            </w: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4.1</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7.4</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17.1</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20.4</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24.4</w:t>
            </w:r>
          </w:p>
        </w:tc>
      </w:tr>
      <w:tr>
        <w:tblPrEx>
          <w:tblCellMar>
            <w:top w:w="0" w:type="dxa"/>
            <w:left w:w="108" w:type="dxa"/>
            <w:bottom w:w="0" w:type="dxa"/>
            <w:right w:w="108" w:type="dxa"/>
          </w:tblCellMar>
        </w:tblPrEx>
        <w:trPr>
          <w:trHeight w:val="237" w:hRule="atLeast"/>
        </w:trPr>
        <w:tc>
          <w:tcPr>
            <w:tcW w:w="26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偏振相关损耗</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0.2</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0.5</w:t>
            </w:r>
          </w:p>
        </w:tc>
      </w:tr>
      <w:tr>
        <w:tblPrEx>
          <w:tblCellMar>
            <w:top w:w="0" w:type="dxa"/>
            <w:left w:w="108" w:type="dxa"/>
            <w:bottom w:w="0" w:type="dxa"/>
            <w:right w:w="108" w:type="dxa"/>
          </w:tblCellMar>
        </w:tblPrEx>
        <w:trPr>
          <w:trHeight w:val="237" w:hRule="atLeast"/>
        </w:trPr>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通道均匀性</w:t>
            </w: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固定工作波长</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0.4</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0.7</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2.5</w:t>
            </w:r>
          </w:p>
        </w:tc>
      </w:tr>
      <w:tr>
        <w:tblPrEx>
          <w:tblCellMar>
            <w:top w:w="0" w:type="dxa"/>
            <w:left w:w="108" w:type="dxa"/>
            <w:bottom w:w="0" w:type="dxa"/>
            <w:right w:w="108" w:type="dxa"/>
          </w:tblCellMar>
        </w:tblPrEx>
        <w:trPr>
          <w:trHeight w:val="237" w:hRule="atLeast"/>
        </w:trPr>
        <w:tc>
          <w:tcPr>
            <w:tcW w:w="835"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全工作带宽</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1.1</w:t>
            </w:r>
          </w:p>
        </w:tc>
        <w:tc>
          <w:tcPr>
            <w:tcW w:w="830"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1.1</w:t>
            </w:r>
          </w:p>
        </w:tc>
        <w:tc>
          <w:tcPr>
            <w:tcW w:w="91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1.1</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1.8</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2.3</w:t>
            </w:r>
          </w:p>
        </w:tc>
        <w:tc>
          <w:tcPr>
            <w:tcW w:w="79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3.0</w:t>
            </w:r>
          </w:p>
        </w:tc>
      </w:tr>
      <w:tr>
        <w:tblPrEx>
          <w:tblCellMar>
            <w:top w:w="0" w:type="dxa"/>
            <w:left w:w="108" w:type="dxa"/>
            <w:bottom w:w="0" w:type="dxa"/>
            <w:right w:w="108" w:type="dxa"/>
          </w:tblCellMar>
        </w:tblPrEx>
        <w:trPr>
          <w:trHeight w:val="237" w:hRule="atLeast"/>
        </w:trPr>
        <w:tc>
          <w:tcPr>
            <w:tcW w:w="835"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回波损耗</w:t>
            </w: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PLC器件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55</w:t>
            </w:r>
          </w:p>
        </w:tc>
      </w:tr>
      <w:tr>
        <w:tblPrEx>
          <w:tblCellMar>
            <w:top w:w="0" w:type="dxa"/>
            <w:left w:w="108" w:type="dxa"/>
            <w:bottom w:w="0" w:type="dxa"/>
            <w:right w:w="108" w:type="dxa"/>
          </w:tblCellMar>
        </w:tblPrEx>
        <w:trPr>
          <w:trHeight w:val="237" w:hRule="atLeast"/>
        </w:trPr>
        <w:tc>
          <w:tcPr>
            <w:tcW w:w="835"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02"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45（PC型光纤连接头)；≥50 (UPC型光纤连接头)；≥55</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APC型光纤连接头)</w:t>
            </w:r>
          </w:p>
        </w:tc>
      </w:tr>
      <w:tr>
        <w:tblPrEx>
          <w:tblCellMar>
            <w:top w:w="0" w:type="dxa"/>
            <w:left w:w="108" w:type="dxa"/>
            <w:bottom w:w="0" w:type="dxa"/>
            <w:right w:w="108" w:type="dxa"/>
          </w:tblCellMar>
        </w:tblPrEx>
        <w:trPr>
          <w:trHeight w:val="237" w:hRule="atLeast"/>
        </w:trPr>
        <w:tc>
          <w:tcPr>
            <w:tcW w:w="26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方向性</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55</w:t>
            </w:r>
          </w:p>
        </w:tc>
      </w:tr>
      <w:tr>
        <w:tblPrEx>
          <w:tblCellMar>
            <w:top w:w="0" w:type="dxa"/>
            <w:left w:w="108" w:type="dxa"/>
            <w:bottom w:w="0" w:type="dxa"/>
            <w:right w:w="108" w:type="dxa"/>
          </w:tblCellMar>
        </w:tblPrEx>
        <w:trPr>
          <w:trHeight w:val="237" w:hRule="atLeast"/>
        </w:trPr>
        <w:tc>
          <w:tcPr>
            <w:tcW w:w="263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工作温度范围</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p>
        </w:tc>
        <w:tc>
          <w:tcPr>
            <w:tcW w:w="5767"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-40～+85</w:t>
            </w:r>
          </w:p>
        </w:tc>
      </w:tr>
      <w:tr>
        <w:tblPrEx>
          <w:tblCellMar>
            <w:top w:w="0" w:type="dxa"/>
            <w:left w:w="108" w:type="dxa"/>
            <w:bottom w:w="0" w:type="dxa"/>
            <w:right w:w="108" w:type="dxa"/>
          </w:tblCellMar>
        </w:tblPrEx>
        <w:trPr>
          <w:trHeight w:val="237" w:hRule="atLeast"/>
        </w:trPr>
        <w:tc>
          <w:tcPr>
            <w:tcW w:w="8800"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1：针对均分器件。</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2：光纤为单模光纤G.652D/G.657A2。</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3：表中插入损耗的测试波长为</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1310nm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1490nm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1550nm</w:t>
            </w:r>
            <w:r>
              <w:rPr>
                <w:rFonts w:hint="eastAsia" w:ascii="宋体_GB2312" w:hAnsi="宋体_GB2312" w:eastAsia="宋体_GB2312" w:cs="宋体"/>
                <w:sz w:val="18"/>
                <w:szCs w:val="18"/>
                <w:lang w:val="en-US"/>
              </w:rPr>
              <w:t>，在</w:t>
            </w:r>
            <w:r>
              <w:rPr>
                <w:rFonts w:ascii="宋体_GB2312" w:hAnsi="宋体_GB2312" w:eastAsia="宋体_GB2312" w:cs="宋体"/>
                <w:sz w:val="18"/>
                <w:szCs w:val="18"/>
                <w:lang w:val="en-US"/>
              </w:rPr>
              <w:t>1260nm-1300nm</w:t>
            </w:r>
            <w:r>
              <w:rPr>
                <w:rFonts w:hint="eastAsia" w:ascii="宋体_GB2312" w:hAnsi="宋体_GB2312" w:eastAsia="宋体_GB2312" w:cs="宋体"/>
                <w:sz w:val="18"/>
                <w:szCs w:val="18"/>
                <w:lang w:val="en-US"/>
              </w:rPr>
              <w:t>和</w:t>
            </w:r>
            <w:r>
              <w:rPr>
                <w:rFonts w:ascii="宋体_GB2312" w:hAnsi="宋体_GB2312" w:eastAsia="宋体_GB2312" w:cs="宋体"/>
                <w:sz w:val="18"/>
                <w:szCs w:val="18"/>
                <w:lang w:val="en-US"/>
              </w:rPr>
              <w:t>1600nm-1650nm</w:t>
            </w:r>
            <w:r>
              <w:rPr>
                <w:rFonts w:hint="eastAsia" w:ascii="宋体_GB2312" w:hAnsi="宋体_GB2312" w:eastAsia="宋体_GB2312" w:cs="宋体"/>
                <w:sz w:val="18"/>
                <w:szCs w:val="18"/>
                <w:lang w:val="en-US"/>
              </w:rPr>
              <w:t>波长区间的插入损耗在以上指标基础上增加</w:t>
            </w:r>
            <w:r>
              <w:rPr>
                <w:rFonts w:ascii="宋体_GB2312" w:hAnsi="宋体_GB2312" w:eastAsia="宋体_GB2312" w:cs="宋体"/>
                <w:sz w:val="18"/>
                <w:szCs w:val="18"/>
                <w:lang w:val="en-US"/>
              </w:rPr>
              <w:t>0.3dB</w:t>
            </w:r>
            <w:r>
              <w:rPr>
                <w:rFonts w:hint="eastAsia" w:ascii="宋体_GB2312" w:hAnsi="宋体_GB2312" w:eastAsia="宋体_GB2312" w:cs="宋体"/>
                <w:sz w:val="18"/>
                <w:szCs w:val="18"/>
                <w:lang w:val="en-US"/>
              </w:rPr>
              <w:t>。</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4：表中通道均匀性的测试波长为</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1310nm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1490nm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1550nm</w:t>
            </w:r>
            <w:r>
              <w:rPr>
                <w:rFonts w:hint="eastAsia" w:ascii="宋体_GB2312" w:hAnsi="宋体_GB2312" w:eastAsia="宋体_GB2312" w:cs="宋体"/>
                <w:sz w:val="18"/>
                <w:szCs w:val="18"/>
                <w:lang w:val="en-US"/>
              </w:rPr>
              <w:t>，在</w:t>
            </w:r>
            <w:r>
              <w:rPr>
                <w:rFonts w:ascii="宋体_GB2312" w:hAnsi="宋体_GB2312" w:eastAsia="宋体_GB2312" w:cs="宋体"/>
                <w:sz w:val="18"/>
                <w:szCs w:val="18"/>
                <w:lang w:val="en-US"/>
              </w:rPr>
              <w:t>1260nm-1300nm</w:t>
            </w:r>
            <w:r>
              <w:rPr>
                <w:rFonts w:hint="eastAsia" w:ascii="宋体_GB2312" w:hAnsi="宋体_GB2312" w:eastAsia="宋体_GB2312" w:cs="宋体"/>
                <w:sz w:val="18"/>
                <w:szCs w:val="18"/>
                <w:lang w:val="en-US"/>
              </w:rPr>
              <w:t>和</w:t>
            </w:r>
            <w:r>
              <w:rPr>
                <w:rFonts w:ascii="宋体_GB2312" w:hAnsi="宋体_GB2312" w:eastAsia="宋体_GB2312" w:cs="宋体"/>
                <w:sz w:val="18"/>
                <w:szCs w:val="18"/>
                <w:lang w:val="en-US"/>
              </w:rPr>
              <w:t>1600nm-1650nm</w:t>
            </w:r>
            <w:r>
              <w:rPr>
                <w:rFonts w:hint="eastAsia" w:ascii="宋体_GB2312" w:hAnsi="宋体_GB2312" w:eastAsia="宋体_GB2312" w:cs="宋体"/>
                <w:sz w:val="18"/>
                <w:szCs w:val="18"/>
                <w:lang w:val="en-US"/>
              </w:rPr>
              <w:t>波长区间的通道均匀性指标在以上指标基础上增加</w:t>
            </w:r>
            <w:r>
              <w:rPr>
                <w:rFonts w:ascii="宋体_GB2312" w:hAnsi="宋体_GB2312" w:eastAsia="宋体_GB2312" w:cs="宋体"/>
                <w:sz w:val="18"/>
                <w:szCs w:val="18"/>
                <w:lang w:val="en-US"/>
              </w:rPr>
              <w:t>0.5dB</w:t>
            </w:r>
            <w:r>
              <w:rPr>
                <w:rFonts w:hint="eastAsia" w:ascii="宋体_GB2312" w:hAnsi="宋体_GB2312" w:eastAsia="宋体_GB2312" w:cs="宋体"/>
                <w:sz w:val="18"/>
                <w:szCs w:val="18"/>
                <w:lang w:val="en-US"/>
              </w:rPr>
              <w:t>。</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注5：各型号的光分路器均要求为单一芯件组成，不得采用多个芯件级联方式。</w:t>
            </w:r>
          </w:p>
          <w:p>
            <w:pPr>
              <w:widowControl/>
              <w:adjustRightInd/>
              <w:spacing w:before="0" w:beforeLines="0" w:line="240" w:lineRule="auto"/>
              <w:ind w:firstLine="0" w:firstLineChars="0"/>
              <w:jc w:val="left"/>
              <w:textAlignment w:val="auto"/>
              <w:rPr>
                <w:rFonts w:hint="eastAsia" w:ascii="宋体_GB2312" w:hAnsi="宋体_GB2312" w:eastAsia="宋体_GB2312" w:cs="宋体"/>
                <w:sz w:val="18"/>
                <w:szCs w:val="18"/>
                <w:lang w:val="en-US"/>
              </w:rPr>
            </w:pPr>
            <w:r>
              <w:rPr>
                <w:rFonts w:hint="eastAsia" w:ascii="宋体_GB2312" w:hAnsi="宋体_GB2312" w:eastAsia="宋体_GB2312" w:cs="宋体"/>
                <w:sz w:val="18"/>
                <w:szCs w:val="18"/>
                <w:lang w:val="en-US"/>
              </w:rPr>
              <w:t>注6：当</w:t>
            </w:r>
            <w:r>
              <w:rPr>
                <w:rFonts w:hint="eastAsia" w:ascii="宋体_GB2312" w:hAnsi="宋体_GB2312" w:eastAsia="宋体_GB2312" w:cs="宋体"/>
                <w:sz w:val="18"/>
                <w:szCs w:val="18"/>
                <w:highlight w:val="none"/>
                <w:lang w:val="en-US"/>
              </w:rPr>
              <w:t>光分路器部署在高寒地区时，也应能在部署地点的温度范围内正常工作。</w:t>
            </w:r>
          </w:p>
        </w:tc>
      </w:tr>
    </w:tbl>
    <w:p>
      <w:pPr>
        <w:pStyle w:val="4"/>
        <w:rPr>
          <w:rFonts w:ascii="宋体_GB2312" w:hAnsi="宋体_GB2312" w:eastAsia="宋体_GB2312"/>
        </w:rPr>
      </w:pPr>
      <w:r>
        <w:rPr>
          <w:rFonts w:ascii="宋体_GB2312" w:hAnsi="宋体_GB2312" w:eastAsia="宋体_GB2312"/>
        </w:rPr>
        <w:t>3.3.2  2</w:t>
      </w:r>
      <w:r>
        <w:rPr>
          <w:rFonts w:hint="eastAsia" w:ascii="宋体_GB2312" w:hAnsi="宋体_GB2312" w:eastAsia="宋体_GB2312"/>
        </w:rPr>
        <w:t>×</w:t>
      </w:r>
      <w:r>
        <w:rPr>
          <w:rFonts w:ascii="宋体_GB2312" w:hAnsi="宋体_GB2312" w:eastAsia="宋体_GB2312"/>
        </w:rPr>
        <w:t>N PLC</w:t>
      </w:r>
      <w:r>
        <w:rPr>
          <w:rFonts w:hint="eastAsia" w:ascii="宋体_GB2312" w:hAnsi="宋体_GB2312" w:eastAsia="宋体_GB2312"/>
        </w:rPr>
        <w:t>光分路器</w:t>
      </w:r>
    </w:p>
    <w:p>
      <w:pPr>
        <w:ind w:firstLine="422"/>
        <w:jc w:val="center"/>
        <w:rPr>
          <w:rFonts w:ascii="宋体_GB2312" w:hAnsi="宋体_GB2312" w:eastAsia="宋体_GB2312"/>
          <w:b/>
          <w:sz w:val="21"/>
        </w:rPr>
      </w:pPr>
      <w:r>
        <w:rPr>
          <w:rFonts w:hint="eastAsia" w:ascii="宋体_GB2312" w:hAnsi="宋体_GB2312" w:eastAsia="宋体_GB2312"/>
          <w:b/>
          <w:sz w:val="21"/>
        </w:rPr>
        <w:t>表</w:t>
      </w:r>
      <w:r>
        <w:rPr>
          <w:rFonts w:ascii="宋体_GB2312" w:hAnsi="宋体_GB2312" w:eastAsia="宋体_GB2312"/>
          <w:b/>
          <w:sz w:val="21"/>
        </w:rPr>
        <w:t>2  2</w:t>
      </w:r>
      <w:r>
        <w:rPr>
          <w:rFonts w:hint="eastAsia" w:ascii="宋体_GB2312" w:hAnsi="宋体_GB2312" w:eastAsia="宋体_GB2312"/>
          <w:b/>
          <w:sz w:val="21"/>
        </w:rPr>
        <w:t>×</w:t>
      </w:r>
      <w:r>
        <w:rPr>
          <w:rFonts w:ascii="宋体_GB2312" w:hAnsi="宋体_GB2312" w:eastAsia="宋体_GB2312"/>
          <w:b/>
          <w:sz w:val="21"/>
        </w:rPr>
        <w:t>N PLC</w:t>
      </w:r>
      <w:r>
        <w:rPr>
          <w:rFonts w:hint="eastAsia" w:ascii="宋体_GB2312" w:hAnsi="宋体_GB2312" w:eastAsia="宋体_GB2312"/>
          <w:b/>
          <w:sz w:val="21"/>
        </w:rPr>
        <w:t>光分路器指标要求表</w:t>
      </w:r>
    </w:p>
    <w:tbl>
      <w:tblPr>
        <w:tblStyle w:val="35"/>
        <w:tblW w:w="8649" w:type="dxa"/>
        <w:tblInd w:w="108" w:type="dxa"/>
        <w:tblLayout w:type="fixed"/>
        <w:tblCellMar>
          <w:top w:w="0" w:type="dxa"/>
          <w:left w:w="108" w:type="dxa"/>
          <w:bottom w:w="0" w:type="dxa"/>
          <w:right w:w="108" w:type="dxa"/>
        </w:tblCellMar>
      </w:tblPr>
      <w:tblGrid>
        <w:gridCol w:w="851"/>
        <w:gridCol w:w="1836"/>
        <w:gridCol w:w="396"/>
        <w:gridCol w:w="838"/>
        <w:gridCol w:w="715"/>
        <w:gridCol w:w="804"/>
        <w:gridCol w:w="804"/>
        <w:gridCol w:w="804"/>
        <w:gridCol w:w="804"/>
        <w:gridCol w:w="797"/>
      </w:tblGrid>
      <w:tr>
        <w:tblPrEx>
          <w:tblCellMar>
            <w:top w:w="0" w:type="dxa"/>
            <w:left w:w="108" w:type="dxa"/>
            <w:bottom w:w="0" w:type="dxa"/>
            <w:right w:w="108" w:type="dxa"/>
          </w:tblCellMar>
        </w:tblPrEx>
        <w:trPr>
          <w:trHeight w:val="203" w:hRule="atLeast"/>
        </w:trPr>
        <w:tc>
          <w:tcPr>
            <w:tcW w:w="268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参数</w:t>
            </w:r>
          </w:p>
        </w:tc>
        <w:tc>
          <w:tcPr>
            <w:tcW w:w="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单位</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指标</w:t>
            </w:r>
          </w:p>
        </w:tc>
      </w:tr>
      <w:tr>
        <w:tblPrEx>
          <w:tblCellMar>
            <w:top w:w="0" w:type="dxa"/>
            <w:left w:w="108" w:type="dxa"/>
            <w:bottom w:w="0" w:type="dxa"/>
            <w:right w:w="108" w:type="dxa"/>
          </w:tblCellMar>
        </w:tblPrEx>
        <w:trPr>
          <w:trHeight w:val="203" w:hRule="atLeast"/>
        </w:trPr>
        <w:tc>
          <w:tcPr>
            <w:tcW w:w="268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396" w:type="dxa"/>
            <w:vMerge w:val="continue"/>
            <w:tcBorders>
              <w:top w:val="single" w:color="auto" w:sz="4" w:space="0"/>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2×2</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2×4</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2×8</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2×16</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2×32</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2×64</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2×128</w:t>
            </w:r>
          </w:p>
        </w:tc>
      </w:tr>
      <w:tr>
        <w:tblPrEx>
          <w:tblCellMar>
            <w:top w:w="0" w:type="dxa"/>
            <w:left w:w="108" w:type="dxa"/>
            <w:bottom w:w="0" w:type="dxa"/>
            <w:right w:w="108" w:type="dxa"/>
          </w:tblCellMar>
        </w:tblPrEx>
        <w:trPr>
          <w:trHeight w:val="203" w:hRule="atLeast"/>
        </w:trPr>
        <w:tc>
          <w:tcPr>
            <w:tcW w:w="26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工作带宽</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nm</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1260～1650</w:t>
            </w:r>
          </w:p>
        </w:tc>
      </w:tr>
      <w:tr>
        <w:tblPrEx>
          <w:tblCellMar>
            <w:top w:w="0" w:type="dxa"/>
            <w:left w:w="108" w:type="dxa"/>
            <w:bottom w:w="0" w:type="dxa"/>
            <w:right w:w="108" w:type="dxa"/>
          </w:tblCellMar>
        </w:tblPrEx>
        <w:trPr>
          <w:trHeight w:val="203" w:hRule="atLeast"/>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b/>
                <w:sz w:val="44"/>
              </w:rPr>
            </w:pPr>
            <w:r>
              <w:rPr>
                <w:rFonts w:hint="eastAsia" w:ascii="宋体_GB2312" w:hAnsi="宋体_GB2312" w:eastAsia="宋体_GB2312" w:cs="宋体"/>
                <w:color w:val="FF0000"/>
                <w:sz w:val="28"/>
                <w:szCs w:val="18"/>
                <w:lang w:val="en-US"/>
              </w:rPr>
              <w:t>★</w:t>
            </w:r>
          </w:p>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插入损耗</w:t>
            </w: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PLC器件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4.0</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7.4</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10.6</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13.8</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17.1</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24.3</w:t>
            </w:r>
          </w:p>
        </w:tc>
      </w:tr>
      <w:tr>
        <w:tblPrEx>
          <w:tblCellMar>
            <w:top w:w="0" w:type="dxa"/>
            <w:left w:w="108" w:type="dxa"/>
            <w:bottom w:w="0" w:type="dxa"/>
            <w:right w:w="108" w:type="dxa"/>
          </w:tblCellMar>
        </w:tblPrEx>
        <w:trPr>
          <w:trHeight w:val="304"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插头型</w:t>
            </w: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4.4</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7.7</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10.8</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14.1</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17.4</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20.7</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24.7</w:t>
            </w:r>
          </w:p>
        </w:tc>
      </w:tr>
      <w:tr>
        <w:tblPrEx>
          <w:tblCellMar>
            <w:top w:w="0" w:type="dxa"/>
            <w:left w:w="108" w:type="dxa"/>
            <w:bottom w:w="0" w:type="dxa"/>
            <w:right w:w="108" w:type="dxa"/>
          </w:tblCellMar>
        </w:tblPrEx>
        <w:trPr>
          <w:trHeight w:val="203"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适配器型</w:t>
            </w: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4.4</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7.7</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10.8</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14.1</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17.4</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20.7</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24.7</w:t>
            </w:r>
          </w:p>
        </w:tc>
      </w:tr>
      <w:tr>
        <w:tblPrEx>
          <w:tblCellMar>
            <w:top w:w="0" w:type="dxa"/>
            <w:left w:w="108" w:type="dxa"/>
            <w:bottom w:w="0" w:type="dxa"/>
            <w:right w:w="108" w:type="dxa"/>
          </w:tblCellMar>
        </w:tblPrEx>
        <w:trPr>
          <w:trHeight w:val="203" w:hRule="atLeast"/>
        </w:trPr>
        <w:tc>
          <w:tcPr>
            <w:tcW w:w="268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偏振相关损耗</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0.3</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0.5</w:t>
            </w:r>
          </w:p>
        </w:tc>
      </w:tr>
      <w:tr>
        <w:tblPrEx>
          <w:tblCellMar>
            <w:top w:w="0" w:type="dxa"/>
            <w:left w:w="108" w:type="dxa"/>
            <w:bottom w:w="0" w:type="dxa"/>
            <w:right w:w="108" w:type="dxa"/>
          </w:tblCellMar>
        </w:tblPrEx>
        <w:trPr>
          <w:trHeight w:val="203" w:hRule="atLeast"/>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通道均匀性</w:t>
            </w: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固定工作波长</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0.6</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0.7</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1.0</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1.2</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2.5</w:t>
            </w:r>
          </w:p>
        </w:tc>
      </w:tr>
      <w:tr>
        <w:tblPrEx>
          <w:tblCellMar>
            <w:top w:w="0" w:type="dxa"/>
            <w:left w:w="108" w:type="dxa"/>
            <w:bottom w:w="0" w:type="dxa"/>
            <w:right w:w="108" w:type="dxa"/>
          </w:tblCellMar>
        </w:tblPrEx>
        <w:trPr>
          <w:trHeight w:val="203"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全工作带宽</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838"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1.1</w:t>
            </w:r>
          </w:p>
        </w:tc>
        <w:tc>
          <w:tcPr>
            <w:tcW w:w="715"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1.2</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1.3</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1.7</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2.0</w:t>
            </w:r>
          </w:p>
        </w:tc>
        <w:tc>
          <w:tcPr>
            <w:tcW w:w="804"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2.5</w:t>
            </w:r>
          </w:p>
        </w:tc>
        <w:tc>
          <w:tcPr>
            <w:tcW w:w="797"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3.0</w:t>
            </w:r>
          </w:p>
        </w:tc>
      </w:tr>
      <w:tr>
        <w:tblPrEx>
          <w:tblCellMar>
            <w:top w:w="0" w:type="dxa"/>
            <w:left w:w="108" w:type="dxa"/>
            <w:bottom w:w="0" w:type="dxa"/>
            <w:right w:w="108" w:type="dxa"/>
          </w:tblCellMar>
        </w:tblPrEx>
        <w:trPr>
          <w:trHeight w:val="203" w:hRule="atLeast"/>
        </w:trPr>
        <w:tc>
          <w:tcPr>
            <w:tcW w:w="851" w:type="dxa"/>
            <w:vMerge w:val="restart"/>
            <w:tcBorders>
              <w:top w:val="nil"/>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回波损耗</w:t>
            </w: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PLC器件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55</w:t>
            </w:r>
          </w:p>
        </w:tc>
      </w:tr>
      <w:tr>
        <w:tblPrEx>
          <w:tblCellMar>
            <w:top w:w="0" w:type="dxa"/>
            <w:left w:w="108" w:type="dxa"/>
            <w:bottom w:w="0" w:type="dxa"/>
            <w:right w:w="108" w:type="dxa"/>
          </w:tblCellMar>
        </w:tblPrEx>
        <w:trPr>
          <w:trHeight w:val="203" w:hRule="atLeast"/>
        </w:trPr>
        <w:tc>
          <w:tcPr>
            <w:tcW w:w="851" w:type="dxa"/>
            <w:vMerge w:val="continue"/>
            <w:tcBorders>
              <w:top w:val="nil"/>
              <w:left w:val="single" w:color="auto" w:sz="4" w:space="0"/>
              <w:bottom w:val="single" w:color="auto" w:sz="4" w:space="0"/>
              <w:right w:val="single" w:color="auto" w:sz="4" w:space="0"/>
            </w:tcBorders>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p>
        </w:tc>
        <w:tc>
          <w:tcPr>
            <w:tcW w:w="183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PLC组件</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45（PC型光纤连接头)；≥50 (UPC型光纤连接头)；≥55</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APC型光纤连接头)</w:t>
            </w:r>
          </w:p>
        </w:tc>
      </w:tr>
      <w:tr>
        <w:tblPrEx>
          <w:tblCellMar>
            <w:top w:w="0" w:type="dxa"/>
            <w:left w:w="108" w:type="dxa"/>
            <w:bottom w:w="0" w:type="dxa"/>
            <w:right w:w="108" w:type="dxa"/>
          </w:tblCellMar>
        </w:tblPrEx>
        <w:trPr>
          <w:trHeight w:val="203" w:hRule="atLeast"/>
        </w:trPr>
        <w:tc>
          <w:tcPr>
            <w:tcW w:w="26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方向性</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dB</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55</w:t>
            </w:r>
          </w:p>
        </w:tc>
      </w:tr>
      <w:tr>
        <w:tblPrEx>
          <w:tblCellMar>
            <w:top w:w="0" w:type="dxa"/>
            <w:left w:w="108" w:type="dxa"/>
            <w:bottom w:w="0" w:type="dxa"/>
            <w:right w:w="108" w:type="dxa"/>
          </w:tblCellMar>
        </w:tblPrEx>
        <w:trPr>
          <w:trHeight w:val="203" w:hRule="atLeast"/>
        </w:trPr>
        <w:tc>
          <w:tcPr>
            <w:tcW w:w="268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工作温度范围</w:t>
            </w:r>
          </w:p>
        </w:tc>
        <w:tc>
          <w:tcPr>
            <w:tcW w:w="396"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w:t>
            </w:r>
          </w:p>
        </w:tc>
        <w:tc>
          <w:tcPr>
            <w:tcW w:w="5566" w:type="dxa"/>
            <w:gridSpan w:val="7"/>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宋体"/>
                <w:sz w:val="18"/>
                <w:szCs w:val="18"/>
                <w:lang w:val="en-US"/>
              </w:rPr>
            </w:pPr>
            <w:r>
              <w:rPr>
                <w:rFonts w:ascii="宋体_GB2312" w:hAnsi="宋体_GB2312" w:eastAsia="宋体_GB2312" w:cs="宋体"/>
                <w:sz w:val="18"/>
                <w:szCs w:val="18"/>
                <w:lang w:val="en-US"/>
              </w:rPr>
              <w:t>-40～+85</w:t>
            </w:r>
          </w:p>
        </w:tc>
      </w:tr>
      <w:tr>
        <w:tblPrEx>
          <w:tblCellMar>
            <w:top w:w="0" w:type="dxa"/>
            <w:left w:w="108" w:type="dxa"/>
            <w:bottom w:w="0" w:type="dxa"/>
            <w:right w:w="108" w:type="dxa"/>
          </w:tblCellMar>
        </w:tblPrEx>
        <w:trPr>
          <w:trHeight w:val="203" w:hRule="atLeast"/>
        </w:trPr>
        <w:tc>
          <w:tcPr>
            <w:tcW w:w="8649"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1：针对均分器件。</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2：光纤为单模光纤G.652D/G.657A2。</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3：表中插入损耗的测试波长为：1310nm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1490nm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1550nm</w:t>
            </w:r>
            <w:r>
              <w:rPr>
                <w:rFonts w:hint="eastAsia" w:ascii="宋体_GB2312" w:hAnsi="宋体_GB2312" w:eastAsia="宋体_GB2312" w:cs="宋体"/>
                <w:sz w:val="18"/>
                <w:szCs w:val="18"/>
                <w:lang w:val="en-US"/>
              </w:rPr>
              <w:t>，在</w:t>
            </w:r>
            <w:r>
              <w:rPr>
                <w:rFonts w:ascii="宋体_GB2312" w:hAnsi="宋体_GB2312" w:eastAsia="宋体_GB2312" w:cs="宋体"/>
                <w:sz w:val="18"/>
                <w:szCs w:val="18"/>
                <w:lang w:val="en-US"/>
              </w:rPr>
              <w:t>1260nm-1300nm</w:t>
            </w:r>
            <w:r>
              <w:rPr>
                <w:rFonts w:hint="eastAsia" w:ascii="宋体_GB2312" w:hAnsi="宋体_GB2312" w:eastAsia="宋体_GB2312" w:cs="宋体"/>
                <w:sz w:val="18"/>
                <w:szCs w:val="18"/>
                <w:lang w:val="en-US"/>
              </w:rPr>
              <w:t>和</w:t>
            </w:r>
            <w:r>
              <w:rPr>
                <w:rFonts w:ascii="宋体_GB2312" w:hAnsi="宋体_GB2312" w:eastAsia="宋体_GB2312" w:cs="宋体"/>
                <w:sz w:val="18"/>
                <w:szCs w:val="18"/>
                <w:lang w:val="en-US"/>
              </w:rPr>
              <w:t>1600nm-1650nm</w:t>
            </w:r>
            <w:r>
              <w:rPr>
                <w:rFonts w:hint="eastAsia" w:ascii="宋体_GB2312" w:hAnsi="宋体_GB2312" w:eastAsia="宋体_GB2312" w:cs="宋体"/>
                <w:sz w:val="18"/>
                <w:szCs w:val="18"/>
                <w:lang w:val="en-US"/>
              </w:rPr>
              <w:t>波长区间的插入损耗在以上指标基础上增加</w:t>
            </w:r>
            <w:r>
              <w:rPr>
                <w:rFonts w:ascii="宋体_GB2312" w:hAnsi="宋体_GB2312" w:eastAsia="宋体_GB2312" w:cs="宋体"/>
                <w:sz w:val="18"/>
                <w:szCs w:val="18"/>
                <w:lang w:val="en-US"/>
              </w:rPr>
              <w:t>0.3dB</w:t>
            </w:r>
            <w:r>
              <w:rPr>
                <w:rFonts w:hint="eastAsia" w:ascii="宋体_GB2312" w:hAnsi="宋体_GB2312" w:eastAsia="宋体_GB2312" w:cs="宋体"/>
                <w:sz w:val="18"/>
                <w:szCs w:val="18"/>
                <w:lang w:val="en-US"/>
              </w:rPr>
              <w:t>。</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w:t>
            </w:r>
            <w:r>
              <w:rPr>
                <w:rFonts w:ascii="宋体_GB2312" w:hAnsi="宋体_GB2312" w:eastAsia="宋体_GB2312" w:cs="宋体"/>
                <w:sz w:val="18"/>
                <w:szCs w:val="18"/>
                <w:lang w:val="en-US"/>
              </w:rPr>
              <w:t>4：表中通道均匀性的测试波长为：1310nm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1490nm</w:t>
            </w:r>
            <w:r>
              <w:rPr>
                <w:rFonts w:hint="eastAsia" w:ascii="宋体_GB2312" w:hAnsi="宋体_GB2312" w:eastAsia="宋体_GB2312" w:cs="宋体"/>
                <w:sz w:val="18"/>
                <w:szCs w:val="18"/>
                <w:lang w:val="en-US"/>
              </w:rPr>
              <w:t>、</w:t>
            </w:r>
            <w:r>
              <w:rPr>
                <w:rFonts w:ascii="宋体_GB2312" w:hAnsi="宋体_GB2312" w:eastAsia="宋体_GB2312" w:cs="宋体"/>
                <w:sz w:val="18"/>
                <w:szCs w:val="18"/>
                <w:lang w:val="en-US"/>
              </w:rPr>
              <w:t>1550nm</w:t>
            </w:r>
            <w:r>
              <w:rPr>
                <w:rFonts w:hint="eastAsia" w:ascii="宋体_GB2312" w:hAnsi="宋体_GB2312" w:eastAsia="宋体_GB2312" w:cs="宋体"/>
                <w:sz w:val="18"/>
                <w:szCs w:val="18"/>
                <w:lang w:val="en-US"/>
              </w:rPr>
              <w:t>，在</w:t>
            </w:r>
            <w:r>
              <w:rPr>
                <w:rFonts w:ascii="宋体_GB2312" w:hAnsi="宋体_GB2312" w:eastAsia="宋体_GB2312" w:cs="宋体"/>
                <w:sz w:val="18"/>
                <w:szCs w:val="18"/>
                <w:lang w:val="en-US"/>
              </w:rPr>
              <w:t>1260nm-1300nm</w:t>
            </w:r>
            <w:r>
              <w:rPr>
                <w:rFonts w:hint="eastAsia" w:ascii="宋体_GB2312" w:hAnsi="宋体_GB2312" w:eastAsia="宋体_GB2312" w:cs="宋体"/>
                <w:sz w:val="18"/>
                <w:szCs w:val="18"/>
                <w:lang w:val="en-US"/>
              </w:rPr>
              <w:t>和</w:t>
            </w:r>
            <w:r>
              <w:rPr>
                <w:rFonts w:ascii="宋体_GB2312" w:hAnsi="宋体_GB2312" w:eastAsia="宋体_GB2312" w:cs="宋体"/>
                <w:sz w:val="18"/>
                <w:szCs w:val="18"/>
                <w:lang w:val="en-US"/>
              </w:rPr>
              <w:t>1600nm-1650nm</w:t>
            </w:r>
            <w:r>
              <w:rPr>
                <w:rFonts w:hint="eastAsia" w:ascii="宋体_GB2312" w:hAnsi="宋体_GB2312" w:eastAsia="宋体_GB2312" w:cs="宋体"/>
                <w:sz w:val="18"/>
                <w:szCs w:val="18"/>
                <w:lang w:val="en-US"/>
              </w:rPr>
              <w:t>波长区间的通道均匀性指标在以上指标基础上增加</w:t>
            </w:r>
            <w:r>
              <w:rPr>
                <w:rFonts w:ascii="宋体_GB2312" w:hAnsi="宋体_GB2312" w:eastAsia="宋体_GB2312" w:cs="宋体"/>
                <w:sz w:val="18"/>
                <w:szCs w:val="18"/>
                <w:lang w:val="en-US"/>
              </w:rPr>
              <w:t>0.5dB</w:t>
            </w:r>
            <w:r>
              <w:rPr>
                <w:rFonts w:hint="eastAsia" w:ascii="宋体_GB2312" w:hAnsi="宋体_GB2312" w:eastAsia="宋体_GB2312" w:cs="宋体"/>
                <w:sz w:val="18"/>
                <w:szCs w:val="18"/>
                <w:lang w:val="en-US"/>
              </w:rPr>
              <w:t>。</w:t>
            </w:r>
          </w:p>
          <w:p>
            <w:pPr>
              <w:widowControl/>
              <w:adjustRightInd/>
              <w:spacing w:before="0" w:beforeLines="0" w:line="240" w:lineRule="auto"/>
              <w:ind w:firstLine="0" w:firstLineChars="0"/>
              <w:jc w:val="left"/>
              <w:textAlignment w:val="auto"/>
              <w:rPr>
                <w:rFonts w:ascii="宋体_GB2312" w:hAnsi="宋体_GB2312" w:eastAsia="宋体_GB2312" w:cs="宋体"/>
                <w:sz w:val="18"/>
                <w:szCs w:val="18"/>
                <w:lang w:val="en-US"/>
              </w:rPr>
            </w:pPr>
            <w:r>
              <w:rPr>
                <w:rFonts w:hint="eastAsia" w:ascii="宋体_GB2312" w:hAnsi="宋体_GB2312" w:eastAsia="宋体_GB2312" w:cs="宋体"/>
                <w:sz w:val="18"/>
                <w:szCs w:val="18"/>
                <w:lang w:val="en-US"/>
              </w:rPr>
              <w:t>注5：各型号的光分路器均要求为单一芯件组成，不得采用多个芯件级联方式。</w:t>
            </w:r>
          </w:p>
          <w:p>
            <w:pPr>
              <w:widowControl/>
              <w:adjustRightInd/>
              <w:spacing w:before="0" w:beforeLines="0" w:line="240" w:lineRule="auto"/>
              <w:ind w:firstLine="0" w:firstLineChars="0"/>
              <w:jc w:val="left"/>
              <w:textAlignment w:val="auto"/>
              <w:rPr>
                <w:rFonts w:hint="eastAsia" w:ascii="宋体_GB2312" w:hAnsi="宋体_GB2312" w:eastAsia="宋体_GB2312" w:cs="宋体"/>
                <w:sz w:val="18"/>
                <w:szCs w:val="18"/>
                <w:lang w:val="en-US"/>
              </w:rPr>
            </w:pPr>
            <w:r>
              <w:rPr>
                <w:rFonts w:hint="eastAsia" w:ascii="宋体_GB2312" w:hAnsi="宋体_GB2312" w:eastAsia="宋体_GB2312" w:cs="宋体"/>
                <w:sz w:val="18"/>
                <w:szCs w:val="18"/>
                <w:highlight w:val="none"/>
                <w:lang w:val="en-US"/>
              </w:rPr>
              <w:t>注6：</w:t>
            </w:r>
            <w:r>
              <w:rPr>
                <w:rFonts w:hint="eastAsia" w:ascii="宋体_GB2312" w:hAnsi="宋体_GB2312" w:eastAsia="宋体_GB2312" w:cs="宋体"/>
                <w:sz w:val="18"/>
                <w:szCs w:val="18"/>
                <w:lang w:val="en-US"/>
              </w:rPr>
              <w:t>当</w:t>
            </w:r>
            <w:r>
              <w:rPr>
                <w:rFonts w:hint="eastAsia" w:ascii="宋体_GB2312" w:hAnsi="宋体_GB2312" w:eastAsia="宋体_GB2312" w:cs="宋体"/>
                <w:sz w:val="18"/>
                <w:szCs w:val="18"/>
                <w:highlight w:val="none"/>
                <w:lang w:val="en-US"/>
              </w:rPr>
              <w:t>光分路器设备部署在高寒地区时，也应能在部署地点的温度范围内正常工作。</w:t>
            </w:r>
          </w:p>
        </w:tc>
      </w:tr>
    </w:tbl>
    <w:p>
      <w:pPr>
        <w:pStyle w:val="3"/>
        <w:keepNext/>
        <w:spacing w:before="260" w:beforeLines="0" w:after="260" w:line="416" w:lineRule="atLeast"/>
        <w:ind w:right="240"/>
        <w:jc w:val="both"/>
        <w:rPr>
          <w:rFonts w:ascii="宋体_GB2312" w:hAnsi="宋体_GB2312" w:eastAsia="宋体_GB2312"/>
          <w:kern w:val="0"/>
          <w:szCs w:val="32"/>
          <w:lang w:val="en-US"/>
        </w:rPr>
      </w:pPr>
      <w:bookmarkStart w:id="95" w:name="_Toc17184325"/>
      <w:bookmarkStart w:id="96" w:name="_Toc12681"/>
      <w:r>
        <w:rPr>
          <w:rFonts w:hint="eastAsia" w:ascii="宋体_GB2312" w:hAnsi="宋体_GB2312" w:eastAsia="宋体_GB2312"/>
          <w:kern w:val="0"/>
          <w:szCs w:val="32"/>
          <w:lang w:val="en-US"/>
        </w:rPr>
        <w:t>3</w:t>
      </w:r>
      <w:r>
        <w:rPr>
          <w:rFonts w:ascii="宋体_GB2312" w:hAnsi="宋体_GB2312" w:eastAsia="宋体_GB2312"/>
          <w:kern w:val="0"/>
          <w:szCs w:val="32"/>
          <w:lang w:val="en-US"/>
        </w:rPr>
        <w:t>.4</w:t>
      </w:r>
      <w:r>
        <w:rPr>
          <w:rFonts w:hint="eastAsia" w:ascii="宋体_GB2312" w:hAnsi="宋体_GB2312" w:eastAsia="宋体_GB2312"/>
          <w:kern w:val="0"/>
          <w:szCs w:val="32"/>
          <w:lang w:val="en-US"/>
        </w:rPr>
        <w:t>机械和环境性能要求</w:t>
      </w:r>
      <w:bookmarkEnd w:id="95"/>
      <w:bookmarkEnd w:id="96"/>
    </w:p>
    <w:p>
      <w:pPr>
        <w:rPr>
          <w:rFonts w:ascii="宋体_GB2312" w:hAnsi="宋体_GB2312" w:eastAsia="宋体_GB2312"/>
          <w:lang w:val="en-US"/>
        </w:rPr>
      </w:pPr>
      <w:r>
        <w:rPr>
          <w:rFonts w:hint="eastAsia" w:ascii="宋体_GB2312" w:hAnsi="宋体_GB2312" w:eastAsia="宋体_GB2312"/>
        </w:rPr>
        <w:t>机械性能和环境适应性要满足表3、表</w:t>
      </w:r>
      <w:r>
        <w:rPr>
          <w:rFonts w:ascii="宋体_GB2312" w:hAnsi="宋体_GB2312" w:eastAsia="宋体_GB2312"/>
        </w:rPr>
        <w:t>4</w:t>
      </w:r>
      <w:r>
        <w:rPr>
          <w:rFonts w:hint="eastAsia" w:ascii="宋体_GB2312" w:hAnsi="宋体_GB2312" w:eastAsia="宋体_GB2312"/>
        </w:rPr>
        <w:t>要求。</w:t>
      </w:r>
    </w:p>
    <w:p>
      <w:pPr>
        <w:ind w:firstLine="422"/>
        <w:jc w:val="center"/>
        <w:rPr>
          <w:rFonts w:ascii="宋体_GB2312" w:hAnsi="宋体_GB2312" w:eastAsia="宋体_GB2312"/>
          <w:szCs w:val="24"/>
        </w:rPr>
      </w:pPr>
      <w:r>
        <w:rPr>
          <w:rFonts w:hint="eastAsia" w:ascii="宋体_GB2312" w:hAnsi="宋体_GB2312" w:eastAsia="宋体_GB2312"/>
          <w:b/>
          <w:sz w:val="21"/>
        </w:rPr>
        <w:t xml:space="preserve">表3 </w:t>
      </w:r>
      <w:r>
        <w:rPr>
          <w:rFonts w:ascii="宋体_GB2312" w:hAnsi="宋体_GB2312" w:eastAsia="宋体_GB2312"/>
          <w:b/>
          <w:sz w:val="21"/>
        </w:rPr>
        <w:t xml:space="preserve"> </w:t>
      </w:r>
      <w:r>
        <w:rPr>
          <w:rFonts w:hint="eastAsia" w:ascii="宋体_GB2312" w:hAnsi="宋体_GB2312" w:eastAsia="宋体_GB2312"/>
          <w:b/>
          <w:sz w:val="21"/>
        </w:rPr>
        <w:t>机械性能要求表</w:t>
      </w:r>
      <w:r>
        <w:rPr>
          <w:rFonts w:hint="eastAsia" w:ascii="宋体_GB2312" w:hAnsi="宋体_GB2312" w:eastAsia="宋体_GB2312"/>
        </w:rPr>
        <w:t xml:space="preserve"> </w:t>
      </w:r>
    </w:p>
    <w:tbl>
      <w:tblPr>
        <w:tblStyle w:val="35"/>
        <w:tblW w:w="8501" w:type="dxa"/>
        <w:tblInd w:w="94" w:type="dxa"/>
        <w:tblLayout w:type="fixed"/>
        <w:tblCellMar>
          <w:top w:w="0" w:type="dxa"/>
          <w:left w:w="108" w:type="dxa"/>
          <w:bottom w:w="0" w:type="dxa"/>
          <w:right w:w="108" w:type="dxa"/>
        </w:tblCellMar>
      </w:tblPr>
      <w:tblGrid>
        <w:gridCol w:w="716"/>
        <w:gridCol w:w="2246"/>
        <w:gridCol w:w="2188"/>
        <w:gridCol w:w="3351"/>
      </w:tblGrid>
      <w:tr>
        <w:tblPrEx>
          <w:tblCellMar>
            <w:top w:w="0" w:type="dxa"/>
            <w:left w:w="108" w:type="dxa"/>
            <w:bottom w:w="0" w:type="dxa"/>
            <w:right w:w="108" w:type="dxa"/>
          </w:tblCellMar>
        </w:tblPrEx>
        <w:trPr>
          <w:trHeight w:val="373" w:hRule="atLeast"/>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序号</w:t>
            </w:r>
          </w:p>
        </w:tc>
        <w:tc>
          <w:tcPr>
            <w:tcW w:w="2246"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宋体_GB2312" w:hAnsi="宋体_GB2312" w:eastAsia="宋体_GB2312" w:cs="Arial"/>
                <w:sz w:val="16"/>
                <w:lang w:val="en-US"/>
              </w:rPr>
            </w:pPr>
            <w:r>
              <w:rPr>
                <w:rFonts w:hint="eastAsia" w:ascii="宋体_GB2312" w:hAnsi="宋体_GB2312" w:eastAsia="宋体_GB2312" w:cs="Arial"/>
                <w:sz w:val="16"/>
                <w:lang w:val="en-US"/>
              </w:rPr>
              <w:t>试验项目</w:t>
            </w:r>
          </w:p>
        </w:tc>
        <w:tc>
          <w:tcPr>
            <w:tcW w:w="55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320"/>
              <w:jc w:val="center"/>
              <w:rPr>
                <w:rFonts w:ascii="宋体_GB2312" w:hAnsi="宋体_GB2312" w:eastAsia="宋体_GB2312" w:cs="Arial"/>
                <w:sz w:val="16"/>
                <w:lang w:val="en-US"/>
              </w:rPr>
            </w:pPr>
            <w:r>
              <w:rPr>
                <w:rFonts w:hint="eastAsia" w:ascii="宋体_GB2312" w:hAnsi="宋体_GB2312" w:eastAsia="宋体_GB2312" w:cs="宋体"/>
                <w:sz w:val="16"/>
                <w:lang w:val="en-US"/>
              </w:rPr>
              <w:t>试验条件与标准要求</w:t>
            </w:r>
          </w:p>
        </w:tc>
      </w:tr>
      <w:tr>
        <w:tblPrEx>
          <w:tblCellMar>
            <w:top w:w="0" w:type="dxa"/>
            <w:left w:w="108" w:type="dxa"/>
            <w:bottom w:w="0" w:type="dxa"/>
            <w:right w:w="108" w:type="dxa"/>
          </w:tblCellMar>
        </w:tblPrEx>
        <w:trPr>
          <w:trHeight w:val="568"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1</w:t>
            </w:r>
          </w:p>
        </w:tc>
        <w:tc>
          <w:tcPr>
            <w:tcW w:w="2246"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振动试验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标准的7.1.1条）</w:t>
            </w:r>
          </w:p>
        </w:tc>
        <w:tc>
          <w:tcPr>
            <w:tcW w:w="2188"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频率10～55Hz，振幅0.75mm，每分钟一个倍频程，容差±10%,X、Y、Z方向各持续30min后</w:t>
            </w:r>
          </w:p>
        </w:tc>
        <w:tc>
          <w:tcPr>
            <w:tcW w:w="335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229"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2246"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2188"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35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r>
        <w:tblPrEx>
          <w:tblCellMar>
            <w:top w:w="0" w:type="dxa"/>
            <w:left w:w="108" w:type="dxa"/>
            <w:bottom w:w="0" w:type="dxa"/>
            <w:right w:w="108" w:type="dxa"/>
          </w:tblCellMar>
        </w:tblPrEx>
        <w:trPr>
          <w:trHeight w:val="467"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2</w:t>
            </w:r>
          </w:p>
        </w:tc>
        <w:tc>
          <w:tcPr>
            <w:tcW w:w="2246"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冲击试验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标准的7.1.2条）</w:t>
            </w:r>
          </w:p>
        </w:tc>
        <w:tc>
          <w:tcPr>
            <w:tcW w:w="2188"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加速度490m/s</w:t>
            </w:r>
            <w:r>
              <w:rPr>
                <w:rFonts w:hint="eastAsia" w:ascii="宋体_GB2312" w:hAnsi="宋体_GB2312" w:eastAsia="宋体_GB2312" w:cs="Arial"/>
                <w:sz w:val="16"/>
                <w:vertAlign w:val="superscript"/>
                <w:lang w:val="en-US"/>
              </w:rPr>
              <w:t>2</w:t>
            </w:r>
            <w:r>
              <w:rPr>
                <w:rFonts w:hint="eastAsia" w:ascii="宋体_GB2312" w:hAnsi="宋体_GB2312" w:eastAsia="宋体_GB2312" w:cs="Arial"/>
                <w:sz w:val="16"/>
                <w:lang w:val="en-US"/>
              </w:rPr>
              <w:t>，半正弦波11ms，X、Y方向各3次后</w:t>
            </w:r>
          </w:p>
        </w:tc>
        <w:tc>
          <w:tcPr>
            <w:tcW w:w="335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rPr>
          <w:trHeight w:val="203"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2246"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2188" w:type="dxa"/>
            <w:vMerge w:val="continue"/>
            <w:tcBorders>
              <w:left w:val="single" w:color="auto" w:sz="4" w:space="0"/>
              <w:bottom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335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r>
        <w:tblPrEx>
          <w:tblCellMar>
            <w:top w:w="0" w:type="dxa"/>
            <w:left w:w="108" w:type="dxa"/>
            <w:bottom w:w="0" w:type="dxa"/>
            <w:right w:w="108" w:type="dxa"/>
          </w:tblCellMar>
        </w:tblPrEx>
        <w:trPr>
          <w:trHeight w:val="475"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3</w:t>
            </w:r>
          </w:p>
        </w:tc>
        <w:tc>
          <w:tcPr>
            <w:tcW w:w="2246"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光缆拉伸试验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w:t>
            </w:r>
            <w:r>
              <w:rPr>
                <w:rFonts w:hint="eastAsia" w:ascii="宋体_GB2312" w:hAnsi="宋体_GB2312" w:eastAsia="宋体_GB2312"/>
                <w:sz w:val="18"/>
                <w:szCs w:val="18"/>
                <w:lang w:val="en-US"/>
              </w:rPr>
              <w:t>Y</w:t>
            </w:r>
            <w:r>
              <w:rPr>
                <w:rFonts w:ascii="宋体_GB2312" w:hAnsi="宋体_GB2312" w:eastAsia="宋体_GB2312"/>
                <w:sz w:val="18"/>
                <w:szCs w:val="18"/>
                <w:lang w:val="en-US"/>
              </w:rPr>
              <w:t>D/T 1272.3-2015  6.7.9</w:t>
            </w:r>
            <w:r>
              <w:rPr>
                <w:rFonts w:hint="eastAsia" w:ascii="宋体_GB2312" w:hAnsi="宋体_GB2312" w:eastAsia="宋体_GB2312"/>
                <w:sz w:val="18"/>
                <w:szCs w:val="18"/>
                <w:lang w:val="en-US"/>
              </w:rPr>
              <w:t>条</w:t>
            </w:r>
            <w:r>
              <w:rPr>
                <w:rFonts w:hint="eastAsia" w:ascii="宋体_GB2312" w:hAnsi="宋体_GB2312" w:eastAsia="宋体_GB2312" w:cs="Arial"/>
                <w:sz w:val="16"/>
                <w:lang w:val="en-US"/>
              </w:rPr>
              <w:t>）</w:t>
            </w:r>
          </w:p>
        </w:tc>
        <w:tc>
          <w:tcPr>
            <w:tcW w:w="2188"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针对Φ2.0mm出纤：负荷</w:t>
            </w:r>
            <w:r>
              <w:rPr>
                <w:rFonts w:ascii="宋体_GB2312" w:hAnsi="宋体_GB2312" w:eastAsia="宋体_GB2312" w:cs="Arial"/>
                <w:sz w:val="16"/>
                <w:lang w:val="en-US"/>
              </w:rPr>
              <w:t>5</w:t>
            </w:r>
            <w:r>
              <w:rPr>
                <w:rFonts w:hint="eastAsia" w:ascii="宋体_GB2312" w:hAnsi="宋体_GB2312" w:eastAsia="宋体_GB2312" w:cs="Arial"/>
                <w:sz w:val="16"/>
                <w:lang w:val="en-US"/>
              </w:rPr>
              <w:t>0N，施加速率50N/min~250N/min，施加点距插头22～28cm，2min后</w:t>
            </w:r>
          </w:p>
        </w:tc>
        <w:tc>
          <w:tcPr>
            <w:tcW w:w="335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109"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2246"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2188"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35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r>
        <w:tblPrEx>
          <w:tblCellMar>
            <w:top w:w="0" w:type="dxa"/>
            <w:left w:w="108" w:type="dxa"/>
            <w:bottom w:w="0" w:type="dxa"/>
            <w:right w:w="108" w:type="dxa"/>
          </w:tblCellMar>
        </w:tblPrEx>
        <w:trPr>
          <w:trHeight w:val="396"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4</w:t>
            </w:r>
          </w:p>
        </w:tc>
        <w:tc>
          <w:tcPr>
            <w:tcW w:w="2246"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光缆扭转试验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标准的7.1.4条）</w:t>
            </w:r>
          </w:p>
        </w:tc>
        <w:tc>
          <w:tcPr>
            <w:tcW w:w="2188"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针对Φ2.0</w:t>
            </w:r>
            <w:r>
              <w:rPr>
                <w:rFonts w:hint="eastAsia" w:ascii="宋体_GB2312" w:hAnsi="宋体_GB2312" w:eastAsia="宋体_GB2312" w:cs="Arial"/>
                <w:sz w:val="16"/>
                <w:highlight w:val="none"/>
                <w:lang w:val="en-US"/>
              </w:rPr>
              <w:t>mm</w:t>
            </w:r>
            <w:r>
              <w:rPr>
                <w:rFonts w:ascii="宋体_GB2312" w:hAnsi="宋体_GB2312" w:eastAsia="宋体_GB2312" w:cs="Arial"/>
                <w:sz w:val="16"/>
                <w:highlight w:val="none"/>
                <w:lang w:val="en-US"/>
              </w:rPr>
              <w:t>出</w:t>
            </w:r>
            <w:r>
              <w:rPr>
                <w:rFonts w:hint="eastAsia" w:ascii="宋体_GB2312" w:hAnsi="宋体_GB2312" w:eastAsia="宋体_GB2312" w:cs="Arial"/>
                <w:sz w:val="16"/>
                <w:highlight w:val="none"/>
                <w:lang w:val="en-US"/>
              </w:rPr>
              <w:t>纤：</w:t>
            </w:r>
            <w:r>
              <w:rPr>
                <w:rFonts w:ascii="宋体_GB2312" w:hAnsi="宋体_GB2312" w:eastAsia="宋体_GB2312" w:cs="Arial"/>
                <w:sz w:val="16"/>
                <w:lang w:val="en-US"/>
              </w:rPr>
              <w:t>±</w:t>
            </w:r>
            <w:r>
              <w:rPr>
                <w:rFonts w:hint="eastAsia" w:ascii="宋体_GB2312" w:hAnsi="宋体_GB2312" w:eastAsia="宋体_GB2312" w:cs="Arial"/>
                <w:sz w:val="16"/>
                <w:lang w:val="en-US"/>
              </w:rPr>
              <w:t>180°，负荷1.5kg，扭转速率10次/min，载重点距插头22～28cm，25次后</w:t>
            </w:r>
          </w:p>
        </w:tc>
        <w:tc>
          <w:tcPr>
            <w:tcW w:w="335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102"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2246" w:type="dxa"/>
            <w:vMerge w:val="continue"/>
            <w:tcBorders>
              <w:left w:val="single" w:color="auto" w:sz="4" w:space="0"/>
              <w:bottom w:val="single" w:color="auto" w:sz="4" w:space="0"/>
              <w:right w:val="single" w:color="auto" w:sz="4" w:space="0"/>
            </w:tcBorders>
            <w:shd w:val="clear" w:color="auto" w:fill="auto"/>
            <w:vAlign w:val="center"/>
          </w:tcPr>
          <w:p>
            <w:pPr>
              <w:ind w:firstLine="320"/>
              <w:jc w:val="left"/>
              <w:rPr>
                <w:rFonts w:ascii="宋体_GB2312" w:hAnsi="宋体_GB2312" w:eastAsia="宋体_GB2312" w:cs="Arial"/>
                <w:sz w:val="16"/>
                <w:lang w:val="en-US"/>
              </w:rPr>
            </w:pPr>
          </w:p>
        </w:tc>
        <w:tc>
          <w:tcPr>
            <w:tcW w:w="2188"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35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bl>
    <w:p>
      <w:pPr>
        <w:ind w:firstLine="181" w:firstLineChars="0"/>
        <w:rPr>
          <w:rFonts w:ascii="宋体_GB2312" w:hAnsi="宋体_GB2312" w:eastAsia="宋体_GB2312"/>
          <w:szCs w:val="24"/>
        </w:rPr>
      </w:pPr>
    </w:p>
    <w:p>
      <w:pPr>
        <w:ind w:firstLine="422"/>
        <w:jc w:val="center"/>
        <w:rPr>
          <w:rFonts w:ascii="宋体_GB2312" w:hAnsi="宋体_GB2312" w:eastAsia="宋体_GB2312"/>
          <w:szCs w:val="24"/>
          <w:lang w:val="en-US"/>
        </w:rPr>
      </w:pPr>
      <w:r>
        <w:rPr>
          <w:rFonts w:hint="eastAsia" w:ascii="宋体_GB2312" w:hAnsi="宋体_GB2312" w:eastAsia="宋体_GB2312"/>
          <w:b/>
          <w:sz w:val="21"/>
        </w:rPr>
        <w:t>表4</w:t>
      </w:r>
      <w:r>
        <w:rPr>
          <w:rFonts w:ascii="宋体_GB2312" w:hAnsi="宋体_GB2312" w:eastAsia="宋体_GB2312"/>
          <w:b/>
          <w:sz w:val="21"/>
        </w:rPr>
        <w:t xml:space="preserve"> </w:t>
      </w:r>
      <w:r>
        <w:rPr>
          <w:rFonts w:hint="eastAsia" w:ascii="宋体_GB2312" w:hAnsi="宋体_GB2312" w:eastAsia="宋体_GB2312"/>
          <w:b/>
          <w:sz w:val="21"/>
        </w:rPr>
        <w:t>环境性能要求表</w:t>
      </w:r>
      <w:r>
        <w:rPr>
          <w:rFonts w:hint="eastAsia" w:ascii="宋体_GB2312" w:hAnsi="宋体_GB2312" w:eastAsia="宋体_GB2312"/>
        </w:rPr>
        <w:t xml:space="preserve"> </w:t>
      </w:r>
    </w:p>
    <w:tbl>
      <w:tblPr>
        <w:tblStyle w:val="35"/>
        <w:tblW w:w="8338" w:type="dxa"/>
        <w:tblInd w:w="94" w:type="dxa"/>
        <w:tblLayout w:type="fixed"/>
        <w:tblCellMar>
          <w:top w:w="0" w:type="dxa"/>
          <w:left w:w="108" w:type="dxa"/>
          <w:bottom w:w="0" w:type="dxa"/>
          <w:right w:w="108" w:type="dxa"/>
        </w:tblCellMar>
      </w:tblPr>
      <w:tblGrid>
        <w:gridCol w:w="716"/>
        <w:gridCol w:w="1850"/>
        <w:gridCol w:w="1831"/>
        <w:gridCol w:w="3941"/>
      </w:tblGrid>
      <w:tr>
        <w:tblPrEx>
          <w:tblCellMar>
            <w:top w:w="0" w:type="dxa"/>
            <w:left w:w="108" w:type="dxa"/>
            <w:bottom w:w="0" w:type="dxa"/>
            <w:right w:w="108" w:type="dxa"/>
          </w:tblCellMar>
        </w:tblPrEx>
        <w:trPr>
          <w:trHeight w:val="312" w:hRule="atLeast"/>
        </w:trPr>
        <w:tc>
          <w:tcPr>
            <w:tcW w:w="71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spacing w:before="156"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序号</w:t>
            </w:r>
          </w:p>
        </w:tc>
        <w:tc>
          <w:tcPr>
            <w:tcW w:w="1850" w:type="dxa"/>
            <w:tcBorders>
              <w:top w:val="single" w:color="auto" w:sz="4" w:space="0"/>
              <w:left w:val="single" w:color="auto" w:sz="4" w:space="0"/>
              <w:bottom w:val="single" w:color="auto" w:sz="4" w:space="0"/>
              <w:right w:val="single" w:color="auto" w:sz="4" w:space="0"/>
            </w:tcBorders>
            <w:shd w:val="clear" w:color="auto" w:fill="auto"/>
            <w:vAlign w:val="center"/>
          </w:tcPr>
          <w:p>
            <w:pPr>
              <w:ind w:firstLine="0" w:firstLineChars="0"/>
              <w:jc w:val="center"/>
              <w:rPr>
                <w:rFonts w:ascii="宋体_GB2312" w:hAnsi="宋体_GB2312" w:eastAsia="宋体_GB2312" w:cs="Arial"/>
                <w:sz w:val="16"/>
                <w:lang w:val="en-US"/>
              </w:rPr>
            </w:pPr>
            <w:r>
              <w:rPr>
                <w:rFonts w:hint="eastAsia" w:ascii="宋体_GB2312" w:hAnsi="宋体_GB2312" w:eastAsia="宋体_GB2312" w:cs="Arial"/>
                <w:sz w:val="16"/>
                <w:lang w:val="en-US"/>
              </w:rPr>
              <w:t>试验项目</w:t>
            </w:r>
          </w:p>
        </w:tc>
        <w:tc>
          <w:tcPr>
            <w:tcW w:w="57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ind w:firstLine="320"/>
              <w:jc w:val="center"/>
              <w:rPr>
                <w:rFonts w:ascii="宋体_GB2312" w:hAnsi="宋体_GB2312" w:eastAsia="宋体_GB2312" w:cs="Arial"/>
                <w:sz w:val="16"/>
                <w:lang w:val="en-US"/>
              </w:rPr>
            </w:pPr>
            <w:r>
              <w:rPr>
                <w:rFonts w:hint="eastAsia" w:ascii="宋体_GB2312" w:hAnsi="宋体_GB2312" w:eastAsia="宋体_GB2312" w:cs="宋体"/>
                <w:sz w:val="16"/>
                <w:lang w:val="en-US"/>
              </w:rPr>
              <w:t>试验条件与标准要求</w:t>
            </w:r>
          </w:p>
        </w:tc>
      </w:tr>
      <w:tr>
        <w:tblPrEx>
          <w:tblCellMar>
            <w:top w:w="0" w:type="dxa"/>
            <w:left w:w="108" w:type="dxa"/>
            <w:bottom w:w="0" w:type="dxa"/>
            <w:right w:w="108" w:type="dxa"/>
          </w:tblCellMar>
        </w:tblPrEx>
        <w:trPr>
          <w:trHeight w:val="858"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1</w:t>
            </w:r>
          </w:p>
        </w:tc>
        <w:tc>
          <w:tcPr>
            <w:tcW w:w="1850"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高温试验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标准的7.2.2条）</w:t>
            </w:r>
          </w:p>
        </w:tc>
        <w:tc>
          <w:tcPr>
            <w:tcW w:w="1831"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ascii="宋体_GB2312" w:hAnsi="宋体_GB2312" w:eastAsia="宋体_GB2312" w:cs="Arial"/>
                <w:sz w:val="16"/>
                <w:lang w:val="en-US"/>
              </w:rPr>
              <w:t>+85</w:t>
            </w:r>
            <w:r>
              <w:rPr>
                <w:rFonts w:hint="eastAsia" w:ascii="宋体_GB2312" w:hAnsi="宋体_GB2312" w:eastAsia="宋体_GB2312" w:cs="Arial"/>
                <w:sz w:val="16"/>
                <w:lang w:val="en-US"/>
              </w:rPr>
              <w:t>℃</w:t>
            </w:r>
            <w:r>
              <w:rPr>
                <w:rFonts w:ascii="宋体_GB2312" w:hAnsi="宋体_GB2312" w:eastAsia="宋体_GB2312" w:cs="Arial"/>
                <w:sz w:val="16"/>
                <w:lang w:val="en-US"/>
              </w:rPr>
              <w:t>,2h</w:t>
            </w:r>
            <w:r>
              <w:rPr>
                <w:rFonts w:hint="eastAsia" w:ascii="宋体_GB2312" w:hAnsi="宋体_GB2312" w:eastAsia="宋体_GB2312" w:cs="Arial"/>
                <w:sz w:val="16"/>
                <w:lang w:val="en-US"/>
              </w:rPr>
              <w:t>，温度变化率不大于</w:t>
            </w:r>
            <w:r>
              <w:rPr>
                <w:rFonts w:ascii="宋体_GB2312" w:hAnsi="宋体_GB2312" w:eastAsia="宋体_GB2312" w:cs="Arial"/>
                <w:sz w:val="16"/>
                <w:lang w:val="en-US"/>
              </w:rPr>
              <w:t>1</w:t>
            </w:r>
            <w:r>
              <w:rPr>
                <w:rFonts w:hint="eastAsia" w:ascii="宋体_GB2312" w:hAnsi="宋体_GB2312" w:eastAsia="宋体_GB2312" w:cs="Arial"/>
                <w:sz w:val="16"/>
                <w:lang w:val="en-US"/>
              </w:rPr>
              <w:t>℃</w:t>
            </w:r>
            <w:r>
              <w:rPr>
                <w:rFonts w:ascii="宋体_GB2312" w:hAnsi="宋体_GB2312" w:eastAsia="宋体_GB2312" w:cs="Arial"/>
                <w:sz w:val="16"/>
                <w:lang w:val="en-US"/>
              </w:rPr>
              <w:t>/min</w:t>
            </w:r>
            <w:r>
              <w:rPr>
                <w:rFonts w:hint="eastAsia" w:ascii="宋体_GB2312" w:hAnsi="宋体_GB2312" w:eastAsia="宋体_GB2312" w:cs="Arial"/>
                <w:sz w:val="16"/>
                <w:lang w:val="en-US"/>
              </w:rPr>
              <w:t>，恢复室温</w:t>
            </w:r>
            <w:r>
              <w:rPr>
                <w:rFonts w:ascii="宋体_GB2312" w:hAnsi="宋体_GB2312" w:eastAsia="宋体_GB2312" w:cs="Arial"/>
                <w:sz w:val="16"/>
                <w:lang w:val="en-US"/>
              </w:rPr>
              <w:t>1h</w:t>
            </w:r>
            <w:r>
              <w:rPr>
                <w:rFonts w:hint="eastAsia" w:ascii="宋体_GB2312" w:hAnsi="宋体_GB2312" w:eastAsia="宋体_GB2312" w:cs="Arial"/>
                <w:sz w:val="16"/>
                <w:lang w:val="en-US"/>
              </w:rPr>
              <w:t>后插损变化值。</w:t>
            </w:r>
          </w:p>
        </w:tc>
        <w:tc>
          <w:tcPr>
            <w:tcW w:w="394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400"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1850"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1831"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94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w:t>
            </w:r>
            <w:r>
              <w:rPr>
                <w:rFonts w:ascii="宋体_GB2312" w:hAnsi="宋体_GB2312" w:eastAsia="宋体_GB2312" w:cs="宋体"/>
                <w:sz w:val="16"/>
                <w:lang w:val="en-US"/>
              </w:rPr>
              <w:t>0.5</w:t>
            </w:r>
            <w:r>
              <w:rPr>
                <w:rFonts w:hint="eastAsia" w:ascii="宋体_GB2312" w:hAnsi="宋体_GB2312" w:eastAsia="宋体_GB2312" w:cs="宋体"/>
                <w:sz w:val="16"/>
                <w:lang w:val="en-US"/>
              </w:rPr>
              <w:t>dB；</w:t>
            </w:r>
          </w:p>
          <w:p>
            <w:pPr>
              <w:spacing w:line="240" w:lineRule="auto"/>
              <w:ind w:firstLine="0" w:firstLineChars="0"/>
              <w:jc w:val="left"/>
              <w:rPr>
                <w:rFonts w:ascii="宋体_GB2312" w:hAnsi="宋体_GB2312" w:eastAsia="宋体_GB2312" w:cs="宋体"/>
                <w:sz w:val="16"/>
                <w:lang w:val="en-US"/>
              </w:rPr>
            </w:pPr>
            <w:r>
              <w:rPr>
                <w:rFonts w:ascii="宋体_GB2312" w:hAnsi="宋体_GB2312" w:eastAsia="宋体_GB2312" w:cs="宋体"/>
                <w:sz w:val="16"/>
                <w:lang w:val="en-US"/>
              </w:rPr>
              <w:t>在线监视测试，试验前后及在线过程中的插损变化量</w:t>
            </w:r>
            <w:r>
              <w:rPr>
                <w:rFonts w:hint="eastAsia" w:ascii="宋体_GB2312" w:hAnsi="宋体_GB2312" w:eastAsia="宋体_GB2312" w:cs="宋体"/>
                <w:sz w:val="16"/>
                <w:lang w:val="en-US"/>
              </w:rPr>
              <w:t>≤</w:t>
            </w:r>
            <w:r>
              <w:rPr>
                <w:rFonts w:ascii="宋体_GB2312" w:hAnsi="宋体_GB2312" w:eastAsia="宋体_GB2312" w:cs="宋体"/>
                <w:sz w:val="16"/>
                <w:lang w:val="en-US"/>
              </w:rPr>
              <w:t>0.5</w:t>
            </w:r>
            <w:r>
              <w:rPr>
                <w:rFonts w:hint="eastAsia" w:ascii="宋体_GB2312" w:hAnsi="宋体_GB2312" w:eastAsia="宋体_GB2312" w:cs="宋体"/>
                <w:sz w:val="16"/>
                <w:lang w:val="en-US"/>
              </w:rPr>
              <w:t>dB</w:t>
            </w:r>
          </w:p>
        </w:tc>
      </w:tr>
      <w:tr>
        <w:tblPrEx>
          <w:tblCellMar>
            <w:top w:w="0" w:type="dxa"/>
            <w:left w:w="108" w:type="dxa"/>
            <w:bottom w:w="0" w:type="dxa"/>
            <w:right w:w="108" w:type="dxa"/>
          </w:tblCellMar>
        </w:tblPrEx>
        <w:trPr>
          <w:trHeight w:val="841"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2</w:t>
            </w:r>
          </w:p>
        </w:tc>
        <w:tc>
          <w:tcPr>
            <w:tcW w:w="1850"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低温试验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标准的7.2.1条）</w:t>
            </w:r>
          </w:p>
        </w:tc>
        <w:tc>
          <w:tcPr>
            <w:tcW w:w="1831"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w:t>
            </w:r>
            <w:r>
              <w:rPr>
                <w:rFonts w:ascii="宋体_GB2312" w:hAnsi="宋体_GB2312" w:eastAsia="宋体_GB2312" w:cs="Arial"/>
                <w:sz w:val="16"/>
                <w:lang w:val="en-US"/>
              </w:rPr>
              <w:t>40</w:t>
            </w:r>
            <w:r>
              <w:rPr>
                <w:rFonts w:hint="eastAsia" w:ascii="宋体_GB2312" w:hAnsi="宋体_GB2312" w:eastAsia="宋体_GB2312" w:cs="Arial"/>
                <w:sz w:val="16"/>
                <w:lang w:val="en-US"/>
              </w:rPr>
              <w:t>℃</w:t>
            </w:r>
            <w:r>
              <w:rPr>
                <w:rFonts w:ascii="宋体_GB2312" w:hAnsi="宋体_GB2312" w:eastAsia="宋体_GB2312" w:cs="Arial"/>
                <w:sz w:val="16"/>
                <w:lang w:val="en-US"/>
              </w:rPr>
              <w:t>,2h</w:t>
            </w:r>
            <w:r>
              <w:rPr>
                <w:rFonts w:hint="eastAsia" w:ascii="宋体_GB2312" w:hAnsi="宋体_GB2312" w:eastAsia="宋体_GB2312" w:cs="Arial"/>
                <w:sz w:val="16"/>
                <w:lang w:val="en-US"/>
              </w:rPr>
              <w:t>，温度变化率不大于</w:t>
            </w:r>
            <w:r>
              <w:rPr>
                <w:rFonts w:ascii="宋体_GB2312" w:hAnsi="宋体_GB2312" w:eastAsia="宋体_GB2312" w:cs="Arial"/>
                <w:sz w:val="16"/>
                <w:lang w:val="en-US"/>
              </w:rPr>
              <w:t>1</w:t>
            </w:r>
            <w:r>
              <w:rPr>
                <w:rFonts w:hint="eastAsia" w:ascii="宋体_GB2312" w:hAnsi="宋体_GB2312" w:eastAsia="宋体_GB2312" w:cs="Arial"/>
                <w:sz w:val="16"/>
                <w:lang w:val="en-US"/>
              </w:rPr>
              <w:t>℃</w:t>
            </w:r>
            <w:r>
              <w:rPr>
                <w:rFonts w:ascii="宋体_GB2312" w:hAnsi="宋体_GB2312" w:eastAsia="宋体_GB2312" w:cs="Arial"/>
                <w:sz w:val="16"/>
                <w:lang w:val="en-US"/>
              </w:rPr>
              <w:t>/min</w:t>
            </w:r>
            <w:r>
              <w:rPr>
                <w:rFonts w:hint="eastAsia" w:ascii="宋体_GB2312" w:hAnsi="宋体_GB2312" w:eastAsia="宋体_GB2312" w:cs="Arial"/>
                <w:sz w:val="16"/>
                <w:lang w:val="en-US"/>
              </w:rPr>
              <w:t>，恢复室温</w:t>
            </w:r>
            <w:r>
              <w:rPr>
                <w:rFonts w:ascii="宋体_GB2312" w:hAnsi="宋体_GB2312" w:eastAsia="宋体_GB2312" w:cs="Arial"/>
                <w:sz w:val="16"/>
                <w:lang w:val="en-US"/>
              </w:rPr>
              <w:t>1h</w:t>
            </w:r>
            <w:r>
              <w:rPr>
                <w:rFonts w:hint="eastAsia" w:ascii="宋体_GB2312" w:hAnsi="宋体_GB2312" w:eastAsia="宋体_GB2312" w:cs="Arial"/>
                <w:sz w:val="16"/>
                <w:lang w:val="en-US"/>
              </w:rPr>
              <w:t>后插损变化值</w:t>
            </w:r>
          </w:p>
        </w:tc>
        <w:tc>
          <w:tcPr>
            <w:tcW w:w="394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373"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1850"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1831" w:type="dxa"/>
            <w:vMerge w:val="continue"/>
            <w:tcBorders>
              <w:left w:val="single" w:color="auto" w:sz="4" w:space="0"/>
              <w:bottom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394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w:t>
            </w:r>
            <w:r>
              <w:rPr>
                <w:rFonts w:ascii="宋体_GB2312" w:hAnsi="宋体_GB2312" w:eastAsia="宋体_GB2312" w:cs="宋体"/>
                <w:sz w:val="16"/>
                <w:lang w:val="en-US"/>
              </w:rPr>
              <w:t>0.5</w:t>
            </w:r>
            <w:r>
              <w:rPr>
                <w:rFonts w:hint="eastAsia" w:ascii="宋体_GB2312" w:hAnsi="宋体_GB2312" w:eastAsia="宋体_GB2312" w:cs="宋体"/>
                <w:sz w:val="16"/>
                <w:lang w:val="en-US"/>
              </w:rPr>
              <w:t>dB；</w:t>
            </w:r>
          </w:p>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ascii="宋体_GB2312" w:hAnsi="宋体_GB2312" w:eastAsia="宋体_GB2312" w:cs="宋体"/>
                <w:sz w:val="16"/>
                <w:lang w:val="en-US"/>
              </w:rPr>
              <w:t>在线监视测试，试验前后及在线过程中的插损变化量</w:t>
            </w:r>
            <w:r>
              <w:rPr>
                <w:rFonts w:hint="eastAsia" w:ascii="宋体_GB2312" w:hAnsi="宋体_GB2312" w:eastAsia="宋体_GB2312" w:cs="宋体"/>
                <w:sz w:val="16"/>
                <w:lang w:val="en-US"/>
              </w:rPr>
              <w:t>≤</w:t>
            </w:r>
            <w:r>
              <w:rPr>
                <w:rFonts w:ascii="宋体_GB2312" w:hAnsi="宋体_GB2312" w:eastAsia="宋体_GB2312" w:cs="宋体"/>
                <w:sz w:val="16"/>
                <w:lang w:val="en-US"/>
              </w:rPr>
              <w:t>0.5</w:t>
            </w:r>
            <w:r>
              <w:rPr>
                <w:rFonts w:hint="eastAsia" w:ascii="宋体_GB2312" w:hAnsi="宋体_GB2312" w:eastAsia="宋体_GB2312" w:cs="宋体"/>
                <w:sz w:val="16"/>
                <w:lang w:val="en-US"/>
              </w:rPr>
              <w:t>dB</w:t>
            </w:r>
          </w:p>
        </w:tc>
      </w:tr>
      <w:tr>
        <w:tblPrEx>
          <w:tblCellMar>
            <w:top w:w="0" w:type="dxa"/>
            <w:left w:w="108" w:type="dxa"/>
            <w:bottom w:w="0" w:type="dxa"/>
            <w:right w:w="108" w:type="dxa"/>
          </w:tblCellMar>
        </w:tblPrEx>
        <w:trPr>
          <w:trHeight w:val="855"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3</w:t>
            </w:r>
          </w:p>
        </w:tc>
        <w:tc>
          <w:tcPr>
            <w:tcW w:w="1850"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湿热试验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标准的7.2.4条）</w:t>
            </w:r>
          </w:p>
        </w:tc>
        <w:tc>
          <w:tcPr>
            <w:tcW w:w="1831"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ascii="宋体_GB2312" w:hAnsi="宋体_GB2312" w:eastAsia="宋体_GB2312" w:cs="Arial"/>
                <w:sz w:val="16"/>
                <w:lang w:val="en-US"/>
              </w:rPr>
              <w:t>+40</w:t>
            </w:r>
            <w:r>
              <w:rPr>
                <w:rFonts w:hint="eastAsia" w:ascii="宋体_GB2312" w:hAnsi="宋体_GB2312" w:eastAsia="宋体_GB2312" w:cs="Arial"/>
                <w:sz w:val="16"/>
                <w:lang w:val="en-US"/>
              </w:rPr>
              <w:t>℃</w:t>
            </w:r>
            <w:r>
              <w:rPr>
                <w:rFonts w:ascii="宋体_GB2312" w:hAnsi="宋体_GB2312" w:eastAsia="宋体_GB2312" w:cs="Arial"/>
                <w:sz w:val="16"/>
                <w:lang w:val="en-US"/>
              </w:rPr>
              <w:t>,90%~95RH,4</w:t>
            </w:r>
            <w:r>
              <w:rPr>
                <w:rFonts w:hint="eastAsia" w:ascii="宋体_GB2312" w:hAnsi="宋体_GB2312" w:eastAsia="宋体_GB2312" w:cs="Arial"/>
                <w:sz w:val="16"/>
                <w:lang w:val="en-US"/>
              </w:rPr>
              <w:t>d，温度变化率不大于</w:t>
            </w:r>
            <w:r>
              <w:rPr>
                <w:rFonts w:ascii="宋体_GB2312" w:hAnsi="宋体_GB2312" w:eastAsia="宋体_GB2312" w:cs="Arial"/>
                <w:sz w:val="16"/>
                <w:lang w:val="en-US"/>
              </w:rPr>
              <w:t>1</w:t>
            </w:r>
            <w:r>
              <w:rPr>
                <w:rFonts w:hint="eastAsia" w:ascii="宋体_GB2312" w:hAnsi="宋体_GB2312" w:eastAsia="宋体_GB2312" w:cs="Arial"/>
                <w:sz w:val="16"/>
                <w:lang w:val="en-US"/>
              </w:rPr>
              <w:t>℃</w:t>
            </w:r>
            <w:r>
              <w:rPr>
                <w:rFonts w:ascii="宋体_GB2312" w:hAnsi="宋体_GB2312" w:eastAsia="宋体_GB2312" w:cs="Arial"/>
                <w:sz w:val="16"/>
                <w:lang w:val="en-US"/>
              </w:rPr>
              <w:t>/min</w:t>
            </w:r>
            <w:r>
              <w:rPr>
                <w:rFonts w:hint="eastAsia" w:ascii="宋体_GB2312" w:hAnsi="宋体_GB2312" w:eastAsia="宋体_GB2312" w:cs="Arial"/>
                <w:sz w:val="16"/>
                <w:lang w:val="en-US"/>
              </w:rPr>
              <w:t>，恢复室温</w:t>
            </w:r>
            <w:r>
              <w:rPr>
                <w:rFonts w:ascii="宋体_GB2312" w:hAnsi="宋体_GB2312" w:eastAsia="宋体_GB2312" w:cs="Arial"/>
                <w:sz w:val="16"/>
                <w:lang w:val="en-US"/>
              </w:rPr>
              <w:t>2h</w:t>
            </w:r>
            <w:r>
              <w:rPr>
                <w:rFonts w:hint="eastAsia" w:ascii="宋体_GB2312" w:hAnsi="宋体_GB2312" w:eastAsia="宋体_GB2312" w:cs="Arial"/>
                <w:sz w:val="16"/>
                <w:lang w:val="en-US"/>
              </w:rPr>
              <w:t>后插损变化值</w:t>
            </w:r>
          </w:p>
        </w:tc>
        <w:tc>
          <w:tcPr>
            <w:tcW w:w="394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233"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1850" w:type="dxa"/>
            <w:vMerge w:val="continue"/>
            <w:tcBorders>
              <w:left w:val="single" w:color="auto" w:sz="4" w:space="0"/>
              <w:bottom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p>
        </w:tc>
        <w:tc>
          <w:tcPr>
            <w:tcW w:w="1831"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941" w:type="dxa"/>
            <w:tcBorders>
              <w:top w:val="single" w:color="auto" w:sz="4" w:space="0"/>
              <w:left w:val="nil"/>
              <w:bottom w:val="single" w:color="auto" w:sz="4" w:space="0"/>
              <w:right w:val="single" w:color="auto" w:sz="4" w:space="0"/>
            </w:tcBorders>
            <w:shd w:val="clear" w:color="auto" w:fill="auto"/>
            <w:vAlign w:val="center"/>
          </w:tcPr>
          <w:p>
            <w:pPr>
              <w:spacing w:line="240" w:lineRule="auto"/>
              <w:ind w:firstLine="0" w:firstLineChars="0"/>
              <w:jc w:val="left"/>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r>
        <w:tblPrEx>
          <w:tblCellMar>
            <w:top w:w="0" w:type="dxa"/>
            <w:left w:w="108" w:type="dxa"/>
            <w:bottom w:w="0" w:type="dxa"/>
            <w:right w:w="108" w:type="dxa"/>
          </w:tblCellMar>
        </w:tblPrEx>
        <w:trPr>
          <w:trHeight w:val="844"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4</w:t>
            </w:r>
          </w:p>
        </w:tc>
        <w:tc>
          <w:tcPr>
            <w:tcW w:w="1850"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高低温循环试验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标准的7.2.3条）</w:t>
            </w:r>
          </w:p>
        </w:tc>
        <w:tc>
          <w:tcPr>
            <w:tcW w:w="1831"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w:t>
            </w:r>
            <w:r>
              <w:rPr>
                <w:rFonts w:ascii="宋体_GB2312" w:hAnsi="宋体_GB2312" w:eastAsia="宋体_GB2312" w:cs="Arial"/>
                <w:sz w:val="16"/>
                <w:lang w:val="en-US"/>
              </w:rPr>
              <w:t>40</w:t>
            </w:r>
            <w:r>
              <w:rPr>
                <w:rFonts w:hint="eastAsia" w:ascii="宋体_GB2312" w:hAnsi="宋体_GB2312" w:eastAsia="宋体_GB2312" w:cs="Arial"/>
                <w:sz w:val="16"/>
                <w:lang w:val="en-US"/>
              </w:rPr>
              <w:t>℃～＋</w:t>
            </w:r>
            <w:r>
              <w:rPr>
                <w:rFonts w:ascii="宋体_GB2312" w:hAnsi="宋体_GB2312" w:eastAsia="宋体_GB2312" w:cs="Arial"/>
                <w:sz w:val="16"/>
                <w:lang w:val="en-US"/>
              </w:rPr>
              <w:t>70</w:t>
            </w:r>
            <w:r>
              <w:rPr>
                <w:rFonts w:hint="eastAsia" w:ascii="宋体_GB2312" w:hAnsi="宋体_GB2312" w:eastAsia="宋体_GB2312" w:cs="Arial"/>
                <w:sz w:val="16"/>
                <w:lang w:val="en-US"/>
              </w:rPr>
              <w:t>℃</w:t>
            </w:r>
            <w:r>
              <w:rPr>
                <w:rFonts w:ascii="宋体_GB2312" w:hAnsi="宋体_GB2312" w:eastAsia="宋体_GB2312" w:cs="Arial"/>
                <w:sz w:val="16"/>
                <w:lang w:val="en-US"/>
              </w:rPr>
              <w:t>,</w:t>
            </w:r>
            <w:r>
              <w:rPr>
                <w:rFonts w:hint="eastAsia" w:ascii="宋体_GB2312" w:hAnsi="宋体_GB2312" w:eastAsia="宋体_GB2312" w:cs="Arial"/>
                <w:sz w:val="16"/>
                <w:lang w:val="en-US"/>
              </w:rPr>
              <w:t>各点恒温</w:t>
            </w:r>
            <w:r>
              <w:rPr>
                <w:rFonts w:ascii="宋体_GB2312" w:hAnsi="宋体_GB2312" w:eastAsia="宋体_GB2312" w:cs="Arial"/>
                <w:sz w:val="16"/>
                <w:lang w:val="en-US"/>
              </w:rPr>
              <w:t>1h</w:t>
            </w:r>
            <w:r>
              <w:rPr>
                <w:rFonts w:hint="eastAsia" w:ascii="宋体_GB2312" w:hAnsi="宋体_GB2312" w:eastAsia="宋体_GB2312" w:cs="Arial"/>
                <w:sz w:val="16"/>
                <w:lang w:val="en-US"/>
              </w:rPr>
              <w:t>，温度变化率不大于</w:t>
            </w:r>
            <w:r>
              <w:rPr>
                <w:rFonts w:ascii="宋体_GB2312" w:hAnsi="宋体_GB2312" w:eastAsia="宋体_GB2312" w:cs="Arial"/>
                <w:sz w:val="16"/>
                <w:lang w:val="en-US"/>
              </w:rPr>
              <w:t>1</w:t>
            </w:r>
            <w:r>
              <w:rPr>
                <w:rFonts w:hint="eastAsia" w:ascii="宋体_GB2312" w:hAnsi="宋体_GB2312" w:eastAsia="宋体_GB2312" w:cs="Arial"/>
                <w:sz w:val="16"/>
                <w:lang w:val="en-US"/>
              </w:rPr>
              <w:t>℃</w:t>
            </w:r>
            <w:r>
              <w:rPr>
                <w:rFonts w:ascii="宋体_GB2312" w:hAnsi="宋体_GB2312" w:eastAsia="宋体_GB2312" w:cs="Arial"/>
                <w:sz w:val="16"/>
                <w:lang w:val="en-US"/>
              </w:rPr>
              <w:t>/min</w:t>
            </w:r>
            <w:r>
              <w:rPr>
                <w:rFonts w:hint="eastAsia" w:ascii="宋体_GB2312" w:hAnsi="宋体_GB2312" w:eastAsia="宋体_GB2312" w:cs="Arial"/>
                <w:sz w:val="16"/>
                <w:lang w:val="en-US"/>
              </w:rPr>
              <w:t>，</w:t>
            </w:r>
            <w:r>
              <w:rPr>
                <w:rFonts w:ascii="宋体_GB2312" w:hAnsi="宋体_GB2312" w:eastAsia="宋体_GB2312" w:cs="Arial"/>
                <w:sz w:val="16"/>
                <w:lang w:val="en-US"/>
              </w:rPr>
              <w:t>12</w:t>
            </w:r>
            <w:r>
              <w:rPr>
                <w:rFonts w:hint="eastAsia" w:ascii="宋体_GB2312" w:hAnsi="宋体_GB2312" w:eastAsia="宋体_GB2312" w:cs="Arial"/>
                <w:sz w:val="16"/>
                <w:lang w:val="en-US"/>
              </w:rPr>
              <w:t>个循环，恢复室温</w:t>
            </w:r>
            <w:r>
              <w:rPr>
                <w:rFonts w:ascii="宋体_GB2312" w:hAnsi="宋体_GB2312" w:eastAsia="宋体_GB2312" w:cs="Arial"/>
                <w:sz w:val="16"/>
                <w:lang w:val="en-US"/>
              </w:rPr>
              <w:t>2h</w:t>
            </w:r>
            <w:r>
              <w:rPr>
                <w:rFonts w:hint="eastAsia" w:ascii="宋体_GB2312" w:hAnsi="宋体_GB2312" w:eastAsia="宋体_GB2312" w:cs="Arial"/>
                <w:sz w:val="16"/>
                <w:lang w:val="en-US"/>
              </w:rPr>
              <w:t>后插损变化值</w:t>
            </w:r>
          </w:p>
        </w:tc>
        <w:tc>
          <w:tcPr>
            <w:tcW w:w="394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142"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1850" w:type="dxa"/>
            <w:vMerge w:val="continue"/>
            <w:tcBorders>
              <w:left w:val="single" w:color="auto" w:sz="4" w:space="0"/>
              <w:bottom w:val="single" w:color="auto" w:sz="4" w:space="0"/>
              <w:right w:val="single" w:color="auto" w:sz="4" w:space="0"/>
            </w:tcBorders>
            <w:shd w:val="clear" w:color="auto" w:fill="auto"/>
            <w:vAlign w:val="center"/>
          </w:tcPr>
          <w:p>
            <w:pPr>
              <w:ind w:firstLine="320"/>
              <w:jc w:val="left"/>
              <w:rPr>
                <w:rFonts w:ascii="宋体_GB2312" w:hAnsi="宋体_GB2312" w:eastAsia="宋体_GB2312" w:cs="Arial"/>
                <w:sz w:val="16"/>
                <w:lang w:val="en-US"/>
              </w:rPr>
            </w:pPr>
          </w:p>
        </w:tc>
        <w:tc>
          <w:tcPr>
            <w:tcW w:w="1831"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94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Arial"/>
                <w:b/>
                <w:color w:val="FF0000"/>
                <w:lang w:val="en-US"/>
              </w:rPr>
              <w:t>★</w:t>
            </w:r>
            <w:r>
              <w:rPr>
                <w:rFonts w:hint="eastAsia" w:ascii="宋体_GB2312" w:hAnsi="宋体_GB2312" w:eastAsia="宋体_GB2312" w:cs="宋体"/>
                <w:sz w:val="16"/>
                <w:lang w:val="en-US"/>
              </w:rPr>
              <w:t>插入损耗变化量≤</w:t>
            </w:r>
            <w:r>
              <w:rPr>
                <w:rFonts w:ascii="宋体_GB2312" w:hAnsi="宋体_GB2312" w:eastAsia="宋体_GB2312" w:cs="宋体"/>
                <w:sz w:val="16"/>
                <w:lang w:val="en-US"/>
              </w:rPr>
              <w:t>0.5</w:t>
            </w:r>
            <w:r>
              <w:rPr>
                <w:rFonts w:hint="eastAsia" w:ascii="宋体_GB2312" w:hAnsi="宋体_GB2312" w:eastAsia="宋体_GB2312" w:cs="宋体"/>
                <w:sz w:val="16"/>
                <w:lang w:val="en-US"/>
              </w:rPr>
              <w:t>dB</w:t>
            </w:r>
          </w:p>
        </w:tc>
      </w:tr>
      <w:tr>
        <w:tblPrEx>
          <w:tblCellMar>
            <w:top w:w="0" w:type="dxa"/>
            <w:left w:w="108" w:type="dxa"/>
            <w:bottom w:w="0" w:type="dxa"/>
            <w:right w:w="108" w:type="dxa"/>
          </w:tblCellMar>
        </w:tblPrEx>
        <w:trPr>
          <w:trHeight w:val="844" w:hRule="atLeast"/>
        </w:trPr>
        <w:tc>
          <w:tcPr>
            <w:tcW w:w="716" w:type="dxa"/>
            <w:vMerge w:val="restart"/>
            <w:tcBorders>
              <w:top w:val="single" w:color="auto" w:sz="4" w:space="0"/>
              <w:left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r>
              <w:rPr>
                <w:rFonts w:hint="eastAsia" w:ascii="宋体_GB2312" w:hAnsi="宋体_GB2312" w:eastAsia="宋体_GB2312" w:cs="Arial"/>
                <w:sz w:val="16"/>
                <w:lang w:val="en-US"/>
              </w:rPr>
              <w:t>5</w:t>
            </w:r>
          </w:p>
        </w:tc>
        <w:tc>
          <w:tcPr>
            <w:tcW w:w="1850" w:type="dxa"/>
            <w:vMerge w:val="restart"/>
            <w:tcBorders>
              <w:top w:val="single" w:color="auto" w:sz="4" w:space="0"/>
              <w:left w:val="single" w:color="auto" w:sz="4" w:space="0"/>
              <w:right w:val="single" w:color="auto"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水浸泡试验</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（参考YD/T 1117-2001 标准的7.2.5条）</w:t>
            </w:r>
          </w:p>
        </w:tc>
        <w:tc>
          <w:tcPr>
            <w:tcW w:w="1831" w:type="dxa"/>
            <w:vMerge w:val="restart"/>
            <w:tcBorders>
              <w:top w:val="single" w:color="auto" w:sz="4" w:space="0"/>
              <w:left w:val="single" w:color="auto" w:sz="4" w:space="0"/>
              <w:right w:val="single" w:color="000000" w:sz="4" w:space="0"/>
            </w:tcBorders>
            <w:shd w:val="clear" w:color="auto" w:fill="auto"/>
            <w:vAlign w:val="center"/>
          </w:tcPr>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浸泡用水：PH=5.5</w:t>
            </w:r>
            <w:r>
              <w:rPr>
                <w:rFonts w:ascii="宋体_GB2312" w:hAnsi="宋体_GB2312" w:eastAsia="宋体_GB2312" w:cs="Arial"/>
                <w:sz w:val="16"/>
                <w:lang w:val="en-US"/>
              </w:rPr>
              <w:t>±</w:t>
            </w:r>
            <w:r>
              <w:rPr>
                <w:rFonts w:hint="eastAsia" w:ascii="宋体_GB2312" w:hAnsi="宋体_GB2312" w:eastAsia="宋体_GB2312" w:cs="Arial"/>
                <w:sz w:val="16"/>
                <w:lang w:val="en-US"/>
              </w:rPr>
              <w:t>0.5</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温度+（43</w:t>
            </w:r>
            <w:r>
              <w:rPr>
                <w:rFonts w:ascii="宋体_GB2312" w:hAnsi="宋体_GB2312" w:eastAsia="宋体_GB2312" w:cs="Arial"/>
                <w:sz w:val="16"/>
                <w:lang w:val="en-US"/>
              </w:rPr>
              <w:t>±</w:t>
            </w:r>
            <w:r>
              <w:rPr>
                <w:rFonts w:hint="eastAsia" w:ascii="宋体_GB2312" w:hAnsi="宋体_GB2312" w:eastAsia="宋体_GB2312" w:cs="Arial"/>
                <w:sz w:val="16"/>
                <w:lang w:val="en-US"/>
              </w:rPr>
              <w:t>2）℃</w:t>
            </w:r>
          </w:p>
          <w:p>
            <w:pPr>
              <w:ind w:firstLine="0" w:firstLineChars="0"/>
              <w:jc w:val="left"/>
              <w:rPr>
                <w:rFonts w:ascii="宋体_GB2312" w:hAnsi="宋体_GB2312" w:eastAsia="宋体_GB2312" w:cs="Arial"/>
                <w:sz w:val="16"/>
                <w:lang w:val="en-US"/>
              </w:rPr>
            </w:pPr>
            <w:r>
              <w:rPr>
                <w:rFonts w:hint="eastAsia" w:ascii="宋体_GB2312" w:hAnsi="宋体_GB2312" w:eastAsia="宋体_GB2312" w:cs="Arial"/>
                <w:sz w:val="16"/>
                <w:lang w:val="en-US"/>
              </w:rPr>
              <w:t>浸泡时间：7d</w:t>
            </w:r>
          </w:p>
        </w:tc>
        <w:tc>
          <w:tcPr>
            <w:tcW w:w="3941" w:type="dxa"/>
            <w:tcBorders>
              <w:top w:val="nil"/>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外观无机械损伤，如变形、裂痕、松弛等，不得出现光纤断裂、光缆拉出、光纤端点处的故障以及光缆密封损坏等</w:t>
            </w:r>
          </w:p>
        </w:tc>
      </w:tr>
      <w:tr>
        <w:tblPrEx>
          <w:tblCellMar>
            <w:top w:w="0" w:type="dxa"/>
            <w:left w:w="108" w:type="dxa"/>
            <w:bottom w:w="0" w:type="dxa"/>
            <w:right w:w="108" w:type="dxa"/>
          </w:tblCellMar>
        </w:tblPrEx>
        <w:trPr>
          <w:trHeight w:val="56" w:hRule="atLeast"/>
        </w:trPr>
        <w:tc>
          <w:tcPr>
            <w:tcW w:w="716" w:type="dxa"/>
            <w:vMerge w:val="continue"/>
            <w:tcBorders>
              <w:left w:val="single" w:color="auto" w:sz="4" w:space="0"/>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center"/>
              <w:textAlignment w:val="auto"/>
              <w:rPr>
                <w:rFonts w:ascii="宋体_GB2312" w:hAnsi="宋体_GB2312" w:eastAsia="宋体_GB2312" w:cs="Arial"/>
                <w:sz w:val="16"/>
                <w:lang w:val="en-US"/>
              </w:rPr>
            </w:pPr>
          </w:p>
        </w:tc>
        <w:tc>
          <w:tcPr>
            <w:tcW w:w="1850" w:type="dxa"/>
            <w:vMerge w:val="continue"/>
            <w:tcBorders>
              <w:left w:val="single" w:color="auto" w:sz="4" w:space="0"/>
              <w:bottom w:val="single" w:color="auto" w:sz="4" w:space="0"/>
              <w:right w:val="single" w:color="auto" w:sz="4" w:space="0"/>
            </w:tcBorders>
            <w:shd w:val="clear" w:color="auto" w:fill="auto"/>
            <w:vAlign w:val="center"/>
          </w:tcPr>
          <w:p>
            <w:pPr>
              <w:ind w:firstLine="320"/>
              <w:jc w:val="left"/>
              <w:rPr>
                <w:rFonts w:ascii="宋体_GB2312" w:hAnsi="宋体_GB2312" w:eastAsia="宋体_GB2312" w:cs="Arial"/>
                <w:sz w:val="16"/>
                <w:lang w:val="en-US"/>
              </w:rPr>
            </w:pPr>
          </w:p>
        </w:tc>
        <w:tc>
          <w:tcPr>
            <w:tcW w:w="1831" w:type="dxa"/>
            <w:vMerge w:val="continue"/>
            <w:tcBorders>
              <w:left w:val="single" w:color="auto" w:sz="4" w:space="0"/>
              <w:bottom w:val="single" w:color="auto" w:sz="4" w:space="0"/>
              <w:right w:val="single" w:color="000000" w:sz="4" w:space="0"/>
            </w:tcBorders>
            <w:shd w:val="clear" w:color="auto" w:fill="auto"/>
            <w:vAlign w:val="center"/>
          </w:tcPr>
          <w:p>
            <w:pPr>
              <w:ind w:firstLine="320"/>
              <w:jc w:val="left"/>
              <w:rPr>
                <w:rFonts w:ascii="宋体_GB2312" w:hAnsi="宋体_GB2312" w:eastAsia="宋体_GB2312" w:cs="Arial"/>
                <w:sz w:val="16"/>
                <w:lang w:val="en-US"/>
              </w:rPr>
            </w:pPr>
          </w:p>
        </w:tc>
        <w:tc>
          <w:tcPr>
            <w:tcW w:w="3941" w:type="dxa"/>
            <w:tcBorders>
              <w:top w:val="single" w:color="auto" w:sz="4" w:space="0"/>
              <w:left w:val="nil"/>
              <w:bottom w:val="single" w:color="auto" w:sz="4" w:space="0"/>
              <w:right w:val="single" w:color="auto" w:sz="4" w:space="0"/>
            </w:tcBorders>
            <w:shd w:val="clear" w:color="auto" w:fill="auto"/>
            <w:vAlign w:val="center"/>
          </w:tcPr>
          <w:p>
            <w:pPr>
              <w:widowControl/>
              <w:adjustRightInd/>
              <w:spacing w:before="0" w:beforeLines="0" w:line="240" w:lineRule="auto"/>
              <w:ind w:firstLine="0" w:firstLineChars="0"/>
              <w:jc w:val="left"/>
              <w:textAlignment w:val="auto"/>
              <w:rPr>
                <w:rFonts w:ascii="宋体_GB2312" w:hAnsi="宋体_GB2312" w:eastAsia="宋体_GB2312" w:cs="宋体"/>
                <w:sz w:val="16"/>
                <w:lang w:val="en-US"/>
              </w:rPr>
            </w:pPr>
            <w:r>
              <w:rPr>
                <w:rFonts w:hint="eastAsia" w:ascii="宋体_GB2312" w:hAnsi="宋体_GB2312" w:eastAsia="宋体_GB2312" w:cs="宋体"/>
                <w:sz w:val="16"/>
                <w:lang w:val="en-US"/>
              </w:rPr>
              <w:t>插入损耗变化量≤0.5dB</w:t>
            </w:r>
          </w:p>
        </w:tc>
      </w:tr>
    </w:tbl>
    <w:p>
      <w:pPr>
        <w:rPr>
          <w:rFonts w:ascii="宋体_GB2312" w:hAnsi="宋体_GB2312" w:eastAsia="宋体_GB2312"/>
          <w:szCs w:val="24"/>
        </w:rPr>
      </w:pPr>
    </w:p>
    <w:p>
      <w:pPr>
        <w:pStyle w:val="2"/>
        <w:spacing w:before="0" w:beforeLines="0" w:after="0" w:line="276" w:lineRule="auto"/>
        <w:jc w:val="both"/>
        <w:rPr>
          <w:rFonts w:ascii="宋体_GB2312" w:hAnsi="宋体_GB2312" w:eastAsia="宋体_GB2312"/>
          <w:sz w:val="24"/>
          <w:szCs w:val="24"/>
          <w:lang w:val="en-US"/>
        </w:rPr>
      </w:pPr>
      <w:bookmarkStart w:id="97" w:name="_Toc4997"/>
      <w:bookmarkStart w:id="98" w:name="_Toc17184326"/>
      <w:bookmarkStart w:id="99" w:name="_Toc532376593"/>
      <w:r>
        <w:rPr>
          <w:rFonts w:ascii="宋体_GB2312" w:hAnsi="宋体_GB2312" w:eastAsia="宋体_GB2312"/>
          <w:sz w:val="24"/>
          <w:szCs w:val="24"/>
          <w:lang w:val="en-US"/>
        </w:rPr>
        <w:t>4高功率传输性能要求</w:t>
      </w:r>
      <w:bookmarkEnd w:id="97"/>
      <w:bookmarkEnd w:id="98"/>
    </w:p>
    <w:p>
      <w:pPr>
        <w:rPr>
          <w:rFonts w:ascii="宋体_GB2312" w:hAnsi="宋体_GB2312" w:eastAsia="宋体_GB2312"/>
          <w:szCs w:val="24"/>
          <w:lang w:val="en-US"/>
        </w:rPr>
      </w:pPr>
      <w:r>
        <w:rPr>
          <w:rFonts w:hint="eastAsia" w:ascii="宋体_GB2312" w:hAnsi="宋体_GB2312" w:eastAsia="宋体_GB2312"/>
          <w:szCs w:val="24"/>
          <w:lang w:val="en-US"/>
        </w:rPr>
        <w:t>在</w:t>
      </w:r>
      <w:r>
        <w:rPr>
          <w:rFonts w:ascii="宋体_GB2312" w:hAnsi="宋体_GB2312" w:eastAsia="宋体_GB2312"/>
          <w:szCs w:val="24"/>
          <w:lang w:val="en-US"/>
        </w:rPr>
        <w:t>1550nm波长，以100mW 的光功率注入PLC光分路器1h，监测插入损耗变化情况，应确保最大插入损耗在本技术规范表1或表2规定的范围内，且试验前后插入损耗变化量≤0.5dB。</w:t>
      </w:r>
    </w:p>
    <w:p>
      <w:pPr>
        <w:pStyle w:val="2"/>
        <w:spacing w:before="0" w:beforeLines="0" w:after="0" w:line="276" w:lineRule="auto"/>
        <w:jc w:val="both"/>
        <w:rPr>
          <w:rFonts w:ascii="宋体_GB2312" w:hAnsi="宋体_GB2312" w:eastAsia="宋体_GB2312"/>
          <w:sz w:val="24"/>
          <w:szCs w:val="24"/>
          <w:lang w:val="en-US"/>
        </w:rPr>
      </w:pPr>
      <w:bookmarkStart w:id="100" w:name="_Toc17184327"/>
      <w:bookmarkStart w:id="101" w:name="_Toc16901"/>
      <w:r>
        <w:rPr>
          <w:rFonts w:ascii="宋体_GB2312" w:hAnsi="宋体_GB2312" w:eastAsia="宋体_GB2312"/>
          <w:sz w:val="24"/>
          <w:szCs w:val="24"/>
          <w:lang w:val="en-US"/>
        </w:rPr>
        <w:t>5环保符合性要求</w:t>
      </w:r>
      <w:bookmarkEnd w:id="100"/>
      <w:bookmarkEnd w:id="101"/>
    </w:p>
    <w:p>
      <w:pPr>
        <w:rPr>
          <w:rFonts w:ascii="宋体_GB2312" w:hAnsi="宋体_GB2312" w:eastAsia="宋体_GB2312"/>
        </w:rPr>
      </w:pPr>
      <w:r>
        <w:rPr>
          <w:rFonts w:ascii="宋体_GB2312" w:hAnsi="宋体_GB2312" w:eastAsia="宋体_GB2312"/>
        </w:rPr>
        <w:t>PLC光分路器的组成单元分类应符合SJ/T 11363</w:t>
      </w:r>
      <w:r>
        <w:rPr>
          <w:rFonts w:hint="eastAsia" w:ascii="宋体_GB2312" w:hAnsi="宋体_GB2312" w:eastAsia="宋体_GB2312"/>
        </w:rPr>
        <w:t>中表</w:t>
      </w:r>
      <w:r>
        <w:rPr>
          <w:rFonts w:ascii="宋体_GB2312" w:hAnsi="宋体_GB2312" w:eastAsia="宋体_GB2312"/>
        </w:rPr>
        <w:t>1的规定，有毒有害物质的限量要求按 SJ/T 11365</w:t>
      </w:r>
      <w:r>
        <w:rPr>
          <w:rFonts w:hint="eastAsia" w:ascii="宋体_GB2312" w:hAnsi="宋体_GB2312" w:eastAsia="宋体_GB2312"/>
        </w:rPr>
        <w:t>规定检测，应符合</w:t>
      </w:r>
      <w:r>
        <w:rPr>
          <w:rFonts w:ascii="宋体_GB2312" w:hAnsi="宋体_GB2312" w:eastAsia="宋体_GB2312"/>
        </w:rPr>
        <w:t>SJ/T 11363</w:t>
      </w:r>
      <w:r>
        <w:rPr>
          <w:rFonts w:hint="eastAsia" w:ascii="宋体_GB2312" w:hAnsi="宋体_GB2312" w:eastAsia="宋体_GB2312"/>
        </w:rPr>
        <w:t>中表</w:t>
      </w:r>
      <w:r>
        <w:rPr>
          <w:rFonts w:ascii="宋体_GB2312" w:hAnsi="宋体_GB2312" w:eastAsia="宋体_GB2312"/>
        </w:rPr>
        <w:t>2的要求。</w:t>
      </w:r>
    </w:p>
    <w:p>
      <w:pPr>
        <w:pStyle w:val="2"/>
        <w:spacing w:before="0" w:beforeLines="0" w:after="0" w:line="276" w:lineRule="auto"/>
        <w:jc w:val="both"/>
        <w:rPr>
          <w:rFonts w:ascii="宋体_GB2312" w:hAnsi="宋体_GB2312" w:eastAsia="宋体_GB2312"/>
          <w:sz w:val="24"/>
          <w:szCs w:val="24"/>
          <w:lang w:val="en-US"/>
        </w:rPr>
      </w:pPr>
      <w:bookmarkStart w:id="102" w:name="_Toc402248580"/>
      <w:bookmarkStart w:id="103" w:name="_Toc2976"/>
      <w:bookmarkStart w:id="104" w:name="_Toc17184328"/>
      <w:r>
        <w:rPr>
          <w:rFonts w:ascii="宋体_GB2312" w:hAnsi="宋体_GB2312" w:eastAsia="宋体_GB2312"/>
          <w:sz w:val="24"/>
          <w:szCs w:val="24"/>
          <w:lang w:val="en-US"/>
        </w:rPr>
        <w:t>6</w:t>
      </w:r>
      <w:r>
        <w:rPr>
          <w:rFonts w:hint="eastAsia" w:ascii="宋体_GB2312" w:hAnsi="宋体_GB2312" w:eastAsia="宋体_GB2312"/>
          <w:sz w:val="24"/>
          <w:szCs w:val="24"/>
          <w:lang w:val="en-US"/>
        </w:rPr>
        <w:t>测试方法</w:t>
      </w:r>
      <w:bookmarkEnd w:id="102"/>
      <w:bookmarkEnd w:id="103"/>
      <w:bookmarkEnd w:id="104"/>
    </w:p>
    <w:p>
      <w:pPr>
        <w:pStyle w:val="82"/>
        <w:keepNext/>
        <w:keepLines/>
        <w:numPr>
          <w:ilvl w:val="0"/>
          <w:numId w:val="4"/>
        </w:numPr>
        <w:adjustRightInd/>
        <w:spacing w:beforeLines="0" w:line="360" w:lineRule="auto"/>
        <w:ind w:firstLineChars="0"/>
        <w:contextualSpacing/>
        <w:textAlignment w:val="auto"/>
        <w:outlineLvl w:val="1"/>
        <w:rPr>
          <w:rFonts w:ascii="宋体_GB2312" w:hAnsi="宋体_GB2312" w:eastAsia="宋体_GB2312"/>
          <w:b/>
          <w:bCs/>
          <w:vanish/>
          <w:kern w:val="28"/>
          <w:sz w:val="21"/>
          <w:szCs w:val="21"/>
        </w:rPr>
      </w:pPr>
      <w:bookmarkStart w:id="105" w:name="_Toc532824833"/>
      <w:bookmarkEnd w:id="105"/>
      <w:bookmarkStart w:id="106" w:name="_Toc17119741"/>
      <w:bookmarkEnd w:id="106"/>
      <w:bookmarkStart w:id="107" w:name="_Toc30767"/>
      <w:bookmarkEnd w:id="107"/>
      <w:bookmarkStart w:id="108" w:name="_Toc17184329"/>
      <w:bookmarkEnd w:id="108"/>
      <w:bookmarkStart w:id="109" w:name="_Toc532816593"/>
      <w:bookmarkEnd w:id="109"/>
    </w:p>
    <w:p>
      <w:pPr>
        <w:pStyle w:val="82"/>
        <w:keepNext/>
        <w:keepLines/>
        <w:numPr>
          <w:ilvl w:val="0"/>
          <w:numId w:val="4"/>
        </w:numPr>
        <w:adjustRightInd/>
        <w:spacing w:beforeLines="0" w:line="360" w:lineRule="auto"/>
        <w:ind w:firstLineChars="0"/>
        <w:contextualSpacing/>
        <w:textAlignment w:val="auto"/>
        <w:outlineLvl w:val="1"/>
        <w:rPr>
          <w:rFonts w:ascii="宋体_GB2312" w:hAnsi="宋体_GB2312" w:eastAsia="宋体_GB2312"/>
          <w:b/>
          <w:bCs/>
          <w:vanish/>
          <w:kern w:val="28"/>
          <w:sz w:val="21"/>
          <w:szCs w:val="21"/>
        </w:rPr>
      </w:pPr>
      <w:bookmarkStart w:id="110" w:name="_Toc532816594"/>
      <w:bookmarkEnd w:id="110"/>
      <w:bookmarkStart w:id="111" w:name="_Toc17184330"/>
      <w:bookmarkEnd w:id="111"/>
      <w:bookmarkStart w:id="112" w:name="_Toc17119742"/>
      <w:bookmarkEnd w:id="112"/>
      <w:bookmarkStart w:id="113" w:name="_Toc15438"/>
      <w:bookmarkEnd w:id="113"/>
      <w:bookmarkStart w:id="114" w:name="_Toc532824834"/>
      <w:bookmarkEnd w:id="114"/>
    </w:p>
    <w:p>
      <w:pPr>
        <w:pStyle w:val="3"/>
        <w:keepNext/>
        <w:spacing w:before="260" w:beforeLines="0" w:after="260" w:line="416" w:lineRule="atLeast"/>
        <w:ind w:right="240"/>
        <w:jc w:val="both"/>
        <w:rPr>
          <w:rFonts w:ascii="宋体_GB2312" w:hAnsi="宋体_GB2312" w:eastAsia="宋体_GB2312"/>
          <w:kern w:val="0"/>
          <w:szCs w:val="32"/>
          <w:lang w:val="en-US"/>
        </w:rPr>
      </w:pPr>
      <w:bookmarkStart w:id="115" w:name="_Toc24760"/>
      <w:bookmarkStart w:id="116" w:name="_Toc17184331"/>
      <w:bookmarkStart w:id="117" w:name="_Toc402248581"/>
      <w:r>
        <w:rPr>
          <w:rFonts w:ascii="宋体_GB2312" w:hAnsi="宋体_GB2312" w:eastAsia="宋体_GB2312"/>
          <w:kern w:val="0"/>
          <w:szCs w:val="32"/>
          <w:lang w:val="en-US"/>
        </w:rPr>
        <w:t>6.1</w:t>
      </w:r>
      <w:r>
        <w:rPr>
          <w:rFonts w:hint="eastAsia" w:ascii="宋体_GB2312" w:hAnsi="宋体_GB2312" w:eastAsia="宋体_GB2312"/>
          <w:kern w:val="0"/>
          <w:szCs w:val="32"/>
          <w:lang w:val="en-US"/>
        </w:rPr>
        <w:t>外观检查</w:t>
      </w:r>
      <w:bookmarkEnd w:id="115"/>
      <w:bookmarkEnd w:id="116"/>
      <w:bookmarkEnd w:id="117"/>
    </w:p>
    <w:p>
      <w:pPr>
        <w:rPr>
          <w:rFonts w:ascii="宋体_GB2312" w:hAnsi="宋体_GB2312" w:eastAsia="宋体_GB2312"/>
          <w:szCs w:val="24"/>
          <w:lang w:val="en-US"/>
        </w:rPr>
      </w:pPr>
      <w:r>
        <w:rPr>
          <w:rFonts w:hint="eastAsia" w:ascii="宋体_GB2312" w:hAnsi="宋体_GB2312" w:eastAsia="宋体_GB2312"/>
          <w:szCs w:val="24"/>
          <w:lang w:val="en-US"/>
        </w:rPr>
        <w:t>进行光学性能测试前，首先对器件进行外观检查。其外观必须平滑、洁净、无油渍、无伤痕及裂纹，整个器件牢固，尾纤无松动，与连接器插拔平顺。</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18" w:name="_Toc13975"/>
      <w:bookmarkStart w:id="119" w:name="_Toc402248582"/>
      <w:bookmarkStart w:id="120" w:name="_Toc17184332"/>
      <w:r>
        <w:rPr>
          <w:rFonts w:ascii="宋体_GB2312" w:hAnsi="宋体_GB2312" w:eastAsia="宋体_GB2312"/>
          <w:kern w:val="0"/>
          <w:szCs w:val="32"/>
          <w:lang w:val="en-US"/>
        </w:rPr>
        <w:t>6.2</w:t>
      </w:r>
      <w:r>
        <w:rPr>
          <w:rFonts w:hint="eastAsia" w:ascii="宋体_GB2312" w:hAnsi="宋体_GB2312" w:eastAsia="宋体_GB2312"/>
          <w:kern w:val="0"/>
          <w:szCs w:val="32"/>
          <w:lang w:val="en-US"/>
        </w:rPr>
        <w:t>环境</w:t>
      </w:r>
      <w:bookmarkEnd w:id="118"/>
      <w:bookmarkEnd w:id="119"/>
      <w:bookmarkEnd w:id="120"/>
    </w:p>
    <w:p>
      <w:pPr>
        <w:rPr>
          <w:rFonts w:ascii="宋体_GB2312" w:hAnsi="宋体_GB2312" w:eastAsia="宋体_GB2312"/>
          <w:szCs w:val="24"/>
          <w:lang w:val="en-US"/>
        </w:rPr>
      </w:pPr>
      <w:r>
        <w:rPr>
          <w:rFonts w:ascii="宋体_GB2312" w:hAnsi="宋体_GB2312" w:eastAsia="宋体_GB2312"/>
          <w:szCs w:val="24"/>
          <w:lang w:val="en-US"/>
        </w:rPr>
        <w:t xml:space="preserve">PLC </w:t>
      </w:r>
      <w:r>
        <w:rPr>
          <w:rFonts w:hint="eastAsia" w:ascii="宋体_GB2312" w:hAnsi="宋体_GB2312" w:eastAsia="宋体_GB2312"/>
          <w:szCs w:val="24"/>
          <w:lang w:val="en-US"/>
        </w:rPr>
        <w:t>分路器的性能参数测试应在下面规定的大气条件下进行，即：</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1</w:t>
      </w:r>
      <w:r>
        <w:rPr>
          <w:rFonts w:hint="eastAsia" w:ascii="宋体_GB2312" w:hAnsi="宋体_GB2312" w:eastAsia="宋体_GB2312"/>
          <w:szCs w:val="24"/>
          <w:lang w:val="en-US"/>
        </w:rPr>
        <w:t>）温度：</w:t>
      </w:r>
      <w:r>
        <w:rPr>
          <w:rFonts w:ascii="宋体_GB2312" w:hAnsi="宋体_GB2312" w:eastAsia="宋体_GB2312"/>
          <w:szCs w:val="24"/>
          <w:lang w:val="en-US"/>
        </w:rPr>
        <w:t>-40℃～+85</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2）</w:t>
      </w:r>
      <w:r>
        <w:rPr>
          <w:rFonts w:hint="eastAsia" w:ascii="宋体_GB2312" w:hAnsi="宋体_GB2312" w:eastAsia="宋体_GB2312"/>
          <w:szCs w:val="24"/>
          <w:lang w:val="en-US"/>
        </w:rPr>
        <w:t>湿度：</w:t>
      </w:r>
      <w:r>
        <w:rPr>
          <w:rFonts w:ascii="宋体_GB2312" w:hAnsi="宋体_GB2312" w:eastAsia="宋体_GB2312"/>
          <w:szCs w:val="24"/>
          <w:lang w:val="en-US"/>
        </w:rPr>
        <w:t>45%</w:t>
      </w:r>
      <w:r>
        <w:rPr>
          <w:rFonts w:hint="eastAsia" w:ascii="宋体_GB2312" w:hAnsi="宋体_GB2312" w:eastAsia="宋体_GB2312"/>
          <w:szCs w:val="24"/>
          <w:lang w:val="en-US"/>
        </w:rPr>
        <w:t>～</w:t>
      </w:r>
      <w:r>
        <w:rPr>
          <w:rFonts w:ascii="宋体_GB2312" w:hAnsi="宋体_GB2312" w:eastAsia="宋体_GB2312"/>
          <w:szCs w:val="24"/>
          <w:lang w:val="en-US"/>
        </w:rPr>
        <w:t>75%</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3）</w:t>
      </w:r>
      <w:r>
        <w:rPr>
          <w:rFonts w:hint="eastAsia" w:ascii="宋体_GB2312" w:hAnsi="宋体_GB2312" w:eastAsia="宋体_GB2312"/>
          <w:szCs w:val="24"/>
          <w:lang w:val="en-US"/>
        </w:rPr>
        <w:t>气压：</w:t>
      </w:r>
      <w:r>
        <w:rPr>
          <w:rFonts w:ascii="宋体_GB2312" w:hAnsi="宋体_GB2312" w:eastAsia="宋体_GB2312"/>
          <w:szCs w:val="24"/>
          <w:lang w:val="en-US"/>
        </w:rPr>
        <w:t>86kPa</w:t>
      </w:r>
      <w:r>
        <w:rPr>
          <w:rFonts w:hint="eastAsia" w:ascii="宋体_GB2312" w:hAnsi="宋体_GB2312" w:eastAsia="宋体_GB2312"/>
          <w:szCs w:val="24"/>
          <w:lang w:val="en-US"/>
        </w:rPr>
        <w:t>～</w:t>
      </w:r>
      <w:r>
        <w:rPr>
          <w:rFonts w:ascii="宋体_GB2312" w:hAnsi="宋体_GB2312" w:eastAsia="宋体_GB2312"/>
          <w:szCs w:val="24"/>
          <w:lang w:val="en-US"/>
        </w:rPr>
        <w:t>106kPa</w:t>
      </w:r>
      <w:r>
        <w:rPr>
          <w:rFonts w:hint="eastAsia" w:ascii="宋体_GB2312" w:hAnsi="宋体_GB2312" w:eastAsia="宋体_GB2312"/>
          <w:szCs w:val="24"/>
          <w:lang w:val="en-US"/>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21" w:name="_Toc27479"/>
      <w:bookmarkStart w:id="122" w:name="_Toc17184333"/>
      <w:bookmarkStart w:id="123" w:name="_Toc402248583"/>
      <w:r>
        <w:rPr>
          <w:rFonts w:ascii="宋体_GB2312" w:hAnsi="宋体_GB2312" w:eastAsia="宋体_GB2312"/>
          <w:kern w:val="0"/>
          <w:szCs w:val="32"/>
          <w:lang w:val="en-US"/>
        </w:rPr>
        <w:t>6.3</w:t>
      </w:r>
      <w:r>
        <w:rPr>
          <w:rFonts w:hint="eastAsia" w:ascii="宋体_GB2312" w:hAnsi="宋体_GB2312" w:eastAsia="宋体_GB2312"/>
          <w:kern w:val="0"/>
          <w:szCs w:val="32"/>
          <w:lang w:val="en-US"/>
        </w:rPr>
        <w:t>测试条件</w:t>
      </w:r>
      <w:bookmarkEnd w:id="121"/>
      <w:bookmarkEnd w:id="122"/>
      <w:bookmarkEnd w:id="123"/>
    </w:p>
    <w:p>
      <w:pPr>
        <w:pStyle w:val="82"/>
        <w:keepNext/>
        <w:keepLines/>
        <w:widowControl/>
        <w:numPr>
          <w:ilvl w:val="0"/>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bookmarkStart w:id="124" w:name="_Toc402248584"/>
    </w:p>
    <w:p>
      <w:pPr>
        <w:pStyle w:val="82"/>
        <w:keepNext/>
        <w:keepLines/>
        <w:widowControl/>
        <w:numPr>
          <w:ilvl w:val="0"/>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p>
    <w:p>
      <w:pPr>
        <w:pStyle w:val="82"/>
        <w:keepNext/>
        <w:keepLines/>
        <w:widowControl/>
        <w:numPr>
          <w:ilvl w:val="0"/>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p>
    <w:p>
      <w:pPr>
        <w:pStyle w:val="82"/>
        <w:keepNext/>
        <w:keepLines/>
        <w:widowControl/>
        <w:numPr>
          <w:ilvl w:val="1"/>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p>
    <w:p>
      <w:pPr>
        <w:pStyle w:val="82"/>
        <w:keepNext/>
        <w:keepLines/>
        <w:widowControl/>
        <w:numPr>
          <w:ilvl w:val="1"/>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p>
    <w:p>
      <w:pPr>
        <w:pStyle w:val="82"/>
        <w:keepNext/>
        <w:keepLines/>
        <w:widowControl/>
        <w:numPr>
          <w:ilvl w:val="1"/>
          <w:numId w:val="5"/>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rPr>
      </w:pPr>
    </w:p>
    <w:p>
      <w:pPr>
        <w:pStyle w:val="82"/>
        <w:keepNext/>
        <w:keepLines/>
        <w:widowControl/>
        <w:numPr>
          <w:ilvl w:val="0"/>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82"/>
        <w:keepNext/>
        <w:keepLines/>
        <w:widowControl/>
        <w:numPr>
          <w:ilvl w:val="0"/>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82"/>
        <w:keepNext/>
        <w:keepLines/>
        <w:widowControl/>
        <w:numPr>
          <w:ilvl w:val="0"/>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82"/>
        <w:keepNext/>
        <w:keepLines/>
        <w:widowControl/>
        <w:numPr>
          <w:ilvl w:val="1"/>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82"/>
        <w:keepNext/>
        <w:keepLines/>
        <w:widowControl/>
        <w:numPr>
          <w:ilvl w:val="1"/>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82"/>
        <w:keepNext/>
        <w:keepLines/>
        <w:widowControl/>
        <w:numPr>
          <w:ilvl w:val="1"/>
          <w:numId w:val="1"/>
        </w:numPr>
        <w:tabs>
          <w:tab w:val="left" w:pos="851"/>
        </w:tabs>
        <w:suppressAutoHyphens/>
        <w:adjustRightInd/>
        <w:spacing w:before="240" w:beforeLines="0" w:after="12" w:afterLines="5" w:line="240" w:lineRule="auto"/>
        <w:ind w:firstLineChars="0"/>
        <w:jc w:val="left"/>
        <w:textAlignment w:val="auto"/>
        <w:outlineLvl w:val="2"/>
        <w:rPr>
          <w:rFonts w:ascii="宋体_GB2312" w:hAnsi="宋体_GB2312" w:eastAsia="宋体_GB2312"/>
          <w:b/>
          <w:vanish/>
          <w:kern w:val="28"/>
          <w:szCs w:val="24"/>
          <w:lang w:val="en-US"/>
        </w:rPr>
      </w:pPr>
    </w:p>
    <w:p>
      <w:pPr>
        <w:pStyle w:val="4"/>
        <w:rPr>
          <w:rFonts w:ascii="宋体_GB2312" w:hAnsi="宋体_GB2312" w:eastAsia="宋体_GB2312"/>
          <w:sz w:val="21"/>
          <w:szCs w:val="21"/>
        </w:rPr>
      </w:pPr>
      <w:r>
        <w:rPr>
          <w:rFonts w:ascii="宋体_GB2312" w:hAnsi="宋体_GB2312" w:eastAsia="宋体_GB2312"/>
        </w:rPr>
        <w:t>6.3.1</w:t>
      </w:r>
      <w:r>
        <w:rPr>
          <w:rFonts w:hint="eastAsia" w:ascii="宋体_GB2312" w:hAnsi="宋体_GB2312" w:eastAsia="宋体_GB2312"/>
          <w:sz w:val="21"/>
          <w:szCs w:val="21"/>
        </w:rPr>
        <w:t>光源</w:t>
      </w:r>
      <w:bookmarkEnd w:id="124"/>
    </w:p>
    <w:p>
      <w:pPr>
        <w:rPr>
          <w:rFonts w:ascii="宋体_GB2312" w:hAnsi="宋体_GB2312" w:eastAsia="宋体_GB2312"/>
          <w:szCs w:val="24"/>
          <w:lang w:val="en-US"/>
        </w:rPr>
      </w:pPr>
      <w:r>
        <w:rPr>
          <w:rFonts w:hint="eastAsia" w:ascii="宋体_GB2312" w:hAnsi="宋体_GB2312" w:eastAsia="宋体_GB2312"/>
          <w:szCs w:val="24"/>
          <w:lang w:val="en-US"/>
        </w:rPr>
        <w:t>测试中所用的光源应为稳定激光器光源，性能指标满足：</w:t>
      </w:r>
    </w:p>
    <w:p>
      <w:pPr>
        <w:rPr>
          <w:rFonts w:ascii="宋体_GB2312" w:hAnsi="宋体_GB2312" w:eastAsia="宋体_GB2312"/>
          <w:szCs w:val="24"/>
          <w:lang w:val="en-US"/>
        </w:rPr>
      </w:pPr>
      <w:r>
        <w:rPr>
          <w:rFonts w:hint="eastAsia" w:ascii="宋体_GB2312" w:hAnsi="宋体_GB2312" w:eastAsia="宋体_GB2312"/>
          <w:szCs w:val="24"/>
          <w:lang w:val="en-US"/>
        </w:rPr>
        <w:t>输出功率：≥－</w:t>
      </w:r>
      <w:r>
        <w:rPr>
          <w:rFonts w:ascii="宋体_GB2312" w:hAnsi="宋体_GB2312" w:eastAsia="宋体_GB2312"/>
          <w:szCs w:val="24"/>
          <w:lang w:val="en-US"/>
        </w:rPr>
        <w:t>3dBm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中心波长：</w:t>
      </w:r>
      <w:r>
        <w:rPr>
          <w:rFonts w:ascii="宋体_GB2312" w:hAnsi="宋体_GB2312" w:eastAsia="宋体_GB2312"/>
          <w:szCs w:val="24"/>
          <w:lang w:val="en-US"/>
        </w:rPr>
        <w:t>13l0nm</w:t>
      </w:r>
      <w:r>
        <w:rPr>
          <w:rFonts w:hint="eastAsia" w:ascii="宋体_GB2312" w:hAnsi="宋体_GB2312" w:eastAsia="宋体_GB2312"/>
          <w:szCs w:val="24"/>
          <w:lang w:val="en-US"/>
        </w:rPr>
        <w:t>±</w:t>
      </w:r>
      <w:r>
        <w:rPr>
          <w:rFonts w:ascii="宋体_GB2312" w:hAnsi="宋体_GB2312" w:eastAsia="宋体_GB2312"/>
          <w:szCs w:val="24"/>
          <w:lang w:val="en-US"/>
        </w:rPr>
        <w:t xml:space="preserve">20nm </w:t>
      </w:r>
      <w:r>
        <w:rPr>
          <w:rFonts w:hint="eastAsia" w:ascii="宋体_GB2312" w:hAnsi="宋体_GB2312" w:eastAsia="宋体_GB2312"/>
          <w:szCs w:val="24"/>
          <w:lang w:val="en-US"/>
        </w:rPr>
        <w:t>、</w:t>
      </w:r>
      <w:r>
        <w:rPr>
          <w:rFonts w:ascii="宋体_GB2312" w:hAnsi="宋体_GB2312" w:eastAsia="宋体_GB2312"/>
          <w:szCs w:val="24"/>
          <w:lang w:val="en-US"/>
        </w:rPr>
        <w:t>1490nm</w:t>
      </w:r>
      <w:r>
        <w:rPr>
          <w:rFonts w:hint="eastAsia" w:ascii="宋体_GB2312" w:hAnsi="宋体_GB2312" w:eastAsia="宋体_GB2312"/>
          <w:szCs w:val="24"/>
          <w:lang w:val="en-US"/>
        </w:rPr>
        <w:t>±</w:t>
      </w:r>
      <w:r>
        <w:rPr>
          <w:rFonts w:ascii="宋体_GB2312" w:hAnsi="宋体_GB2312" w:eastAsia="宋体_GB2312"/>
          <w:szCs w:val="24"/>
          <w:lang w:val="en-US"/>
        </w:rPr>
        <w:t>20nm</w:t>
      </w:r>
      <w:r>
        <w:rPr>
          <w:rFonts w:hint="eastAsia" w:ascii="宋体_GB2312" w:hAnsi="宋体_GB2312" w:eastAsia="宋体_GB2312"/>
          <w:szCs w:val="24"/>
          <w:lang w:val="en-US"/>
        </w:rPr>
        <w:t>、</w:t>
      </w:r>
      <w:r>
        <w:rPr>
          <w:rFonts w:ascii="宋体_GB2312" w:hAnsi="宋体_GB2312" w:eastAsia="宋体_GB2312"/>
          <w:szCs w:val="24"/>
          <w:lang w:val="en-US"/>
        </w:rPr>
        <w:t>1550nm</w:t>
      </w:r>
      <w:r>
        <w:rPr>
          <w:rFonts w:hint="eastAsia" w:ascii="宋体_GB2312" w:hAnsi="宋体_GB2312" w:eastAsia="宋体_GB2312"/>
          <w:szCs w:val="24"/>
          <w:lang w:val="en-US"/>
        </w:rPr>
        <w:t>±</w:t>
      </w:r>
      <w:r>
        <w:rPr>
          <w:rFonts w:ascii="宋体_GB2312" w:hAnsi="宋体_GB2312" w:eastAsia="宋体_GB2312"/>
          <w:szCs w:val="24"/>
          <w:lang w:val="en-US"/>
        </w:rPr>
        <w:t>20nm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-30dB</w:t>
      </w:r>
      <w:r>
        <w:rPr>
          <w:rFonts w:hint="eastAsia" w:ascii="宋体_GB2312" w:hAnsi="宋体_GB2312" w:eastAsia="宋体_GB2312"/>
          <w:szCs w:val="24"/>
          <w:lang w:val="en-US"/>
        </w:rPr>
        <w:t>谱宽：≤</w:t>
      </w:r>
      <w:r>
        <w:rPr>
          <w:rFonts w:ascii="宋体_GB2312" w:hAnsi="宋体_GB2312" w:eastAsia="宋体_GB2312"/>
          <w:szCs w:val="24"/>
          <w:lang w:val="en-US"/>
        </w:rPr>
        <w:t>5nm (</w:t>
      </w:r>
      <w:r>
        <w:rPr>
          <w:rFonts w:hint="eastAsia" w:ascii="宋体_GB2312" w:hAnsi="宋体_GB2312" w:eastAsia="宋体_GB2312"/>
          <w:szCs w:val="24"/>
          <w:lang w:val="en-US"/>
        </w:rPr>
        <w:t>λ</w:t>
      </w:r>
      <w:r>
        <w:rPr>
          <w:rFonts w:ascii="宋体_GB2312" w:hAnsi="宋体_GB2312" w:eastAsia="宋体_GB2312"/>
          <w:szCs w:val="24"/>
          <w:lang w:val="en-US"/>
        </w:rPr>
        <w:t xml:space="preserve">=13l0nm) </w:t>
      </w:r>
      <w:r>
        <w:rPr>
          <w:rFonts w:hint="eastAsia" w:ascii="宋体_GB2312" w:hAnsi="宋体_GB2312" w:eastAsia="宋体_GB2312"/>
          <w:szCs w:val="24"/>
          <w:lang w:val="en-US"/>
        </w:rPr>
        <w:t>、≤</w:t>
      </w:r>
      <w:r>
        <w:rPr>
          <w:rFonts w:ascii="宋体_GB2312" w:hAnsi="宋体_GB2312" w:eastAsia="宋体_GB2312"/>
          <w:szCs w:val="24"/>
          <w:lang w:val="en-US"/>
        </w:rPr>
        <w:t>l0nm (</w:t>
      </w:r>
      <w:r>
        <w:rPr>
          <w:rFonts w:hint="eastAsia" w:ascii="宋体_GB2312" w:hAnsi="宋体_GB2312" w:eastAsia="宋体_GB2312"/>
          <w:szCs w:val="24"/>
          <w:lang w:val="en-US"/>
        </w:rPr>
        <w:t>λ</w:t>
      </w:r>
      <w:r>
        <w:rPr>
          <w:rFonts w:ascii="宋体_GB2312" w:hAnsi="宋体_GB2312" w:eastAsia="宋体_GB2312"/>
          <w:szCs w:val="24"/>
          <w:lang w:val="en-US"/>
        </w:rPr>
        <w:t>=1550nm)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功率稳定度：优于±</w:t>
      </w:r>
      <w:r>
        <w:rPr>
          <w:rFonts w:ascii="宋体_GB2312" w:hAnsi="宋体_GB2312" w:eastAsia="宋体_GB2312"/>
          <w:szCs w:val="24"/>
          <w:lang w:val="en-US"/>
        </w:rPr>
        <w:t>0.05dB (</w:t>
      </w:r>
      <w:r>
        <w:rPr>
          <w:rFonts w:hint="eastAsia" w:ascii="宋体_GB2312" w:hAnsi="宋体_GB2312" w:eastAsia="宋体_GB2312"/>
          <w:szCs w:val="24"/>
          <w:lang w:val="en-US"/>
        </w:rPr>
        <w:t>－</w:t>
      </w:r>
      <w:r>
        <w:rPr>
          <w:rFonts w:ascii="宋体_GB2312" w:hAnsi="宋体_GB2312" w:eastAsia="宋体_GB2312"/>
          <w:szCs w:val="24"/>
          <w:lang w:val="en-US"/>
        </w:rPr>
        <w:t>10</w:t>
      </w:r>
      <w:r>
        <w:rPr>
          <w:rFonts w:hint="eastAsia" w:ascii="宋体_GB2312" w:hAnsi="宋体_GB2312" w:eastAsia="宋体_GB2312"/>
          <w:szCs w:val="24"/>
          <w:lang w:val="en-US"/>
        </w:rPr>
        <w:t>℃～</w:t>
      </w:r>
      <w:r>
        <w:rPr>
          <w:rFonts w:ascii="宋体_GB2312" w:hAnsi="宋体_GB2312" w:eastAsia="宋体_GB2312"/>
          <w:szCs w:val="24"/>
          <w:lang w:val="en-US"/>
        </w:rPr>
        <w:t>+50</w:t>
      </w:r>
      <w:r>
        <w:rPr>
          <w:rFonts w:hint="eastAsia" w:ascii="宋体_GB2312" w:hAnsi="宋体_GB2312" w:eastAsia="宋体_GB2312"/>
          <w:szCs w:val="24"/>
          <w:lang w:val="en-US"/>
        </w:rPr>
        <w:t>℃、</w:t>
      </w:r>
      <w:r>
        <w:rPr>
          <w:rFonts w:ascii="宋体_GB2312" w:hAnsi="宋体_GB2312" w:eastAsia="宋体_GB2312"/>
          <w:szCs w:val="24"/>
          <w:lang w:val="en-US"/>
        </w:rPr>
        <w:t>1h)</w:t>
      </w:r>
      <w:r>
        <w:rPr>
          <w:rFonts w:hint="eastAsia" w:ascii="宋体_GB2312" w:hAnsi="宋体_GB2312" w:eastAsia="宋体_GB2312"/>
          <w:szCs w:val="24"/>
          <w:lang w:val="en-US"/>
        </w:rPr>
        <w:t>。</w:t>
      </w:r>
    </w:p>
    <w:p>
      <w:pPr>
        <w:pStyle w:val="4"/>
        <w:rPr>
          <w:rFonts w:ascii="宋体_GB2312" w:hAnsi="宋体_GB2312" w:eastAsia="宋体_GB2312"/>
          <w:sz w:val="21"/>
          <w:szCs w:val="21"/>
        </w:rPr>
      </w:pPr>
      <w:bookmarkStart w:id="125" w:name="_Toc402248585"/>
      <w:r>
        <w:rPr>
          <w:rFonts w:hint="eastAsia" w:ascii="宋体_GB2312" w:hAnsi="宋体_GB2312" w:eastAsia="宋体_GB2312"/>
        </w:rPr>
        <w:t>6</w:t>
      </w:r>
      <w:r>
        <w:rPr>
          <w:rFonts w:ascii="宋体_GB2312" w:hAnsi="宋体_GB2312" w:eastAsia="宋体_GB2312"/>
        </w:rPr>
        <w:t>.3.2</w:t>
      </w:r>
      <w:r>
        <w:rPr>
          <w:rFonts w:hint="eastAsia" w:ascii="宋体_GB2312" w:hAnsi="宋体_GB2312" w:eastAsia="宋体_GB2312"/>
          <w:sz w:val="21"/>
          <w:szCs w:val="21"/>
        </w:rPr>
        <w:t>宽带光源</w:t>
      </w:r>
      <w:bookmarkEnd w:id="125"/>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1）宽谱光源</w:t>
      </w:r>
    </w:p>
    <w:p>
      <w:pPr>
        <w:rPr>
          <w:rFonts w:ascii="宋体_GB2312" w:hAnsi="宋体_GB2312" w:eastAsia="宋体_GB2312"/>
          <w:szCs w:val="24"/>
          <w:lang w:val="en-US"/>
        </w:rPr>
      </w:pPr>
      <w:r>
        <w:rPr>
          <w:rFonts w:hint="eastAsia" w:ascii="宋体_GB2312" w:hAnsi="宋体_GB2312" w:eastAsia="宋体_GB2312"/>
          <w:szCs w:val="24"/>
          <w:lang w:val="en-US"/>
        </w:rPr>
        <w:t>波长范围：</w:t>
      </w:r>
      <w:r>
        <w:rPr>
          <w:rFonts w:ascii="宋体_GB2312" w:hAnsi="宋体_GB2312" w:eastAsia="宋体_GB2312"/>
          <w:szCs w:val="24"/>
          <w:lang w:val="en-US"/>
        </w:rPr>
        <w:t>1260nm</w:t>
      </w:r>
      <w:r>
        <w:rPr>
          <w:rFonts w:hint="eastAsia" w:ascii="宋体_GB2312" w:hAnsi="宋体_GB2312" w:eastAsia="宋体_GB2312"/>
          <w:szCs w:val="24"/>
          <w:lang w:val="en-US"/>
        </w:rPr>
        <w:t>～</w:t>
      </w:r>
      <w:r>
        <w:rPr>
          <w:rFonts w:ascii="宋体_GB2312" w:hAnsi="宋体_GB2312" w:eastAsia="宋体_GB2312"/>
          <w:szCs w:val="24"/>
          <w:lang w:val="en-US"/>
        </w:rPr>
        <w:t>1650nm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功率谱密度：波长范围内≥－</w:t>
      </w:r>
      <w:r>
        <w:rPr>
          <w:rFonts w:ascii="宋体_GB2312" w:hAnsi="宋体_GB2312" w:eastAsia="宋体_GB2312"/>
          <w:szCs w:val="24"/>
          <w:lang w:val="en-US"/>
        </w:rPr>
        <w:t>35dBm/1</w:t>
      </w:r>
      <w:r>
        <w:rPr>
          <w:rFonts w:hint="eastAsia" w:ascii="宋体_GB2312" w:hAnsi="宋体_GB2312" w:eastAsia="宋体_GB2312"/>
          <w:szCs w:val="24"/>
          <w:lang w:val="en-US"/>
        </w:rPr>
        <w:t>nm；</w:t>
      </w:r>
    </w:p>
    <w:p>
      <w:pPr>
        <w:rPr>
          <w:rFonts w:ascii="宋体_GB2312" w:hAnsi="宋体_GB2312" w:eastAsia="宋体_GB2312"/>
          <w:szCs w:val="24"/>
          <w:lang w:val="en-US"/>
        </w:rPr>
      </w:pPr>
      <w:r>
        <w:rPr>
          <w:rFonts w:hint="eastAsia" w:ascii="宋体_GB2312" w:hAnsi="宋体_GB2312" w:eastAsia="宋体_GB2312"/>
          <w:szCs w:val="24"/>
          <w:lang w:val="en-US"/>
        </w:rPr>
        <w:t>功率谱密度稳定度：±0</w:t>
      </w:r>
      <w:r>
        <w:rPr>
          <w:rFonts w:ascii="宋体_GB2312" w:hAnsi="宋体_GB2312" w:eastAsia="宋体_GB2312"/>
          <w:szCs w:val="24"/>
          <w:lang w:val="en-US"/>
        </w:rPr>
        <w:t>.02</w:t>
      </w:r>
      <w:r>
        <w:rPr>
          <w:rFonts w:hint="eastAsia" w:ascii="宋体_GB2312" w:hAnsi="宋体_GB2312" w:eastAsia="宋体_GB2312"/>
          <w:szCs w:val="24"/>
          <w:lang w:val="en-US"/>
        </w:rPr>
        <w:t>d</w:t>
      </w:r>
      <w:r>
        <w:rPr>
          <w:rFonts w:ascii="宋体_GB2312" w:hAnsi="宋体_GB2312" w:eastAsia="宋体_GB2312"/>
          <w:szCs w:val="24"/>
          <w:lang w:val="en-US"/>
        </w:rPr>
        <w:t>B/</w:t>
      </w:r>
      <w:r>
        <w:rPr>
          <w:rFonts w:hint="eastAsia" w:ascii="宋体_GB2312" w:hAnsi="宋体_GB2312" w:eastAsia="宋体_GB2312"/>
          <w:szCs w:val="24"/>
          <w:lang w:val="en-US"/>
        </w:rPr>
        <w:t>n</w:t>
      </w:r>
      <w:r>
        <w:rPr>
          <w:rFonts w:ascii="宋体_GB2312" w:hAnsi="宋体_GB2312" w:eastAsia="宋体_GB2312"/>
          <w:szCs w:val="24"/>
          <w:lang w:val="en-US"/>
        </w:rPr>
        <w:t>m/10</w:t>
      </w:r>
      <w:r>
        <w:rPr>
          <w:rFonts w:hint="eastAsia" w:ascii="宋体_GB2312" w:hAnsi="宋体_GB2312" w:eastAsia="宋体_GB2312"/>
          <w:szCs w:val="24"/>
          <w:lang w:val="en-US"/>
        </w:rPr>
        <w:t>min，±0</w:t>
      </w:r>
      <w:r>
        <w:rPr>
          <w:rFonts w:ascii="宋体_GB2312" w:hAnsi="宋体_GB2312" w:eastAsia="宋体_GB2312"/>
          <w:szCs w:val="24"/>
          <w:lang w:val="en-US"/>
        </w:rPr>
        <w:t>.04</w:t>
      </w:r>
      <w:r>
        <w:rPr>
          <w:rFonts w:hint="eastAsia" w:ascii="宋体_GB2312" w:hAnsi="宋体_GB2312" w:eastAsia="宋体_GB2312"/>
          <w:szCs w:val="24"/>
          <w:lang w:val="en-US"/>
        </w:rPr>
        <w:t>d</w:t>
      </w:r>
      <w:r>
        <w:rPr>
          <w:rFonts w:ascii="宋体_GB2312" w:hAnsi="宋体_GB2312" w:eastAsia="宋体_GB2312"/>
          <w:szCs w:val="24"/>
          <w:lang w:val="en-US"/>
        </w:rPr>
        <w:t>B/</w:t>
      </w:r>
      <w:r>
        <w:rPr>
          <w:rFonts w:hint="eastAsia" w:ascii="宋体_GB2312" w:hAnsi="宋体_GB2312" w:eastAsia="宋体_GB2312"/>
          <w:szCs w:val="24"/>
          <w:lang w:val="en-US"/>
        </w:rPr>
        <w:t>n</w:t>
      </w:r>
      <w:r>
        <w:rPr>
          <w:rFonts w:ascii="宋体_GB2312" w:hAnsi="宋体_GB2312" w:eastAsia="宋体_GB2312"/>
          <w:szCs w:val="24"/>
          <w:lang w:val="en-US"/>
        </w:rPr>
        <w:t>m/2</w:t>
      </w:r>
      <w:r>
        <w:rPr>
          <w:rFonts w:hint="eastAsia" w:ascii="宋体_GB2312" w:hAnsi="宋体_GB2312" w:eastAsia="宋体_GB2312"/>
          <w:szCs w:val="24"/>
          <w:lang w:val="en-US"/>
        </w:rPr>
        <w:t>h；</w:t>
      </w:r>
    </w:p>
    <w:p>
      <w:pPr>
        <w:rPr>
          <w:rFonts w:ascii="宋体_GB2312" w:hAnsi="宋体_GB2312" w:eastAsia="宋体_GB2312"/>
          <w:szCs w:val="24"/>
          <w:lang w:val="en-US"/>
        </w:rPr>
      </w:pPr>
      <w:r>
        <w:rPr>
          <w:rFonts w:hint="eastAsia" w:ascii="宋体_GB2312" w:hAnsi="宋体_GB2312" w:eastAsia="宋体_GB2312"/>
          <w:szCs w:val="24"/>
          <w:lang w:val="en-US"/>
        </w:rPr>
        <w:t>（2）波长可调光源：</w:t>
      </w:r>
    </w:p>
    <w:p>
      <w:pPr>
        <w:rPr>
          <w:rFonts w:ascii="宋体_GB2312" w:hAnsi="宋体_GB2312" w:eastAsia="宋体_GB2312"/>
          <w:szCs w:val="24"/>
          <w:lang w:val="en-US"/>
        </w:rPr>
      </w:pPr>
      <w:r>
        <w:rPr>
          <w:rFonts w:hint="eastAsia" w:ascii="宋体_GB2312" w:hAnsi="宋体_GB2312" w:eastAsia="宋体_GB2312"/>
          <w:szCs w:val="24"/>
          <w:lang w:val="en-US"/>
        </w:rPr>
        <w:t>波长范围：</w:t>
      </w:r>
      <w:r>
        <w:rPr>
          <w:rFonts w:ascii="宋体_GB2312" w:hAnsi="宋体_GB2312" w:eastAsia="宋体_GB2312"/>
          <w:szCs w:val="24"/>
          <w:lang w:val="en-US"/>
        </w:rPr>
        <w:t>1260nm</w:t>
      </w:r>
      <w:r>
        <w:rPr>
          <w:rFonts w:hint="eastAsia" w:ascii="宋体_GB2312" w:hAnsi="宋体_GB2312" w:eastAsia="宋体_GB2312"/>
          <w:szCs w:val="24"/>
          <w:lang w:val="en-US"/>
        </w:rPr>
        <w:t>～</w:t>
      </w:r>
      <w:r>
        <w:rPr>
          <w:rFonts w:ascii="宋体_GB2312" w:hAnsi="宋体_GB2312" w:eastAsia="宋体_GB2312"/>
          <w:szCs w:val="24"/>
          <w:lang w:val="en-US"/>
        </w:rPr>
        <w:t xml:space="preserve">1650nm </w:t>
      </w:r>
      <w:r>
        <w:rPr>
          <w:rFonts w:hint="eastAsia" w:ascii="宋体_GB2312" w:hAnsi="宋体_GB2312" w:eastAsia="宋体_GB2312"/>
          <w:szCs w:val="24"/>
          <w:lang w:val="en-US"/>
        </w:rPr>
        <w:t>范围内连续可调；</w:t>
      </w:r>
    </w:p>
    <w:p>
      <w:pPr>
        <w:rPr>
          <w:rFonts w:ascii="宋体_GB2312" w:hAnsi="宋体_GB2312" w:eastAsia="宋体_GB2312"/>
          <w:szCs w:val="24"/>
          <w:lang w:val="en-US"/>
        </w:rPr>
      </w:pPr>
      <w:r>
        <w:rPr>
          <w:rFonts w:hint="eastAsia" w:ascii="宋体_GB2312" w:hAnsi="宋体_GB2312" w:eastAsia="宋体_GB2312"/>
          <w:szCs w:val="24"/>
          <w:lang w:val="en-US"/>
        </w:rPr>
        <w:t>输出功率稳定度：优于±</w:t>
      </w:r>
      <w:r>
        <w:rPr>
          <w:rFonts w:ascii="宋体_GB2312" w:hAnsi="宋体_GB2312" w:eastAsia="宋体_GB2312"/>
          <w:szCs w:val="24"/>
          <w:lang w:val="en-US"/>
        </w:rPr>
        <w:t>0.1dB/10min</w:t>
      </w:r>
      <w:r>
        <w:rPr>
          <w:rFonts w:hint="eastAsia" w:ascii="宋体_GB2312" w:hAnsi="宋体_GB2312" w:eastAsia="宋体_GB2312"/>
          <w:szCs w:val="24"/>
          <w:lang w:val="en-US"/>
        </w:rPr>
        <w:t>。</w:t>
      </w:r>
    </w:p>
    <w:p>
      <w:pPr>
        <w:pStyle w:val="4"/>
        <w:rPr>
          <w:rFonts w:ascii="宋体_GB2312" w:hAnsi="宋体_GB2312" w:eastAsia="宋体_GB2312"/>
          <w:sz w:val="21"/>
          <w:szCs w:val="21"/>
        </w:rPr>
      </w:pPr>
      <w:bookmarkStart w:id="126" w:name="_Toc402248586"/>
      <w:r>
        <w:rPr>
          <w:rFonts w:hint="eastAsia" w:ascii="宋体_GB2312" w:hAnsi="宋体_GB2312" w:eastAsia="宋体_GB2312"/>
        </w:rPr>
        <w:t>6</w:t>
      </w:r>
      <w:r>
        <w:rPr>
          <w:rFonts w:ascii="宋体_GB2312" w:hAnsi="宋体_GB2312" w:eastAsia="宋体_GB2312"/>
        </w:rPr>
        <w:t>.3.3</w:t>
      </w:r>
      <w:r>
        <w:rPr>
          <w:rFonts w:hint="eastAsia" w:ascii="宋体_GB2312" w:hAnsi="宋体_GB2312" w:eastAsia="宋体_GB2312"/>
        </w:rPr>
        <w:t>滤</w:t>
      </w:r>
      <w:r>
        <w:rPr>
          <w:rFonts w:hint="eastAsia" w:ascii="宋体_GB2312" w:hAnsi="宋体_GB2312" w:eastAsia="宋体_GB2312"/>
          <w:sz w:val="21"/>
          <w:szCs w:val="21"/>
        </w:rPr>
        <w:t>模单元</w:t>
      </w:r>
      <w:bookmarkEnd w:id="126"/>
    </w:p>
    <w:p>
      <w:pPr>
        <w:rPr>
          <w:rFonts w:ascii="宋体_GB2312" w:hAnsi="宋体_GB2312" w:eastAsia="宋体_GB2312"/>
          <w:szCs w:val="24"/>
          <w:lang w:val="en-US"/>
        </w:rPr>
      </w:pPr>
      <w:r>
        <w:rPr>
          <w:rFonts w:hint="eastAsia" w:ascii="宋体_GB2312" w:hAnsi="宋体_GB2312" w:eastAsia="宋体_GB2312"/>
          <w:szCs w:val="24"/>
          <w:lang w:val="en-US"/>
        </w:rPr>
        <w:t>采用的</w:t>
      </w:r>
      <w:r>
        <w:rPr>
          <w:rFonts w:hint="eastAsia" w:ascii="宋体_GB2312" w:hAnsi="宋体_GB2312" w:eastAsia="宋体_GB2312"/>
        </w:rPr>
        <w:t>滤</w:t>
      </w:r>
      <w:r>
        <w:rPr>
          <w:rFonts w:hint="eastAsia" w:ascii="宋体_GB2312" w:hAnsi="宋体_GB2312" w:eastAsia="宋体_GB2312"/>
          <w:szCs w:val="24"/>
          <w:lang w:val="en-US"/>
        </w:rPr>
        <w:t>模单元是一段</w:t>
      </w:r>
      <w:r>
        <w:rPr>
          <w:rFonts w:ascii="宋体_GB2312" w:hAnsi="宋体_GB2312" w:eastAsia="宋体_GB2312"/>
          <w:szCs w:val="24"/>
          <w:lang w:val="en-US"/>
        </w:rPr>
        <w:t xml:space="preserve">1km </w:t>
      </w:r>
      <w:r>
        <w:rPr>
          <w:rFonts w:hint="eastAsia" w:ascii="宋体_GB2312" w:hAnsi="宋体_GB2312" w:eastAsia="宋体_GB2312"/>
          <w:szCs w:val="24"/>
          <w:lang w:val="en-US"/>
        </w:rPr>
        <w:t>长度的单模光纤，或</w:t>
      </w:r>
      <w:r>
        <w:rPr>
          <w:rFonts w:ascii="宋体_GB2312" w:hAnsi="宋体_GB2312" w:eastAsia="宋体_GB2312"/>
          <w:szCs w:val="24"/>
          <w:lang w:val="en-US"/>
        </w:rPr>
        <w:t xml:space="preserve">5m </w:t>
      </w:r>
      <w:r>
        <w:rPr>
          <w:rFonts w:hint="eastAsia" w:ascii="宋体_GB2312" w:hAnsi="宋体_GB2312" w:eastAsia="宋体_GB2312"/>
          <w:szCs w:val="24"/>
          <w:lang w:val="en-US"/>
        </w:rPr>
        <w:t>单模光纤中间打两个Ф</w:t>
      </w:r>
      <w:r>
        <w:rPr>
          <w:rFonts w:ascii="宋体_GB2312" w:hAnsi="宋体_GB2312" w:eastAsia="宋体_GB2312"/>
          <w:szCs w:val="24"/>
          <w:lang w:val="en-US"/>
        </w:rPr>
        <w:t>30mm</w:t>
      </w:r>
      <w:r>
        <w:rPr>
          <w:rFonts w:hint="eastAsia" w:ascii="宋体_GB2312" w:hAnsi="宋体_GB2312" w:eastAsia="宋体_GB2312"/>
          <w:szCs w:val="24"/>
          <w:lang w:val="en-US"/>
        </w:rPr>
        <w:t>的圈，光纤参数应与</w:t>
      </w:r>
      <w:r>
        <w:rPr>
          <w:rFonts w:ascii="宋体_GB2312" w:hAnsi="宋体_GB2312" w:eastAsia="宋体_GB2312"/>
          <w:szCs w:val="24"/>
          <w:lang w:val="en-US"/>
        </w:rPr>
        <w:t xml:space="preserve">PLC </w:t>
      </w:r>
      <w:r>
        <w:rPr>
          <w:rFonts w:hint="eastAsia" w:ascii="宋体_GB2312" w:hAnsi="宋体_GB2312" w:eastAsia="宋体_GB2312"/>
          <w:szCs w:val="24"/>
          <w:lang w:val="en-US"/>
        </w:rPr>
        <w:t>分路器引出光纤一致，或采用其它专用滤模器。</w:t>
      </w:r>
    </w:p>
    <w:p>
      <w:pPr>
        <w:pStyle w:val="4"/>
        <w:rPr>
          <w:rFonts w:ascii="宋体_GB2312" w:hAnsi="宋体_GB2312" w:eastAsia="宋体_GB2312"/>
          <w:sz w:val="21"/>
          <w:szCs w:val="21"/>
        </w:rPr>
      </w:pPr>
      <w:bookmarkStart w:id="127" w:name="_Toc402248587"/>
      <w:r>
        <w:rPr>
          <w:rFonts w:hint="eastAsia" w:ascii="宋体_GB2312" w:hAnsi="宋体_GB2312" w:eastAsia="宋体_GB2312"/>
        </w:rPr>
        <w:t>6</w:t>
      </w:r>
      <w:r>
        <w:rPr>
          <w:rFonts w:ascii="宋体_GB2312" w:hAnsi="宋体_GB2312" w:eastAsia="宋体_GB2312"/>
        </w:rPr>
        <w:t>.3.4</w:t>
      </w:r>
      <w:r>
        <w:rPr>
          <w:rFonts w:hint="eastAsia" w:ascii="宋体_GB2312" w:hAnsi="宋体_GB2312" w:eastAsia="宋体_GB2312"/>
          <w:sz w:val="21"/>
          <w:szCs w:val="21"/>
        </w:rPr>
        <w:t>光功率计</w:t>
      </w:r>
      <w:bookmarkEnd w:id="127"/>
    </w:p>
    <w:p>
      <w:pPr>
        <w:rPr>
          <w:rFonts w:ascii="宋体_GB2312" w:hAnsi="宋体_GB2312" w:eastAsia="宋体_GB2312"/>
          <w:szCs w:val="24"/>
          <w:lang w:val="en-US"/>
        </w:rPr>
      </w:pPr>
      <w:r>
        <w:rPr>
          <w:rFonts w:hint="eastAsia" w:ascii="宋体_GB2312" w:hAnsi="宋体_GB2312" w:eastAsia="宋体_GB2312"/>
          <w:szCs w:val="24"/>
          <w:lang w:val="en-US"/>
        </w:rPr>
        <w:t>光功率计要求如下：</w:t>
      </w:r>
    </w:p>
    <w:p>
      <w:pPr>
        <w:rPr>
          <w:rFonts w:ascii="宋体_GB2312" w:hAnsi="宋体_GB2312" w:eastAsia="宋体_GB2312"/>
          <w:szCs w:val="24"/>
          <w:lang w:val="en-US"/>
        </w:rPr>
      </w:pPr>
      <w:r>
        <w:rPr>
          <w:rFonts w:hint="eastAsia" w:ascii="宋体_GB2312" w:hAnsi="宋体_GB2312" w:eastAsia="宋体_GB2312"/>
          <w:szCs w:val="24"/>
          <w:lang w:val="en-US"/>
        </w:rPr>
        <w:t>工作波长范围：</w:t>
      </w:r>
      <w:r>
        <w:rPr>
          <w:rFonts w:ascii="宋体_GB2312" w:hAnsi="宋体_GB2312" w:eastAsia="宋体_GB2312"/>
          <w:szCs w:val="24"/>
          <w:lang w:val="en-US"/>
        </w:rPr>
        <w:t>800nm</w:t>
      </w:r>
      <w:r>
        <w:rPr>
          <w:rFonts w:hint="eastAsia" w:ascii="宋体_GB2312" w:hAnsi="宋体_GB2312" w:eastAsia="宋体_GB2312"/>
          <w:szCs w:val="24"/>
          <w:lang w:val="en-US"/>
        </w:rPr>
        <w:t>～</w:t>
      </w:r>
      <w:r>
        <w:rPr>
          <w:rFonts w:ascii="宋体_GB2312" w:hAnsi="宋体_GB2312" w:eastAsia="宋体_GB2312"/>
          <w:szCs w:val="24"/>
          <w:lang w:val="en-US"/>
        </w:rPr>
        <w:t>1700nm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光功率最大动态范围：</w:t>
      </w:r>
      <w:r>
        <w:rPr>
          <w:rFonts w:ascii="宋体_GB2312" w:hAnsi="宋体_GB2312" w:eastAsia="宋体_GB2312"/>
          <w:szCs w:val="24"/>
          <w:lang w:val="en-US"/>
        </w:rPr>
        <w:t>-80dBm</w:t>
      </w:r>
      <w:r>
        <w:rPr>
          <w:rFonts w:hint="eastAsia" w:ascii="宋体_GB2312" w:hAnsi="宋体_GB2312" w:eastAsia="宋体_GB2312"/>
          <w:szCs w:val="24"/>
          <w:lang w:val="en-US"/>
        </w:rPr>
        <w:t>～</w:t>
      </w:r>
      <w:r>
        <w:rPr>
          <w:rFonts w:ascii="宋体_GB2312" w:hAnsi="宋体_GB2312" w:eastAsia="宋体_GB2312"/>
          <w:szCs w:val="24"/>
          <w:lang w:val="en-US"/>
        </w:rPr>
        <w:t>+13dBm (</w:t>
      </w:r>
      <w:r>
        <w:rPr>
          <w:rFonts w:hint="eastAsia" w:ascii="宋体_GB2312" w:hAnsi="宋体_GB2312" w:eastAsia="宋体_GB2312"/>
          <w:szCs w:val="24"/>
          <w:lang w:val="en-US"/>
        </w:rPr>
        <w:t>连续光</w:t>
      </w:r>
      <w:r>
        <w:rPr>
          <w:rFonts w:ascii="宋体_GB2312" w:hAnsi="宋体_GB2312" w:eastAsia="宋体_GB2312"/>
          <w:szCs w:val="24"/>
          <w:lang w:val="en-US"/>
        </w:rPr>
        <w:t>)</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分辨率：</w:t>
      </w:r>
      <w:r>
        <w:rPr>
          <w:rFonts w:ascii="宋体_GB2312" w:hAnsi="宋体_GB2312" w:eastAsia="宋体_GB2312"/>
          <w:szCs w:val="24"/>
          <w:lang w:val="en-US"/>
        </w:rPr>
        <w:t>0.01 dBm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准确度：±</w:t>
      </w:r>
      <w:r>
        <w:rPr>
          <w:rFonts w:ascii="宋体_GB2312" w:hAnsi="宋体_GB2312" w:eastAsia="宋体_GB2312"/>
          <w:szCs w:val="24"/>
          <w:lang w:val="en-US"/>
        </w:rPr>
        <w:t>3.5%</w:t>
      </w:r>
      <w:r>
        <w:rPr>
          <w:rFonts w:hint="eastAsia" w:ascii="宋体_GB2312" w:hAnsi="宋体_GB2312" w:eastAsia="宋体_GB2312"/>
          <w:szCs w:val="24"/>
          <w:lang w:val="en-US"/>
        </w:rPr>
        <w:t>。</w:t>
      </w:r>
    </w:p>
    <w:p>
      <w:pPr>
        <w:pStyle w:val="4"/>
        <w:rPr>
          <w:rFonts w:ascii="宋体_GB2312" w:hAnsi="宋体_GB2312" w:eastAsia="宋体_GB2312"/>
          <w:sz w:val="21"/>
          <w:szCs w:val="21"/>
        </w:rPr>
      </w:pPr>
      <w:bookmarkStart w:id="128" w:name="_Toc402248588"/>
      <w:r>
        <w:rPr>
          <w:rFonts w:hint="eastAsia" w:ascii="宋体_GB2312" w:hAnsi="宋体_GB2312" w:eastAsia="宋体_GB2312"/>
        </w:rPr>
        <w:t>6</w:t>
      </w:r>
      <w:r>
        <w:rPr>
          <w:rFonts w:ascii="宋体_GB2312" w:hAnsi="宋体_GB2312" w:eastAsia="宋体_GB2312"/>
        </w:rPr>
        <w:t>.3.5</w:t>
      </w:r>
      <w:r>
        <w:rPr>
          <w:rFonts w:hint="eastAsia" w:ascii="宋体_GB2312" w:hAnsi="宋体_GB2312" w:eastAsia="宋体_GB2312"/>
          <w:sz w:val="21"/>
          <w:szCs w:val="21"/>
        </w:rPr>
        <w:t>偏振控制器</w:t>
      </w:r>
      <w:bookmarkEnd w:id="128"/>
    </w:p>
    <w:p>
      <w:pPr>
        <w:rPr>
          <w:rFonts w:ascii="宋体_GB2312" w:hAnsi="宋体_GB2312" w:eastAsia="宋体_GB2312"/>
          <w:szCs w:val="24"/>
          <w:lang w:val="en-US"/>
        </w:rPr>
      </w:pPr>
      <w:r>
        <w:rPr>
          <w:rFonts w:hint="eastAsia" w:ascii="宋体_GB2312" w:hAnsi="宋体_GB2312" w:eastAsia="宋体_GB2312"/>
          <w:szCs w:val="24"/>
          <w:lang w:val="en-US"/>
        </w:rPr>
        <w:t>偏振控制器要求如下：</w:t>
      </w:r>
    </w:p>
    <w:p>
      <w:pPr>
        <w:rPr>
          <w:rFonts w:ascii="宋体_GB2312" w:hAnsi="宋体_GB2312" w:eastAsia="宋体_GB2312"/>
          <w:szCs w:val="24"/>
          <w:lang w:val="en-US"/>
        </w:rPr>
      </w:pPr>
      <w:r>
        <w:rPr>
          <w:rFonts w:hint="eastAsia" w:ascii="宋体_GB2312" w:hAnsi="宋体_GB2312" w:eastAsia="宋体_GB2312"/>
          <w:szCs w:val="24"/>
          <w:lang w:val="en-US"/>
        </w:rPr>
        <w:t>工作波长范围：优于</w:t>
      </w:r>
      <w:r>
        <w:rPr>
          <w:rFonts w:ascii="宋体_GB2312" w:hAnsi="宋体_GB2312" w:eastAsia="宋体_GB2312"/>
          <w:szCs w:val="24"/>
          <w:lang w:val="en-US"/>
        </w:rPr>
        <w:t>1260nm</w:t>
      </w:r>
      <w:r>
        <w:rPr>
          <w:rFonts w:hint="eastAsia" w:ascii="宋体_GB2312" w:hAnsi="宋体_GB2312" w:eastAsia="宋体_GB2312"/>
          <w:szCs w:val="24"/>
          <w:lang w:val="en-US"/>
        </w:rPr>
        <w:t>～</w:t>
      </w:r>
      <w:r>
        <w:rPr>
          <w:rFonts w:ascii="宋体_GB2312" w:hAnsi="宋体_GB2312" w:eastAsia="宋体_GB2312"/>
          <w:szCs w:val="24"/>
          <w:lang w:val="en-US"/>
        </w:rPr>
        <w:t>1650nm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偏振消光比：≥</w:t>
      </w:r>
      <w:r>
        <w:rPr>
          <w:rFonts w:ascii="宋体_GB2312" w:hAnsi="宋体_GB2312" w:eastAsia="宋体_GB2312"/>
          <w:szCs w:val="24"/>
          <w:lang w:val="en-US"/>
        </w:rPr>
        <w:t>40dB</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邦加球覆盖率：≥</w:t>
      </w:r>
      <w:r>
        <w:rPr>
          <w:rFonts w:ascii="宋体_GB2312" w:hAnsi="宋体_GB2312" w:eastAsia="宋体_GB2312"/>
          <w:szCs w:val="24"/>
          <w:lang w:val="en-US"/>
        </w:rPr>
        <w:t>99%</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偏振相关损耗：≤</w:t>
      </w:r>
      <w:r>
        <w:rPr>
          <w:rFonts w:ascii="宋体_GB2312" w:hAnsi="宋体_GB2312" w:eastAsia="宋体_GB2312"/>
          <w:szCs w:val="24"/>
          <w:lang w:val="en-US"/>
        </w:rPr>
        <w:t>0.005dB</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最大允许输入光功率：</w:t>
      </w:r>
      <w:r>
        <w:rPr>
          <w:rFonts w:ascii="宋体_GB2312" w:hAnsi="宋体_GB2312" w:eastAsia="宋体_GB2312"/>
          <w:szCs w:val="24"/>
          <w:lang w:val="en-US"/>
        </w:rPr>
        <w:t xml:space="preserve">+20dBm </w:t>
      </w:r>
      <w:r>
        <w:rPr>
          <w:rFonts w:hint="eastAsia" w:ascii="宋体_GB2312" w:hAnsi="宋体_GB2312" w:eastAsia="宋体_GB2312"/>
          <w:szCs w:val="24"/>
          <w:lang w:val="en-US"/>
        </w:rPr>
        <w:t>。</w:t>
      </w:r>
    </w:p>
    <w:p>
      <w:pPr>
        <w:pStyle w:val="4"/>
        <w:rPr>
          <w:rFonts w:ascii="宋体_GB2312" w:hAnsi="宋体_GB2312" w:eastAsia="宋体_GB2312"/>
          <w:sz w:val="21"/>
          <w:szCs w:val="21"/>
        </w:rPr>
      </w:pPr>
      <w:bookmarkStart w:id="129" w:name="_Toc402248589"/>
      <w:r>
        <w:rPr>
          <w:rFonts w:hint="eastAsia" w:ascii="宋体_GB2312" w:hAnsi="宋体_GB2312" w:eastAsia="宋体_GB2312"/>
        </w:rPr>
        <w:t>6</w:t>
      </w:r>
      <w:r>
        <w:rPr>
          <w:rFonts w:ascii="宋体_GB2312" w:hAnsi="宋体_GB2312" w:eastAsia="宋体_GB2312"/>
        </w:rPr>
        <w:t>.3.6</w:t>
      </w:r>
      <w:r>
        <w:rPr>
          <w:rFonts w:hint="eastAsia" w:ascii="宋体_GB2312" w:hAnsi="宋体_GB2312" w:eastAsia="宋体_GB2312"/>
          <w:sz w:val="21"/>
          <w:szCs w:val="21"/>
        </w:rPr>
        <w:t>光谱分析仪</w:t>
      </w:r>
      <w:bookmarkEnd w:id="129"/>
    </w:p>
    <w:p>
      <w:pPr>
        <w:rPr>
          <w:rFonts w:ascii="宋体_GB2312" w:hAnsi="宋体_GB2312" w:eastAsia="宋体_GB2312"/>
          <w:szCs w:val="24"/>
          <w:lang w:val="en-US"/>
        </w:rPr>
      </w:pPr>
      <w:r>
        <w:rPr>
          <w:rFonts w:hint="eastAsia" w:ascii="宋体_GB2312" w:hAnsi="宋体_GB2312" w:eastAsia="宋体_GB2312"/>
          <w:szCs w:val="24"/>
          <w:lang w:val="en-US"/>
        </w:rPr>
        <w:t>光谱分析仪的带宽，动态范围均应优于测量光源。</w:t>
      </w:r>
    </w:p>
    <w:p>
      <w:pPr>
        <w:pStyle w:val="4"/>
        <w:rPr>
          <w:rFonts w:ascii="宋体_GB2312" w:hAnsi="宋体_GB2312" w:eastAsia="宋体_GB2312"/>
          <w:sz w:val="21"/>
          <w:szCs w:val="21"/>
        </w:rPr>
      </w:pPr>
      <w:bookmarkStart w:id="130" w:name="_Toc402248590"/>
      <w:r>
        <w:rPr>
          <w:rFonts w:hint="eastAsia" w:ascii="宋体_GB2312" w:hAnsi="宋体_GB2312" w:eastAsia="宋体_GB2312"/>
        </w:rPr>
        <w:t>6</w:t>
      </w:r>
      <w:r>
        <w:rPr>
          <w:rFonts w:ascii="宋体_GB2312" w:hAnsi="宋体_GB2312" w:eastAsia="宋体_GB2312"/>
        </w:rPr>
        <w:t>.3.7</w:t>
      </w:r>
      <w:r>
        <w:rPr>
          <w:rFonts w:hint="eastAsia" w:ascii="宋体_GB2312" w:hAnsi="宋体_GB2312" w:eastAsia="宋体_GB2312"/>
          <w:sz w:val="21"/>
          <w:szCs w:val="21"/>
        </w:rPr>
        <w:t>临时接点</w:t>
      </w:r>
      <w:bookmarkEnd w:id="130"/>
    </w:p>
    <w:p>
      <w:pPr>
        <w:rPr>
          <w:rFonts w:ascii="宋体_GB2312" w:hAnsi="宋体_GB2312" w:eastAsia="宋体_GB2312"/>
          <w:szCs w:val="24"/>
          <w:lang w:val="en-US"/>
        </w:rPr>
      </w:pPr>
      <w:r>
        <w:rPr>
          <w:rFonts w:hint="eastAsia" w:ascii="宋体_GB2312" w:hAnsi="宋体_GB2312" w:eastAsia="宋体_GB2312"/>
          <w:szCs w:val="24"/>
          <w:lang w:val="en-US"/>
        </w:rPr>
        <w:t>将两光纤端对接，接点损耗应≤</w:t>
      </w:r>
      <w:r>
        <w:rPr>
          <w:rFonts w:ascii="宋体_GB2312" w:hAnsi="宋体_GB2312" w:eastAsia="宋体_GB2312"/>
          <w:szCs w:val="24"/>
          <w:lang w:val="en-US"/>
        </w:rPr>
        <w:t>0.05dB</w:t>
      </w:r>
      <w:r>
        <w:rPr>
          <w:rFonts w:hint="eastAsia" w:ascii="宋体_GB2312" w:hAnsi="宋体_GB2312" w:eastAsia="宋体_GB2312"/>
          <w:szCs w:val="24"/>
          <w:lang w:val="en-US"/>
        </w:rPr>
        <w:t>，稳定牢固。</w:t>
      </w:r>
    </w:p>
    <w:p>
      <w:pPr>
        <w:pStyle w:val="4"/>
        <w:rPr>
          <w:rFonts w:ascii="宋体_GB2312" w:hAnsi="宋体_GB2312" w:eastAsia="宋体_GB2312"/>
          <w:sz w:val="21"/>
          <w:szCs w:val="21"/>
        </w:rPr>
      </w:pPr>
      <w:bookmarkStart w:id="131" w:name="_Toc402248591"/>
      <w:r>
        <w:rPr>
          <w:rFonts w:hint="eastAsia" w:ascii="宋体_GB2312" w:hAnsi="宋体_GB2312" w:eastAsia="宋体_GB2312"/>
        </w:rPr>
        <w:t>6</w:t>
      </w:r>
      <w:r>
        <w:rPr>
          <w:rFonts w:ascii="宋体_GB2312" w:hAnsi="宋体_GB2312" w:eastAsia="宋体_GB2312"/>
        </w:rPr>
        <w:t>.3.8</w:t>
      </w:r>
      <w:bookmarkEnd w:id="131"/>
      <w:r>
        <w:rPr>
          <w:rFonts w:hint="eastAsia" w:ascii="宋体_GB2312" w:hAnsi="宋体_GB2312" w:eastAsia="宋体_GB2312"/>
        </w:rPr>
        <w:t>大功率光源</w:t>
      </w:r>
    </w:p>
    <w:p>
      <w:pPr>
        <w:rPr>
          <w:rFonts w:ascii="宋体_GB2312" w:hAnsi="宋体_GB2312" w:eastAsia="宋体_GB2312"/>
          <w:szCs w:val="24"/>
          <w:lang w:val="en-US"/>
        </w:rPr>
      </w:pPr>
      <w:bookmarkStart w:id="132" w:name="_Toc402248592"/>
      <w:r>
        <w:rPr>
          <w:rFonts w:hint="eastAsia" w:ascii="宋体_GB2312" w:hAnsi="宋体_GB2312" w:eastAsia="宋体_GB2312"/>
          <w:szCs w:val="24"/>
          <w:lang w:val="en-US"/>
        </w:rPr>
        <w:t>大功率光源应满足：</w:t>
      </w:r>
    </w:p>
    <w:p>
      <w:pPr>
        <w:rPr>
          <w:rFonts w:ascii="宋体_GB2312" w:hAnsi="宋体_GB2312" w:eastAsia="宋体_GB2312"/>
          <w:szCs w:val="24"/>
          <w:lang w:val="en-US"/>
        </w:rPr>
      </w:pPr>
      <w:r>
        <w:rPr>
          <w:rFonts w:hint="eastAsia" w:ascii="宋体_GB2312" w:hAnsi="宋体_GB2312" w:eastAsia="宋体_GB2312"/>
          <w:szCs w:val="24"/>
          <w:lang w:val="en-US"/>
        </w:rPr>
        <w:t>输出功率：≥1</w:t>
      </w:r>
      <w:r>
        <w:rPr>
          <w:rFonts w:ascii="宋体_GB2312" w:hAnsi="宋体_GB2312" w:eastAsia="宋体_GB2312"/>
          <w:szCs w:val="24"/>
          <w:lang w:val="en-US"/>
        </w:rPr>
        <w:t>00</w:t>
      </w:r>
      <w:r>
        <w:rPr>
          <w:rFonts w:hint="eastAsia" w:ascii="宋体_GB2312" w:hAnsi="宋体_GB2312" w:eastAsia="宋体_GB2312"/>
          <w:szCs w:val="24"/>
          <w:lang w:val="en-US"/>
        </w:rPr>
        <w:t>mW；</w:t>
      </w:r>
    </w:p>
    <w:p>
      <w:pPr>
        <w:rPr>
          <w:rFonts w:ascii="宋体_GB2312" w:hAnsi="宋体_GB2312" w:eastAsia="宋体_GB2312"/>
          <w:szCs w:val="24"/>
          <w:lang w:val="en-US"/>
        </w:rPr>
      </w:pPr>
      <w:r>
        <w:rPr>
          <w:rFonts w:hint="eastAsia" w:ascii="宋体_GB2312" w:hAnsi="宋体_GB2312" w:eastAsia="宋体_GB2312"/>
          <w:szCs w:val="24"/>
          <w:lang w:val="en-US"/>
        </w:rPr>
        <w:t>中心波长：1</w:t>
      </w:r>
      <w:r>
        <w:rPr>
          <w:rFonts w:ascii="宋体_GB2312" w:hAnsi="宋体_GB2312" w:eastAsia="宋体_GB2312"/>
          <w:szCs w:val="24"/>
          <w:lang w:val="en-US"/>
        </w:rPr>
        <w:t>550</w:t>
      </w:r>
      <w:r>
        <w:rPr>
          <w:rFonts w:hint="eastAsia" w:ascii="宋体_GB2312" w:hAnsi="宋体_GB2312" w:eastAsia="宋体_GB2312"/>
          <w:szCs w:val="24"/>
          <w:lang w:val="en-US"/>
        </w:rPr>
        <w:t>±</w:t>
      </w:r>
      <w:r>
        <w:rPr>
          <w:rFonts w:ascii="宋体_GB2312" w:hAnsi="宋体_GB2312" w:eastAsia="宋体_GB2312"/>
          <w:szCs w:val="24"/>
          <w:lang w:val="en-US"/>
        </w:rPr>
        <w:t>20</w:t>
      </w:r>
      <w:r>
        <w:rPr>
          <w:rFonts w:hint="eastAsia" w:ascii="宋体_GB2312" w:hAnsi="宋体_GB2312" w:eastAsia="宋体_GB2312"/>
          <w:szCs w:val="24"/>
          <w:lang w:val="en-US"/>
        </w:rPr>
        <w:t>nm。</w:t>
      </w:r>
    </w:p>
    <w:p>
      <w:pPr>
        <w:pStyle w:val="4"/>
        <w:rPr>
          <w:rFonts w:ascii="宋体_GB2312" w:hAnsi="宋体_GB2312" w:eastAsia="宋体_GB2312"/>
        </w:rPr>
      </w:pPr>
      <w:r>
        <w:rPr>
          <w:rFonts w:hint="eastAsia" w:ascii="宋体_GB2312" w:hAnsi="宋体_GB2312" w:eastAsia="宋体_GB2312"/>
        </w:rPr>
        <w:t>6</w:t>
      </w:r>
      <w:r>
        <w:rPr>
          <w:rFonts w:ascii="宋体_GB2312" w:hAnsi="宋体_GB2312" w:eastAsia="宋体_GB2312"/>
        </w:rPr>
        <w:t>.3.9</w:t>
      </w:r>
      <w:r>
        <w:rPr>
          <w:rFonts w:hint="eastAsia" w:ascii="宋体_GB2312" w:hAnsi="宋体_GB2312" w:eastAsia="宋体_GB2312"/>
        </w:rPr>
        <w:t>回波损耗测试仪</w:t>
      </w:r>
    </w:p>
    <w:p>
      <w:pPr>
        <w:rPr>
          <w:rFonts w:ascii="宋体_GB2312" w:hAnsi="宋体_GB2312" w:eastAsia="宋体_GB2312"/>
          <w:szCs w:val="24"/>
          <w:lang w:val="en-US"/>
        </w:rPr>
      </w:pPr>
      <w:r>
        <w:rPr>
          <w:rFonts w:hint="eastAsia" w:ascii="宋体_GB2312" w:hAnsi="宋体_GB2312" w:eastAsia="宋体_GB2312"/>
        </w:rPr>
        <w:t>回波损耗测试仪</w:t>
      </w:r>
      <w:r>
        <w:rPr>
          <w:rFonts w:hint="eastAsia" w:ascii="宋体_GB2312" w:hAnsi="宋体_GB2312" w:eastAsia="宋体_GB2312"/>
          <w:szCs w:val="24"/>
          <w:lang w:val="en-US"/>
        </w:rPr>
        <w:t>应满足：</w:t>
      </w:r>
    </w:p>
    <w:p>
      <w:pPr>
        <w:rPr>
          <w:rFonts w:ascii="宋体_GB2312" w:hAnsi="宋体_GB2312" w:eastAsia="宋体_GB2312"/>
          <w:szCs w:val="24"/>
          <w:lang w:val="en-US"/>
        </w:rPr>
      </w:pPr>
      <w:r>
        <w:rPr>
          <w:rFonts w:hint="eastAsia" w:ascii="宋体_GB2312" w:hAnsi="宋体_GB2312" w:eastAsia="宋体_GB2312"/>
          <w:szCs w:val="24"/>
          <w:lang w:val="en-US"/>
        </w:rPr>
        <w:t>工作波长；1</w:t>
      </w:r>
      <w:r>
        <w:rPr>
          <w:rFonts w:ascii="宋体_GB2312" w:hAnsi="宋体_GB2312" w:eastAsia="宋体_GB2312"/>
          <w:szCs w:val="24"/>
          <w:lang w:val="en-US"/>
        </w:rPr>
        <w:t>310</w:t>
      </w:r>
      <w:r>
        <w:rPr>
          <w:rFonts w:hint="eastAsia" w:ascii="宋体_GB2312" w:hAnsi="宋体_GB2312" w:eastAsia="宋体_GB2312"/>
          <w:szCs w:val="24"/>
          <w:lang w:val="en-US"/>
        </w:rPr>
        <w:t>nm，1</w:t>
      </w:r>
      <w:r>
        <w:rPr>
          <w:rFonts w:ascii="宋体_GB2312" w:hAnsi="宋体_GB2312" w:eastAsia="宋体_GB2312"/>
          <w:szCs w:val="24"/>
          <w:lang w:val="en-US"/>
        </w:rPr>
        <w:t>490</w:t>
      </w:r>
      <w:r>
        <w:rPr>
          <w:rFonts w:hint="eastAsia" w:ascii="宋体_GB2312" w:hAnsi="宋体_GB2312" w:eastAsia="宋体_GB2312"/>
          <w:szCs w:val="24"/>
          <w:lang w:val="en-US"/>
        </w:rPr>
        <w:t>nm，1</w:t>
      </w:r>
      <w:r>
        <w:rPr>
          <w:rFonts w:ascii="宋体_GB2312" w:hAnsi="宋体_GB2312" w:eastAsia="宋体_GB2312"/>
          <w:szCs w:val="24"/>
          <w:lang w:val="en-US"/>
        </w:rPr>
        <w:t>550</w:t>
      </w:r>
      <w:r>
        <w:rPr>
          <w:rFonts w:hint="eastAsia" w:ascii="宋体_GB2312" w:hAnsi="宋体_GB2312" w:eastAsia="宋体_GB2312"/>
          <w:szCs w:val="24"/>
          <w:lang w:val="en-US"/>
        </w:rPr>
        <w:t>nm；</w:t>
      </w:r>
    </w:p>
    <w:p>
      <w:pPr>
        <w:rPr>
          <w:rFonts w:ascii="宋体_GB2312" w:hAnsi="宋体_GB2312" w:eastAsia="宋体_GB2312"/>
          <w:szCs w:val="24"/>
          <w:lang w:val="en-US"/>
        </w:rPr>
      </w:pPr>
      <w:r>
        <w:rPr>
          <w:rFonts w:hint="eastAsia" w:ascii="宋体_GB2312" w:hAnsi="宋体_GB2312" w:eastAsia="宋体_GB2312"/>
          <w:szCs w:val="24"/>
          <w:lang w:val="en-US"/>
        </w:rPr>
        <w:t>测试范围：0</w:t>
      </w:r>
      <w:r>
        <w:rPr>
          <w:rFonts w:ascii="宋体_GB2312" w:hAnsi="宋体_GB2312" w:eastAsia="宋体_GB2312"/>
          <w:szCs w:val="24"/>
          <w:lang w:val="en-US"/>
        </w:rPr>
        <w:t>dB</w:t>
      </w:r>
      <w:r>
        <w:rPr>
          <w:rFonts w:hint="eastAsia" w:ascii="宋体_GB2312" w:hAnsi="宋体_GB2312" w:eastAsia="宋体_GB2312"/>
          <w:szCs w:val="24"/>
          <w:lang w:val="en-US"/>
        </w:rPr>
        <w:t>～</w:t>
      </w:r>
      <w:r>
        <w:rPr>
          <w:rFonts w:ascii="宋体_GB2312" w:hAnsi="宋体_GB2312" w:eastAsia="宋体_GB2312"/>
          <w:szCs w:val="24"/>
          <w:lang w:val="en-US"/>
        </w:rPr>
        <w:t>75dB</w:t>
      </w:r>
      <w:r>
        <w:rPr>
          <w:rFonts w:hint="eastAsia" w:ascii="宋体_GB2312" w:hAnsi="宋体_GB2312" w:eastAsia="宋体_GB2312"/>
          <w:szCs w:val="24"/>
          <w:lang w:val="en-US"/>
        </w:rPr>
        <w:t>；</w:t>
      </w:r>
    </w:p>
    <w:p>
      <w:pPr>
        <w:rPr>
          <w:rFonts w:ascii="宋体_GB2312" w:hAnsi="宋体_GB2312" w:eastAsia="宋体_GB2312"/>
          <w:szCs w:val="32"/>
          <w:lang w:val="en-US"/>
        </w:rPr>
      </w:pPr>
      <w:r>
        <w:rPr>
          <w:rFonts w:hint="eastAsia" w:ascii="宋体_GB2312" w:hAnsi="宋体_GB2312" w:eastAsia="宋体_GB2312"/>
          <w:szCs w:val="24"/>
          <w:lang w:val="en-US"/>
        </w:rPr>
        <w:t>测试精度：0</w:t>
      </w:r>
      <w:r>
        <w:rPr>
          <w:rFonts w:ascii="宋体_GB2312" w:hAnsi="宋体_GB2312" w:eastAsia="宋体_GB2312"/>
          <w:szCs w:val="24"/>
          <w:lang w:val="en-US"/>
        </w:rPr>
        <w:t>.25dB</w:t>
      </w:r>
      <w:r>
        <w:rPr>
          <w:rFonts w:hint="eastAsia" w:ascii="宋体_GB2312" w:hAnsi="宋体_GB2312" w:eastAsia="宋体_GB2312"/>
          <w:szCs w:val="24"/>
          <w:lang w:val="en-US"/>
        </w:rPr>
        <w:t>。</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33" w:name="_Toc17184334"/>
      <w:bookmarkStart w:id="134" w:name="_Toc27380"/>
      <w:r>
        <w:rPr>
          <w:rFonts w:ascii="宋体_GB2312" w:hAnsi="宋体_GB2312" w:eastAsia="宋体_GB2312"/>
          <w:kern w:val="0"/>
          <w:szCs w:val="32"/>
          <w:lang w:val="en-US"/>
        </w:rPr>
        <w:t>6.4</w:t>
      </w:r>
      <w:r>
        <w:rPr>
          <w:rFonts w:hint="eastAsia" w:ascii="宋体_GB2312" w:hAnsi="宋体_GB2312" w:eastAsia="宋体_GB2312"/>
          <w:kern w:val="0"/>
          <w:szCs w:val="32"/>
          <w:lang w:val="en-US"/>
        </w:rPr>
        <w:t>插入损耗测试</w:t>
      </w:r>
      <w:bookmarkEnd w:id="132"/>
      <w:bookmarkEnd w:id="133"/>
      <w:bookmarkEnd w:id="134"/>
    </w:p>
    <w:p>
      <w:pPr>
        <w:pStyle w:val="4"/>
        <w:rPr>
          <w:rFonts w:ascii="宋体_GB2312" w:hAnsi="宋体_GB2312" w:eastAsia="宋体_GB2312"/>
        </w:rPr>
      </w:pPr>
      <w:bookmarkStart w:id="135" w:name="_Toc402248593"/>
      <w:r>
        <w:rPr>
          <w:rFonts w:ascii="宋体_GB2312" w:hAnsi="宋体_GB2312" w:eastAsia="宋体_GB2312"/>
        </w:rPr>
        <w:t>6.4.1 PLC</w:t>
      </w:r>
      <w:r>
        <w:rPr>
          <w:rFonts w:hint="eastAsia" w:ascii="宋体_GB2312" w:hAnsi="宋体_GB2312" w:eastAsia="宋体_GB2312"/>
        </w:rPr>
        <w:t>器件插入损耗测试</w:t>
      </w:r>
    </w:p>
    <w:p>
      <w:pPr>
        <w:pStyle w:val="4"/>
        <w:rPr>
          <w:rFonts w:ascii="宋体_GB2312" w:hAnsi="宋体_GB2312" w:eastAsia="宋体_GB2312"/>
          <w:sz w:val="21"/>
          <w:szCs w:val="21"/>
        </w:rPr>
      </w:pPr>
      <w:r>
        <w:rPr>
          <w:rFonts w:ascii="宋体_GB2312" w:hAnsi="宋体_GB2312" w:eastAsia="宋体_GB2312"/>
        </w:rPr>
        <w:t>6.4.1.1</w:t>
      </w:r>
      <w:r>
        <w:rPr>
          <w:rFonts w:hint="eastAsia" w:ascii="宋体_GB2312" w:hAnsi="宋体_GB2312" w:eastAsia="宋体_GB2312"/>
          <w:sz w:val="21"/>
          <w:szCs w:val="21"/>
        </w:rPr>
        <w:t>基准法</w:t>
      </w:r>
      <w:bookmarkEnd w:id="135"/>
    </w:p>
    <w:p>
      <w:pPr>
        <w:rPr>
          <w:rFonts w:ascii="宋体_GB2312" w:hAnsi="宋体_GB2312" w:eastAsia="宋体_GB2312"/>
          <w:szCs w:val="24"/>
          <w:lang w:val="en-US"/>
        </w:rPr>
      </w:pPr>
      <w:r>
        <w:rPr>
          <w:rFonts w:hint="eastAsia" w:ascii="宋体_GB2312" w:hAnsi="宋体_GB2312" w:eastAsia="宋体_GB2312"/>
          <w:szCs w:val="24"/>
          <w:lang w:val="en-US"/>
        </w:rPr>
        <w:t>（1）测试原理</w:t>
      </w:r>
    </w:p>
    <w:p>
      <w:pPr>
        <w:rPr>
          <w:rFonts w:ascii="宋体_GB2312" w:hAnsi="宋体_GB2312" w:eastAsia="宋体_GB2312"/>
          <w:szCs w:val="24"/>
          <w:lang w:val="en-US"/>
        </w:rPr>
      </w:pPr>
      <w:r>
        <w:rPr>
          <w:rFonts w:hint="eastAsia" w:ascii="宋体_GB2312" w:hAnsi="宋体_GB2312" w:eastAsia="宋体_GB2312"/>
          <w:szCs w:val="24"/>
          <w:lang w:val="en-US"/>
        </w:rPr>
        <w:t>测试原理如图1所示。</w:t>
      </w:r>
    </w:p>
    <w:p>
      <w:pPr>
        <w:rPr>
          <w:rFonts w:ascii="宋体_GB2312" w:hAnsi="宋体_GB2312" w:eastAsia="宋体_GB2312"/>
          <w:szCs w:val="24"/>
          <w:lang w:val="en-US"/>
        </w:rPr>
      </w:pPr>
      <w:r>
        <w:rPr>
          <w:rFonts w:ascii="宋体_GB2312" w:hAnsi="宋体_GB2312" w:eastAsia="宋体_GB2312"/>
        </w:rPr>
        <w:drawing>
          <wp:inline distT="0" distB="0" distL="0" distR="0">
            <wp:extent cx="5064760" cy="2949575"/>
            <wp:effectExtent l="0" t="0" r="2540" b="317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a:stretch>
                      <a:fillRect/>
                    </a:stretch>
                  </pic:blipFill>
                  <pic:spPr>
                    <a:xfrm>
                      <a:off x="0" y="0"/>
                      <a:ext cx="5078658" cy="2957540"/>
                    </a:xfrm>
                    <a:prstGeom prst="rect">
                      <a:avLst/>
                    </a:prstGeom>
                  </pic:spPr>
                </pic:pic>
              </a:graphicData>
            </a:graphic>
          </wp:inline>
        </w:drawing>
      </w:r>
    </w:p>
    <w:p>
      <w:pPr>
        <w:rPr>
          <w:rFonts w:ascii="宋体_GB2312" w:hAnsi="宋体_GB2312" w:eastAsia="宋体_GB2312"/>
          <w:szCs w:val="24"/>
        </w:rPr>
      </w:pPr>
    </w:p>
    <w:p>
      <w:pPr>
        <w:rPr>
          <w:rFonts w:ascii="宋体_GB2312" w:hAnsi="宋体_GB2312" w:eastAsia="宋体_GB2312"/>
          <w:szCs w:val="24"/>
          <w:lang w:val="en-US"/>
        </w:rPr>
      </w:pPr>
      <w:r>
        <w:rPr>
          <w:rFonts w:hint="eastAsia" w:ascii="宋体_GB2312" w:hAnsi="宋体_GB2312" w:eastAsia="宋体_GB2312"/>
          <w:szCs w:val="24"/>
          <w:lang w:val="en-US"/>
        </w:rPr>
        <w:t>（2）测试步骤</w:t>
      </w:r>
    </w:p>
    <w:p>
      <w:pPr>
        <w:rPr>
          <w:rFonts w:ascii="宋体_GB2312" w:hAnsi="宋体_GB2312" w:eastAsia="宋体_GB2312"/>
          <w:szCs w:val="24"/>
          <w:lang w:val="en-US"/>
        </w:rPr>
      </w:pPr>
      <w:r>
        <w:rPr>
          <w:rFonts w:hint="eastAsia" w:ascii="宋体_GB2312" w:hAnsi="宋体_GB2312" w:eastAsia="宋体_GB2312"/>
          <w:szCs w:val="24"/>
          <w:lang w:val="en-US"/>
        </w:rPr>
        <w:t>测试步骤如下</w:t>
      </w:r>
      <w:r>
        <w:rPr>
          <w:rFonts w:ascii="宋体_GB2312" w:hAnsi="宋体_GB2312" w:eastAsia="宋体_GB2312"/>
          <w:szCs w:val="24"/>
          <w:lang w:val="en-US"/>
        </w:rPr>
        <w:t xml:space="preserve"> :</w:t>
      </w:r>
    </w:p>
    <w:p>
      <w:pPr>
        <w:rPr>
          <w:rFonts w:ascii="宋体_GB2312" w:hAnsi="宋体_GB2312" w:eastAsia="宋体_GB2312"/>
          <w:szCs w:val="24"/>
          <w:lang w:val="en-US"/>
        </w:rPr>
      </w:pPr>
      <w:r>
        <w:rPr>
          <w:rFonts w:ascii="宋体_GB2312" w:hAnsi="宋体_GB2312" w:eastAsia="宋体_GB2312"/>
          <w:szCs w:val="24"/>
          <w:lang w:val="en-US"/>
        </w:rPr>
        <w:t>1)</w:t>
      </w:r>
      <w:r>
        <w:rPr>
          <w:rFonts w:hint="eastAsia" w:ascii="宋体_GB2312" w:hAnsi="宋体_GB2312" w:eastAsia="宋体_GB2312"/>
          <w:szCs w:val="24"/>
          <w:lang w:val="en-US"/>
        </w:rPr>
        <w:t>按图1</w:t>
      </w:r>
      <w:r>
        <w:rPr>
          <w:rFonts w:ascii="宋体_GB2312" w:hAnsi="宋体_GB2312" w:eastAsia="宋体_GB2312"/>
          <w:szCs w:val="24"/>
          <w:lang w:val="en-US"/>
        </w:rPr>
        <w:t>a)</w:t>
      </w:r>
      <w:r>
        <w:rPr>
          <w:rFonts w:hint="eastAsia" w:ascii="宋体_GB2312" w:hAnsi="宋体_GB2312" w:eastAsia="宋体_GB2312"/>
          <w:szCs w:val="24"/>
          <w:lang w:val="en-US"/>
        </w:rPr>
        <w:t>装置测试并记录第</w:t>
      </w:r>
      <w:r>
        <w:rPr>
          <w:rFonts w:ascii="宋体_GB2312" w:hAnsi="宋体_GB2312" w:eastAsia="宋体_GB2312"/>
          <w:szCs w:val="24"/>
          <w:lang w:val="en-US"/>
        </w:rPr>
        <w:t>1</w:t>
      </w:r>
      <w:r>
        <w:rPr>
          <w:rFonts w:hint="eastAsia" w:ascii="宋体_GB2312" w:hAnsi="宋体_GB2312" w:eastAsia="宋体_GB2312"/>
          <w:szCs w:val="24"/>
          <w:lang w:val="en-US"/>
        </w:rPr>
        <w:t>输出端口的输出光功率</w:t>
      </w:r>
      <w:r>
        <w:rPr>
          <w:rFonts w:ascii="宋体_GB2312" w:hAnsi="宋体_GB2312" w:eastAsia="宋体_GB2312"/>
          <w:szCs w:val="24"/>
          <w:lang w:val="en-US"/>
        </w:rPr>
        <w:t>P</w:t>
      </w:r>
      <w:r>
        <w:rPr>
          <w:rFonts w:ascii="宋体_GB2312" w:hAnsi="宋体_GB2312" w:eastAsia="宋体_GB2312"/>
          <w:sz w:val="18"/>
          <w:szCs w:val="24"/>
          <w:lang w:val="en-US"/>
        </w:rPr>
        <w:t>outi</w:t>
      </w:r>
      <w:r>
        <w:rPr>
          <w:rFonts w:ascii="宋体_GB2312" w:hAnsi="宋体_GB2312" w:eastAsia="宋体_GB2312"/>
          <w:szCs w:val="24"/>
          <w:lang w:val="en-US"/>
        </w:rPr>
        <w:t>， L</w:t>
      </w:r>
      <w:r>
        <w:rPr>
          <w:rFonts w:ascii="宋体_GB2312" w:hAnsi="宋体_GB2312" w:eastAsia="宋体_GB2312"/>
          <w:sz w:val="20"/>
          <w:szCs w:val="24"/>
          <w:lang w:val="en-US"/>
        </w:rPr>
        <w:t>1</w:t>
      </w:r>
      <w:r>
        <w:rPr>
          <w:rFonts w:hint="eastAsia" w:ascii="宋体_GB2312" w:hAnsi="宋体_GB2312" w:eastAsia="宋体_GB2312"/>
          <w:szCs w:val="24"/>
          <w:lang w:val="en-US"/>
        </w:rPr>
        <w:t>为输入端尾纤长度，</w:t>
      </w:r>
      <w:r>
        <w:rPr>
          <w:rFonts w:ascii="宋体_GB2312" w:hAnsi="宋体_GB2312" w:eastAsia="宋体_GB2312"/>
          <w:szCs w:val="24"/>
          <w:lang w:val="en-US"/>
        </w:rPr>
        <w:t>L</w:t>
      </w:r>
      <w:r>
        <w:rPr>
          <w:rFonts w:ascii="宋体_GB2312" w:hAnsi="宋体_GB2312" w:eastAsia="宋体_GB2312"/>
          <w:sz w:val="18"/>
          <w:szCs w:val="24"/>
          <w:lang w:val="en-US"/>
        </w:rPr>
        <w:t>2</w:t>
      </w:r>
      <w:r>
        <w:rPr>
          <w:rFonts w:hint="eastAsia" w:ascii="宋体_GB2312" w:hAnsi="宋体_GB2312" w:eastAsia="宋体_GB2312"/>
          <w:szCs w:val="24"/>
          <w:lang w:val="en-US"/>
        </w:rPr>
        <w:t>为输出端尾纤长度；</w:t>
      </w:r>
    </w:p>
    <w:p>
      <w:pPr>
        <w:rPr>
          <w:rFonts w:ascii="宋体_GB2312" w:hAnsi="宋体_GB2312" w:eastAsia="宋体_GB2312"/>
          <w:szCs w:val="24"/>
          <w:lang w:val="en-US"/>
        </w:rPr>
      </w:pPr>
      <w:r>
        <w:rPr>
          <w:rFonts w:ascii="宋体_GB2312" w:hAnsi="宋体_GB2312" w:eastAsia="宋体_GB2312"/>
          <w:szCs w:val="24"/>
          <w:lang w:val="en-US"/>
        </w:rPr>
        <w:t xml:space="preserve">2) </w:t>
      </w:r>
      <w:r>
        <w:rPr>
          <w:rFonts w:hint="eastAsia" w:ascii="宋体_GB2312" w:hAnsi="宋体_GB2312" w:eastAsia="宋体_GB2312"/>
          <w:szCs w:val="24"/>
          <w:lang w:val="en-US"/>
        </w:rPr>
        <w:t>如图1</w:t>
      </w:r>
      <w:r>
        <w:rPr>
          <w:rFonts w:ascii="宋体_GB2312" w:hAnsi="宋体_GB2312" w:eastAsia="宋体_GB2312"/>
          <w:szCs w:val="24"/>
          <w:lang w:val="en-US"/>
        </w:rPr>
        <w:t>b )</w:t>
      </w:r>
      <w:r>
        <w:rPr>
          <w:rFonts w:hint="eastAsia" w:ascii="宋体_GB2312" w:hAnsi="宋体_GB2312" w:eastAsia="宋体_GB2312"/>
          <w:szCs w:val="24"/>
          <w:lang w:val="en-US"/>
        </w:rPr>
        <w:t>所示，在距离临时接点右边</w:t>
      </w:r>
      <w:r>
        <w:rPr>
          <w:rFonts w:ascii="宋体_GB2312" w:hAnsi="宋体_GB2312" w:eastAsia="宋体_GB2312"/>
          <w:szCs w:val="24"/>
          <w:lang w:val="en-US"/>
        </w:rPr>
        <w:t>A</w:t>
      </w:r>
      <w:r>
        <w:rPr>
          <w:rFonts w:hint="eastAsia" w:ascii="宋体_GB2312" w:hAnsi="宋体_GB2312" w:eastAsia="宋体_GB2312"/>
          <w:szCs w:val="24"/>
          <w:lang w:val="en-US"/>
        </w:rPr>
        <w:t>处切断器件尾纤，临时接点与</w:t>
      </w:r>
      <w:r>
        <w:rPr>
          <w:rFonts w:ascii="宋体_GB2312" w:hAnsi="宋体_GB2312" w:eastAsia="宋体_GB2312"/>
          <w:szCs w:val="24"/>
          <w:lang w:val="en-US"/>
        </w:rPr>
        <w:t>A</w:t>
      </w:r>
      <w:r>
        <w:rPr>
          <w:rFonts w:hint="eastAsia" w:ascii="宋体_GB2312" w:hAnsi="宋体_GB2312" w:eastAsia="宋体_GB2312"/>
          <w:szCs w:val="24"/>
          <w:lang w:val="en-US"/>
        </w:rPr>
        <w:t>处之间的距离</w:t>
      </w:r>
      <w:r>
        <w:rPr>
          <w:rFonts w:ascii="宋体_GB2312" w:hAnsi="宋体_GB2312" w:eastAsia="宋体_GB2312"/>
          <w:szCs w:val="24"/>
          <w:lang w:val="en-US"/>
        </w:rPr>
        <w:t>L</w:t>
      </w:r>
      <w:r>
        <w:rPr>
          <w:rFonts w:ascii="宋体_GB2312" w:hAnsi="宋体_GB2312" w:eastAsia="宋体_GB2312"/>
          <w:sz w:val="18"/>
          <w:szCs w:val="24"/>
          <w:lang w:val="en-US"/>
        </w:rPr>
        <w:t>1</w:t>
      </w:r>
      <w:r>
        <w:rPr>
          <w:rFonts w:hint="eastAsia" w:ascii="宋体_GB2312" w:hAnsi="宋体_GB2312" w:eastAsia="宋体_GB2312"/>
          <w:sz w:val="18"/>
          <w:szCs w:val="24"/>
          <w:lang w:val="en-US"/>
        </w:rPr>
        <w:t>’</w:t>
      </w:r>
      <w:r>
        <w:rPr>
          <w:rFonts w:hint="eastAsia" w:ascii="宋体_GB2312" w:hAnsi="宋体_GB2312" w:eastAsia="宋体_GB2312"/>
          <w:szCs w:val="24"/>
          <w:lang w:val="en-US"/>
        </w:rPr>
        <w:t>应不少于</w:t>
      </w:r>
      <w:r>
        <w:rPr>
          <w:rFonts w:ascii="宋体_GB2312" w:hAnsi="宋体_GB2312" w:eastAsia="宋体_GB2312"/>
          <w:szCs w:val="24"/>
          <w:lang w:val="en-US"/>
        </w:rPr>
        <w:t>30cm</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3)</w:t>
      </w:r>
      <w:r>
        <w:rPr>
          <w:rFonts w:hint="eastAsia" w:ascii="宋体_GB2312" w:hAnsi="宋体_GB2312" w:eastAsia="宋体_GB2312"/>
          <w:szCs w:val="24"/>
          <w:lang w:val="en-US"/>
        </w:rPr>
        <w:t>如图</w:t>
      </w:r>
      <w:r>
        <w:rPr>
          <w:rFonts w:ascii="宋体_GB2312" w:hAnsi="宋体_GB2312" w:eastAsia="宋体_GB2312"/>
          <w:szCs w:val="24"/>
          <w:lang w:val="en-US"/>
        </w:rPr>
        <w:t xml:space="preserve">1c) </w:t>
      </w:r>
      <w:r>
        <w:rPr>
          <w:rFonts w:hint="eastAsia" w:ascii="宋体_GB2312" w:hAnsi="宋体_GB2312" w:eastAsia="宋体_GB2312"/>
          <w:szCs w:val="24"/>
          <w:lang w:val="en-US"/>
        </w:rPr>
        <w:t>所示，从测试装置中取出</w:t>
      </w:r>
      <w:r>
        <w:rPr>
          <w:rFonts w:ascii="宋体_GB2312" w:hAnsi="宋体_GB2312" w:eastAsia="宋体_GB2312"/>
          <w:szCs w:val="24"/>
          <w:lang w:val="en-US"/>
        </w:rPr>
        <w:t>PLC</w:t>
      </w:r>
      <w:r>
        <w:rPr>
          <w:rFonts w:hint="eastAsia" w:ascii="宋体_GB2312" w:hAnsi="宋体_GB2312" w:eastAsia="宋体_GB2312"/>
          <w:szCs w:val="24"/>
          <w:lang w:val="en-US"/>
        </w:rPr>
        <w:t>器件，制备好切断点中的光纤端面，使光纤端面与检测单元相耦合，测量并记录输入光功率</w:t>
      </w:r>
      <w:r>
        <w:rPr>
          <w:rFonts w:ascii="宋体_GB2312" w:hAnsi="宋体_GB2312" w:eastAsia="宋体_GB2312"/>
          <w:szCs w:val="24"/>
          <w:lang w:val="en-US"/>
        </w:rPr>
        <w:t>P</w:t>
      </w:r>
      <w:r>
        <w:rPr>
          <w:rFonts w:ascii="宋体_GB2312" w:hAnsi="宋体_GB2312" w:eastAsia="宋体_GB2312"/>
          <w:sz w:val="18"/>
          <w:szCs w:val="24"/>
          <w:lang w:val="en-US"/>
        </w:rPr>
        <w:t>in</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4)</w:t>
      </w:r>
      <w:r>
        <w:rPr>
          <w:rFonts w:hint="eastAsia" w:ascii="宋体_GB2312" w:hAnsi="宋体_GB2312" w:eastAsia="宋体_GB2312"/>
          <w:szCs w:val="24"/>
          <w:lang w:val="en-US"/>
        </w:rPr>
        <w:t>所有端口的指标均应满足表</w:t>
      </w:r>
      <w:r>
        <w:rPr>
          <w:rFonts w:ascii="宋体_GB2312" w:hAnsi="宋体_GB2312" w:eastAsia="宋体_GB2312"/>
          <w:szCs w:val="24"/>
          <w:lang w:val="en-US"/>
        </w:rPr>
        <w:t>1</w:t>
      </w:r>
      <w:r>
        <w:rPr>
          <w:rFonts w:hint="eastAsia" w:ascii="宋体_GB2312" w:hAnsi="宋体_GB2312" w:eastAsia="宋体_GB2312"/>
          <w:szCs w:val="24"/>
          <w:lang w:val="en-US"/>
        </w:rPr>
        <w:t>或表</w:t>
      </w:r>
      <w:r>
        <w:rPr>
          <w:rFonts w:ascii="宋体_GB2312" w:hAnsi="宋体_GB2312" w:eastAsia="宋体_GB2312"/>
          <w:szCs w:val="24"/>
          <w:lang w:val="en-US"/>
        </w:rPr>
        <w:t>2</w:t>
      </w:r>
      <w:r>
        <w:rPr>
          <w:rFonts w:hint="eastAsia" w:ascii="宋体_GB2312" w:hAnsi="宋体_GB2312" w:eastAsia="宋体_GB2312"/>
          <w:szCs w:val="24"/>
          <w:lang w:val="en-US"/>
        </w:rPr>
        <w:t>的要求。</w:t>
      </w:r>
    </w:p>
    <w:p>
      <w:pPr>
        <w:pStyle w:val="4"/>
        <w:rPr>
          <w:rFonts w:ascii="宋体_GB2312" w:hAnsi="宋体_GB2312" w:eastAsia="宋体_GB2312"/>
        </w:rPr>
      </w:pPr>
      <w:bookmarkStart w:id="136" w:name="_Toc402248594"/>
      <w:r>
        <w:rPr>
          <w:rFonts w:ascii="宋体_GB2312" w:hAnsi="宋体_GB2312" w:eastAsia="宋体_GB2312"/>
        </w:rPr>
        <w:t>6.4.1.2</w:t>
      </w:r>
      <w:r>
        <w:rPr>
          <w:rFonts w:hint="eastAsia" w:ascii="宋体_GB2312" w:hAnsi="宋体_GB2312" w:eastAsia="宋体_GB2312"/>
        </w:rPr>
        <w:t>替代法</w:t>
      </w:r>
    </w:p>
    <w:p>
      <w:pPr>
        <w:rPr>
          <w:rFonts w:ascii="宋体_GB2312" w:hAnsi="宋体_GB2312" w:eastAsia="宋体_GB2312"/>
          <w:szCs w:val="24"/>
          <w:lang w:val="en-US"/>
        </w:rPr>
      </w:pPr>
      <w:r>
        <w:rPr>
          <w:rFonts w:hint="eastAsia" w:ascii="宋体_GB2312" w:hAnsi="宋体_GB2312" w:eastAsia="宋体_GB2312"/>
          <w:szCs w:val="24"/>
          <w:lang w:val="en-US"/>
        </w:rPr>
        <w:t>（1）测试原理</w:t>
      </w:r>
    </w:p>
    <w:p>
      <w:pPr>
        <w:rPr>
          <w:rFonts w:ascii="宋体_GB2312" w:hAnsi="宋体_GB2312" w:eastAsia="宋体_GB2312"/>
          <w:szCs w:val="24"/>
          <w:lang w:val="en-US"/>
        </w:rPr>
      </w:pPr>
      <w:r>
        <w:rPr>
          <w:rFonts w:hint="eastAsia" w:ascii="宋体_GB2312" w:hAnsi="宋体_GB2312" w:eastAsia="宋体_GB2312"/>
          <w:szCs w:val="24"/>
          <w:lang w:val="en-US"/>
        </w:rPr>
        <w:t>测试原理如图</w:t>
      </w:r>
      <w:r>
        <w:rPr>
          <w:rFonts w:ascii="宋体_GB2312" w:hAnsi="宋体_GB2312" w:eastAsia="宋体_GB2312"/>
          <w:szCs w:val="24"/>
          <w:lang w:val="en-US"/>
        </w:rPr>
        <w:t>2</w:t>
      </w:r>
      <w:r>
        <w:rPr>
          <w:rFonts w:hint="eastAsia" w:ascii="宋体_GB2312" w:hAnsi="宋体_GB2312" w:eastAsia="宋体_GB2312"/>
          <w:szCs w:val="24"/>
          <w:lang w:val="en-US"/>
        </w:rPr>
        <w:t>所示。</w:t>
      </w:r>
    </w:p>
    <w:p>
      <w:pPr>
        <w:rPr>
          <w:rFonts w:ascii="宋体_GB2312" w:hAnsi="宋体_GB2312" w:eastAsia="宋体_GB2312"/>
        </w:rPr>
      </w:pPr>
      <w:r>
        <w:rPr>
          <w:rFonts w:ascii="宋体_GB2312" w:hAnsi="宋体_GB2312" w:eastAsia="宋体_GB2312"/>
          <w:szCs w:val="24"/>
          <w:lang w:val="en-US"/>
        </w:rPr>
        <w:drawing>
          <wp:inline distT="0" distB="0" distL="0" distR="0">
            <wp:extent cx="5160010" cy="2283460"/>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3"/>
                    <a:stretch>
                      <a:fillRect/>
                    </a:stretch>
                  </pic:blipFill>
                  <pic:spPr>
                    <a:xfrm>
                      <a:off x="0" y="0"/>
                      <a:ext cx="5163062" cy="2284640"/>
                    </a:xfrm>
                    <a:prstGeom prst="rect">
                      <a:avLst/>
                    </a:prstGeom>
                  </pic:spPr>
                </pic:pic>
              </a:graphicData>
            </a:graphic>
          </wp:inline>
        </w:drawing>
      </w:r>
    </w:p>
    <w:p>
      <w:pPr>
        <w:rPr>
          <w:rFonts w:ascii="宋体_GB2312" w:hAnsi="宋体_GB2312" w:eastAsia="宋体_GB2312"/>
          <w:szCs w:val="24"/>
          <w:lang w:val="en-US"/>
        </w:rPr>
      </w:pPr>
      <w:r>
        <w:rPr>
          <w:rFonts w:hint="eastAsia" w:ascii="宋体_GB2312" w:hAnsi="宋体_GB2312" w:eastAsia="宋体_GB2312"/>
          <w:szCs w:val="24"/>
          <w:lang w:val="en-US"/>
        </w:rPr>
        <w:t>（2）测试步骤</w:t>
      </w:r>
    </w:p>
    <w:p>
      <w:pPr>
        <w:rPr>
          <w:rFonts w:ascii="宋体_GB2312" w:hAnsi="宋体_GB2312" w:eastAsia="宋体_GB2312"/>
          <w:szCs w:val="24"/>
          <w:lang w:val="en-US"/>
        </w:rPr>
      </w:pPr>
      <w:r>
        <w:rPr>
          <w:rFonts w:hint="eastAsia" w:ascii="宋体_GB2312" w:hAnsi="宋体_GB2312" w:eastAsia="宋体_GB2312"/>
          <w:szCs w:val="24"/>
          <w:lang w:val="en-US"/>
        </w:rPr>
        <w:t>测试步骤如下：</w:t>
      </w:r>
    </w:p>
    <w:p>
      <w:pPr>
        <w:rPr>
          <w:rFonts w:ascii="宋体_GB2312" w:hAnsi="宋体_GB2312" w:eastAsia="宋体_GB2312"/>
          <w:szCs w:val="24"/>
          <w:lang w:val="en-US"/>
        </w:rPr>
      </w:pPr>
      <w:r>
        <w:rPr>
          <w:rFonts w:ascii="宋体_GB2312" w:hAnsi="宋体_GB2312" w:eastAsia="宋体_GB2312"/>
          <w:szCs w:val="24"/>
          <w:lang w:val="en-US"/>
        </w:rPr>
        <w:t>1)</w:t>
      </w:r>
      <w:r>
        <w:rPr>
          <w:rFonts w:hint="eastAsia" w:ascii="宋体_GB2312" w:hAnsi="宋体_GB2312" w:eastAsia="宋体_GB2312"/>
          <w:szCs w:val="24"/>
          <w:lang w:val="en-US"/>
        </w:rPr>
        <w:t>测试系统清零，制备好滤模单元输出光纤端面，使光纤端面与检测单元相耦合，测量并记录输入光功率</w:t>
      </w:r>
      <w:r>
        <w:rPr>
          <w:rFonts w:ascii="宋体_GB2312" w:hAnsi="宋体_GB2312" w:eastAsia="宋体_GB2312"/>
          <w:szCs w:val="24"/>
          <w:lang w:val="en-US"/>
        </w:rPr>
        <w:t>P</w:t>
      </w:r>
      <w:r>
        <w:rPr>
          <w:rFonts w:ascii="宋体_GB2312" w:hAnsi="宋体_GB2312" w:eastAsia="宋体_GB2312"/>
          <w:sz w:val="20"/>
          <w:szCs w:val="24"/>
          <w:lang w:val="en-US"/>
        </w:rPr>
        <w:t>in</w:t>
      </w:r>
      <w:r>
        <w:rPr>
          <w:rFonts w:hint="eastAsia" w:ascii="宋体_GB2312" w:hAnsi="宋体_GB2312" w:eastAsia="宋体_GB2312"/>
          <w:szCs w:val="24"/>
          <w:lang w:val="en-US"/>
        </w:rPr>
        <w:t>，如图</w:t>
      </w:r>
      <w:r>
        <w:rPr>
          <w:rFonts w:ascii="宋体_GB2312" w:hAnsi="宋体_GB2312" w:eastAsia="宋体_GB2312"/>
          <w:szCs w:val="24"/>
          <w:lang w:val="en-US"/>
        </w:rPr>
        <w:t>2a)</w:t>
      </w:r>
      <w:r>
        <w:rPr>
          <w:rFonts w:hint="eastAsia" w:ascii="宋体_GB2312" w:hAnsi="宋体_GB2312" w:eastAsia="宋体_GB2312"/>
          <w:szCs w:val="24"/>
          <w:lang w:val="en-US"/>
        </w:rPr>
        <w:t>所示；</w:t>
      </w:r>
    </w:p>
    <w:p>
      <w:pPr>
        <w:rPr>
          <w:rFonts w:ascii="宋体_GB2312" w:hAnsi="宋体_GB2312" w:eastAsia="宋体_GB2312"/>
          <w:szCs w:val="24"/>
          <w:lang w:val="en-US"/>
        </w:rPr>
      </w:pPr>
      <w:r>
        <w:rPr>
          <w:rFonts w:ascii="宋体_GB2312" w:hAnsi="宋体_GB2312" w:eastAsia="宋体_GB2312"/>
          <w:szCs w:val="24"/>
          <w:lang w:val="en-US"/>
        </w:rPr>
        <w:t>2)</w:t>
      </w:r>
      <w:r>
        <w:rPr>
          <w:rFonts w:hint="eastAsia" w:ascii="宋体_GB2312" w:hAnsi="宋体_GB2312" w:eastAsia="宋体_GB2312"/>
          <w:szCs w:val="24"/>
          <w:lang w:val="en-US"/>
        </w:rPr>
        <w:t>在滤模单元后面的尾纤熔接入被测</w:t>
      </w:r>
      <w:r>
        <w:rPr>
          <w:rFonts w:ascii="宋体_GB2312" w:hAnsi="宋体_GB2312" w:eastAsia="宋体_GB2312"/>
          <w:szCs w:val="24"/>
          <w:lang w:val="en-US"/>
        </w:rPr>
        <w:t>PLC</w:t>
      </w:r>
      <w:r>
        <w:rPr>
          <w:rFonts w:hint="eastAsia" w:ascii="宋体_GB2312" w:hAnsi="宋体_GB2312" w:eastAsia="宋体_GB2312"/>
          <w:szCs w:val="24"/>
          <w:lang w:val="en-US"/>
        </w:rPr>
        <w:t>器件，如图</w:t>
      </w:r>
      <w:r>
        <w:rPr>
          <w:rFonts w:ascii="宋体_GB2312" w:hAnsi="宋体_GB2312" w:eastAsia="宋体_GB2312"/>
          <w:szCs w:val="24"/>
          <w:lang w:val="en-US"/>
        </w:rPr>
        <w:t>2b)</w:t>
      </w:r>
      <w:r>
        <w:rPr>
          <w:rFonts w:hint="eastAsia" w:ascii="宋体_GB2312" w:hAnsi="宋体_GB2312" w:eastAsia="宋体_GB2312"/>
          <w:szCs w:val="24"/>
          <w:lang w:val="en-US"/>
        </w:rPr>
        <w:t>所示，</w:t>
      </w:r>
      <w:r>
        <w:rPr>
          <w:rFonts w:ascii="宋体_GB2312" w:hAnsi="宋体_GB2312" w:eastAsia="宋体_GB2312"/>
          <w:szCs w:val="24"/>
          <w:lang w:val="en-US"/>
        </w:rPr>
        <w:t>L</w:t>
      </w:r>
      <w:r>
        <w:rPr>
          <w:rFonts w:ascii="宋体_GB2312" w:hAnsi="宋体_GB2312" w:eastAsia="宋体_GB2312"/>
          <w:sz w:val="18"/>
          <w:szCs w:val="24"/>
          <w:lang w:val="en-US"/>
        </w:rPr>
        <w:t>1</w:t>
      </w:r>
      <w:r>
        <w:rPr>
          <w:rFonts w:hint="eastAsia" w:ascii="宋体_GB2312" w:hAnsi="宋体_GB2312" w:eastAsia="宋体_GB2312"/>
          <w:szCs w:val="24"/>
          <w:lang w:val="en-US"/>
        </w:rPr>
        <w:t>为输入端尾纤长度，</w:t>
      </w:r>
      <w:r>
        <w:rPr>
          <w:rFonts w:ascii="宋体_GB2312" w:hAnsi="宋体_GB2312" w:eastAsia="宋体_GB2312"/>
          <w:szCs w:val="24"/>
          <w:lang w:val="en-US"/>
        </w:rPr>
        <w:t>L</w:t>
      </w:r>
      <w:r>
        <w:rPr>
          <w:rFonts w:ascii="宋体_GB2312" w:hAnsi="宋体_GB2312" w:eastAsia="宋体_GB2312"/>
          <w:sz w:val="18"/>
          <w:szCs w:val="24"/>
          <w:lang w:val="en-US"/>
        </w:rPr>
        <w:t>2</w:t>
      </w:r>
      <w:r>
        <w:rPr>
          <w:rFonts w:hint="eastAsia" w:ascii="宋体_GB2312" w:hAnsi="宋体_GB2312" w:eastAsia="宋体_GB2312"/>
          <w:szCs w:val="24"/>
          <w:lang w:val="en-US"/>
        </w:rPr>
        <w:t>为输出端尾纤长度；</w:t>
      </w:r>
    </w:p>
    <w:p>
      <w:pPr>
        <w:rPr>
          <w:rFonts w:ascii="宋体_GB2312" w:hAnsi="宋体_GB2312" w:eastAsia="宋体_GB2312"/>
          <w:szCs w:val="24"/>
          <w:lang w:val="en-US"/>
        </w:rPr>
      </w:pPr>
      <w:r>
        <w:rPr>
          <w:rFonts w:ascii="宋体_GB2312" w:hAnsi="宋体_GB2312" w:eastAsia="宋体_GB2312"/>
          <w:szCs w:val="24"/>
          <w:lang w:val="en-US"/>
        </w:rPr>
        <w:t>3)</w:t>
      </w:r>
      <w:r>
        <w:rPr>
          <w:rFonts w:hint="eastAsia" w:ascii="宋体_GB2312" w:hAnsi="宋体_GB2312" w:eastAsia="宋体_GB2312"/>
          <w:szCs w:val="24"/>
          <w:lang w:val="en-US"/>
        </w:rPr>
        <w:t>测试并记录第i输出端口的输出光功率</w:t>
      </w:r>
      <w:r>
        <w:rPr>
          <w:rFonts w:ascii="宋体_GB2312" w:hAnsi="宋体_GB2312" w:eastAsia="宋体_GB2312"/>
          <w:szCs w:val="24"/>
          <w:lang w:val="en-US"/>
        </w:rPr>
        <w:t>Pout</w:t>
      </w:r>
      <w:r>
        <w:rPr>
          <w:rFonts w:hint="eastAsia" w:ascii="宋体_GB2312" w:hAnsi="宋体_GB2312" w:eastAsia="宋体_GB2312"/>
          <w:szCs w:val="24"/>
          <w:lang w:val="en-US"/>
        </w:rPr>
        <w:t>i；</w:t>
      </w:r>
    </w:p>
    <w:p>
      <w:pPr>
        <w:rPr>
          <w:rFonts w:ascii="宋体_GB2312" w:hAnsi="宋体_GB2312" w:eastAsia="宋体_GB2312"/>
        </w:rPr>
      </w:pPr>
      <w:r>
        <w:rPr>
          <w:rFonts w:ascii="宋体_GB2312" w:hAnsi="宋体_GB2312" w:eastAsia="宋体_GB2312" w:cs="AdobeHeitiStd-Regular"/>
          <w:szCs w:val="24"/>
          <w:lang w:val="en-US"/>
        </w:rPr>
        <w:t>4)</w:t>
      </w:r>
      <w:r>
        <w:rPr>
          <w:rFonts w:hint="eastAsia" w:ascii="宋体_GB2312" w:hAnsi="宋体_GB2312" w:eastAsia="宋体_GB2312" w:cs="AdobeHeitiStd-Regular"/>
          <w:szCs w:val="24"/>
          <w:lang w:val="en-US"/>
        </w:rPr>
        <w:t>输出功率</w:t>
      </w:r>
      <w:r>
        <w:rPr>
          <w:rFonts w:ascii="宋体_GB2312" w:hAnsi="宋体_GB2312" w:eastAsia="宋体_GB2312" w:cs="AdobeHeitiStd-Regular"/>
          <w:szCs w:val="24"/>
          <w:lang w:val="en-US"/>
        </w:rPr>
        <w:t xml:space="preserve"> (dBm)</w:t>
      </w:r>
      <w:r>
        <w:rPr>
          <w:rFonts w:hint="eastAsia" w:ascii="宋体_GB2312" w:hAnsi="宋体_GB2312" w:eastAsia="宋体_GB2312" w:cs="AdobeHeitiStd-Regular"/>
          <w:szCs w:val="24"/>
          <w:lang w:val="en-US"/>
        </w:rPr>
        <w:t>与输入功率</w:t>
      </w:r>
      <w:r>
        <w:rPr>
          <w:rFonts w:ascii="宋体_GB2312" w:hAnsi="宋体_GB2312" w:eastAsia="宋体_GB2312" w:cs="AdobeHeitiStd-Regular"/>
          <w:szCs w:val="24"/>
          <w:lang w:val="en-US"/>
        </w:rPr>
        <w:t xml:space="preserve"> (dBm)</w:t>
      </w:r>
      <w:r>
        <w:rPr>
          <w:rFonts w:hint="eastAsia" w:ascii="宋体_GB2312" w:hAnsi="宋体_GB2312" w:eastAsia="宋体_GB2312" w:cs="AdobeHeitiStd-Regular"/>
          <w:szCs w:val="24"/>
          <w:lang w:val="en-US"/>
        </w:rPr>
        <w:t>之差则为相关端口的插入损耗，所有端口的指标均应满足</w:t>
      </w:r>
      <w:r>
        <w:rPr>
          <w:rFonts w:hint="eastAsia" w:ascii="宋体_GB2312" w:hAnsi="宋体_GB2312" w:eastAsia="宋体_GB2312" w:cs="AdobeHeitiStd-Regular"/>
          <w:sz w:val="22"/>
          <w:szCs w:val="24"/>
          <w:lang w:val="en-US"/>
        </w:rPr>
        <w:t>表</w:t>
      </w:r>
      <w:r>
        <w:rPr>
          <w:rFonts w:ascii="宋体_GB2312" w:hAnsi="宋体_GB2312" w:eastAsia="宋体_GB2312" w:cs="AdobeHeitiStd-Regular"/>
          <w:sz w:val="22"/>
          <w:szCs w:val="24"/>
          <w:lang w:val="en-US"/>
        </w:rPr>
        <w:t>1</w:t>
      </w:r>
      <w:r>
        <w:rPr>
          <w:rFonts w:hint="eastAsia" w:ascii="宋体_GB2312" w:hAnsi="宋体_GB2312" w:eastAsia="宋体_GB2312" w:cs="AdobeHeitiStd-Regular"/>
          <w:sz w:val="22"/>
          <w:szCs w:val="24"/>
          <w:lang w:val="en-US"/>
        </w:rPr>
        <w:t>或表</w:t>
      </w:r>
      <w:r>
        <w:rPr>
          <w:rFonts w:ascii="宋体_GB2312" w:hAnsi="宋体_GB2312" w:eastAsia="宋体_GB2312" w:cs="AdobeHeitiStd-Regular"/>
          <w:sz w:val="22"/>
          <w:szCs w:val="24"/>
          <w:lang w:val="en-US"/>
        </w:rPr>
        <w:t>2</w:t>
      </w:r>
      <w:r>
        <w:rPr>
          <w:rFonts w:hint="eastAsia" w:ascii="宋体_GB2312" w:hAnsi="宋体_GB2312" w:eastAsia="宋体_GB2312" w:cs="AdobeHeitiStd-Regular"/>
          <w:sz w:val="22"/>
          <w:szCs w:val="24"/>
          <w:lang w:val="en-US"/>
        </w:rPr>
        <w:t>的要求。</w:t>
      </w:r>
    </w:p>
    <w:p>
      <w:pPr>
        <w:pStyle w:val="4"/>
        <w:rPr>
          <w:rFonts w:ascii="宋体_GB2312" w:hAnsi="宋体_GB2312" w:eastAsia="宋体_GB2312"/>
        </w:rPr>
      </w:pPr>
      <w:r>
        <w:rPr>
          <w:rFonts w:ascii="宋体_GB2312" w:hAnsi="宋体_GB2312" w:eastAsia="宋体_GB2312"/>
        </w:rPr>
        <w:t>6.4.2 PLC</w:t>
      </w:r>
      <w:r>
        <w:rPr>
          <w:rFonts w:hint="eastAsia" w:ascii="宋体_GB2312" w:hAnsi="宋体_GB2312" w:eastAsia="宋体_GB2312"/>
        </w:rPr>
        <w:t>组件插入损耗的测试</w:t>
      </w:r>
    </w:p>
    <w:p>
      <w:pPr>
        <w:rPr>
          <w:rFonts w:ascii="宋体_GB2312" w:hAnsi="宋体_GB2312" w:eastAsia="宋体_GB2312"/>
          <w:szCs w:val="24"/>
          <w:lang w:val="en-US"/>
        </w:rPr>
      </w:pPr>
      <w:r>
        <w:rPr>
          <w:rFonts w:hint="eastAsia" w:ascii="宋体_GB2312" w:hAnsi="宋体_GB2312" w:eastAsia="宋体_GB2312"/>
          <w:szCs w:val="24"/>
          <w:lang w:val="en-US"/>
        </w:rPr>
        <w:t>（1）测试原理图</w:t>
      </w:r>
    </w:p>
    <w:p>
      <w:pPr>
        <w:ind w:firstLine="440"/>
        <w:rPr>
          <w:rFonts w:ascii="宋体_GB2312" w:hAnsi="宋体_GB2312" w:eastAsia="宋体_GB2312"/>
        </w:rPr>
      </w:pPr>
      <w:r>
        <w:rPr>
          <w:rFonts w:hint="eastAsia" w:ascii="宋体_GB2312" w:hAnsi="宋体_GB2312" w:eastAsia="宋体_GB2312" w:cs="AdobeHeitiStd-Regular"/>
          <w:sz w:val="22"/>
          <w:szCs w:val="24"/>
          <w:lang w:val="en-US"/>
        </w:rPr>
        <w:t>测试原理如图</w:t>
      </w:r>
      <w:r>
        <w:rPr>
          <w:rFonts w:ascii="宋体_GB2312" w:hAnsi="宋体_GB2312" w:eastAsia="宋体_GB2312" w:cs="AdobeHeitiStd-Regular"/>
          <w:sz w:val="22"/>
          <w:szCs w:val="24"/>
          <w:lang w:val="en-US"/>
        </w:rPr>
        <w:t>3</w:t>
      </w:r>
      <w:r>
        <w:rPr>
          <w:rFonts w:hint="eastAsia" w:ascii="宋体_GB2312" w:hAnsi="宋体_GB2312" w:eastAsia="宋体_GB2312" w:cs="AdobeHeitiStd-Regular"/>
          <w:sz w:val="22"/>
          <w:szCs w:val="24"/>
          <w:lang w:val="en-US"/>
        </w:rPr>
        <w:t>所示。</w:t>
      </w:r>
    </w:p>
    <w:bookmarkEnd w:id="136"/>
    <w:p>
      <w:pPr>
        <w:rPr>
          <w:rFonts w:ascii="宋体_GB2312" w:hAnsi="宋体_GB2312" w:eastAsia="宋体_GB2312"/>
          <w:szCs w:val="24"/>
          <w:lang w:val="en-US"/>
        </w:rPr>
      </w:pPr>
      <w:r>
        <w:rPr>
          <w:rFonts w:ascii="宋体_GB2312" w:hAnsi="宋体_GB2312" w:eastAsia="宋体_GB2312"/>
        </w:rPr>
        <w:drawing>
          <wp:inline distT="0" distB="0" distL="0" distR="0">
            <wp:extent cx="5056505" cy="19837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4"/>
                    <a:stretch>
                      <a:fillRect/>
                    </a:stretch>
                  </pic:blipFill>
                  <pic:spPr>
                    <a:xfrm>
                      <a:off x="0" y="0"/>
                      <a:ext cx="5063811" cy="1986400"/>
                    </a:xfrm>
                    <a:prstGeom prst="rect">
                      <a:avLst/>
                    </a:prstGeom>
                  </pic:spPr>
                </pic:pic>
              </a:graphicData>
            </a:graphic>
          </wp:inline>
        </w:drawing>
      </w:r>
    </w:p>
    <w:p>
      <w:pPr>
        <w:rPr>
          <w:rFonts w:ascii="宋体_GB2312" w:hAnsi="宋体_GB2312" w:eastAsia="宋体_GB2312"/>
          <w:szCs w:val="24"/>
          <w:lang w:val="en-US"/>
        </w:rPr>
      </w:pPr>
      <w:bookmarkStart w:id="137" w:name="_Toc402248595"/>
      <w:r>
        <w:rPr>
          <w:rFonts w:hint="eastAsia" w:ascii="宋体_GB2312" w:hAnsi="宋体_GB2312" w:eastAsia="宋体_GB2312"/>
          <w:szCs w:val="24"/>
          <w:lang w:val="en-US"/>
        </w:rPr>
        <w:t>（2）测试步骤</w:t>
      </w:r>
    </w:p>
    <w:p>
      <w:pPr>
        <w:rPr>
          <w:rFonts w:ascii="宋体_GB2312" w:hAnsi="宋体_GB2312" w:eastAsia="宋体_GB2312"/>
          <w:szCs w:val="24"/>
          <w:lang w:val="en-US"/>
        </w:rPr>
      </w:pPr>
      <w:r>
        <w:rPr>
          <w:rFonts w:hint="eastAsia" w:ascii="宋体_GB2312" w:hAnsi="宋体_GB2312" w:eastAsia="宋体_GB2312"/>
          <w:szCs w:val="24"/>
          <w:lang w:val="en-US"/>
        </w:rPr>
        <w:t>测试步骤如下</w:t>
      </w:r>
      <w:r>
        <w:rPr>
          <w:rFonts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1)</w:t>
      </w:r>
      <w:r>
        <w:rPr>
          <w:rFonts w:hint="eastAsia" w:ascii="宋体_GB2312" w:hAnsi="宋体_GB2312" w:eastAsia="宋体_GB2312"/>
          <w:szCs w:val="24"/>
          <w:lang w:val="en-US"/>
        </w:rPr>
        <w:t>测试系统清零，用</w:t>
      </w:r>
      <w:r>
        <w:rPr>
          <w:rFonts w:ascii="宋体_GB2312" w:hAnsi="宋体_GB2312" w:eastAsia="宋体_GB2312"/>
          <w:szCs w:val="24"/>
          <w:lang w:val="en-US"/>
        </w:rPr>
        <w:t>2</w:t>
      </w:r>
      <w:r>
        <w:rPr>
          <w:rFonts w:hint="eastAsia" w:ascii="宋体_GB2312" w:hAnsi="宋体_GB2312" w:eastAsia="宋体_GB2312"/>
          <w:szCs w:val="24"/>
          <w:lang w:val="en-US"/>
        </w:rPr>
        <w:t>根跳线和适配器连接光源与光功率计，跳线的连接头类型A与P</w:t>
      </w:r>
      <w:r>
        <w:rPr>
          <w:rFonts w:ascii="宋体_GB2312" w:hAnsi="宋体_GB2312" w:eastAsia="宋体_GB2312"/>
          <w:szCs w:val="24"/>
          <w:lang w:val="en-US"/>
        </w:rPr>
        <w:t>LC</w:t>
      </w:r>
      <w:r>
        <w:rPr>
          <w:rFonts w:hint="eastAsia" w:ascii="宋体_GB2312" w:hAnsi="宋体_GB2312" w:eastAsia="宋体_GB2312"/>
          <w:szCs w:val="24"/>
          <w:lang w:val="en-US"/>
        </w:rPr>
        <w:t>分路器的连接头类型相同，如图</w:t>
      </w:r>
      <w:r>
        <w:rPr>
          <w:rFonts w:ascii="宋体_GB2312" w:hAnsi="宋体_GB2312" w:eastAsia="宋体_GB2312"/>
          <w:szCs w:val="24"/>
          <w:lang w:val="en-US"/>
        </w:rPr>
        <w:t>3a)</w:t>
      </w:r>
      <w:r>
        <w:rPr>
          <w:rFonts w:hint="eastAsia" w:ascii="宋体_GB2312" w:hAnsi="宋体_GB2312" w:eastAsia="宋体_GB2312"/>
          <w:szCs w:val="24"/>
          <w:lang w:val="en-US"/>
        </w:rPr>
        <w:t>所示。测量并记录输入光功率</w:t>
      </w:r>
      <w:r>
        <w:rPr>
          <w:rFonts w:ascii="宋体_GB2312" w:hAnsi="宋体_GB2312" w:eastAsia="宋体_GB2312"/>
          <w:szCs w:val="24"/>
          <w:lang w:val="en-US"/>
        </w:rPr>
        <w:t>P</w:t>
      </w:r>
      <w:r>
        <w:rPr>
          <w:rFonts w:ascii="宋体_GB2312" w:hAnsi="宋体_GB2312" w:eastAsia="宋体_GB2312"/>
          <w:sz w:val="18"/>
          <w:szCs w:val="24"/>
          <w:lang w:val="en-US"/>
        </w:rPr>
        <w:t>in</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2)</w:t>
      </w:r>
      <w:r>
        <w:rPr>
          <w:rFonts w:hint="eastAsia" w:ascii="宋体_GB2312" w:hAnsi="宋体_GB2312" w:eastAsia="宋体_GB2312"/>
          <w:szCs w:val="24"/>
          <w:lang w:val="en-US"/>
        </w:rPr>
        <w:t>在</w:t>
      </w:r>
      <w:r>
        <w:rPr>
          <w:rFonts w:ascii="宋体_GB2312" w:hAnsi="宋体_GB2312" w:eastAsia="宋体_GB2312"/>
          <w:szCs w:val="24"/>
          <w:lang w:val="en-US"/>
        </w:rPr>
        <w:t>2</w:t>
      </w:r>
      <w:r>
        <w:rPr>
          <w:rFonts w:hint="eastAsia" w:ascii="宋体_GB2312" w:hAnsi="宋体_GB2312" w:eastAsia="宋体_GB2312"/>
          <w:szCs w:val="24"/>
          <w:lang w:val="en-US"/>
        </w:rPr>
        <w:t>根跳线之间接入被测</w:t>
      </w:r>
      <w:r>
        <w:rPr>
          <w:rFonts w:ascii="宋体_GB2312" w:hAnsi="宋体_GB2312" w:eastAsia="宋体_GB2312"/>
          <w:szCs w:val="24"/>
          <w:lang w:val="en-US"/>
        </w:rPr>
        <w:t>PLC</w:t>
      </w:r>
      <w:r>
        <w:rPr>
          <w:rFonts w:hint="eastAsia" w:ascii="宋体_GB2312" w:hAnsi="宋体_GB2312" w:eastAsia="宋体_GB2312"/>
          <w:szCs w:val="24"/>
          <w:lang w:val="en-US"/>
        </w:rPr>
        <w:t>组件，如图</w:t>
      </w:r>
      <w:r>
        <w:rPr>
          <w:rFonts w:ascii="宋体_GB2312" w:hAnsi="宋体_GB2312" w:eastAsia="宋体_GB2312"/>
          <w:szCs w:val="24"/>
          <w:lang w:val="en-US"/>
        </w:rPr>
        <w:t>3b)</w:t>
      </w:r>
      <w:r>
        <w:rPr>
          <w:rFonts w:hint="eastAsia" w:ascii="宋体_GB2312" w:hAnsi="宋体_GB2312" w:eastAsia="宋体_GB2312"/>
          <w:szCs w:val="24"/>
          <w:lang w:val="en-US"/>
        </w:rPr>
        <w:t>所示；</w:t>
      </w:r>
    </w:p>
    <w:p>
      <w:pPr>
        <w:rPr>
          <w:rFonts w:ascii="宋体_GB2312" w:hAnsi="宋体_GB2312" w:eastAsia="宋体_GB2312"/>
          <w:szCs w:val="24"/>
          <w:lang w:val="en-US"/>
        </w:rPr>
      </w:pPr>
      <w:r>
        <w:rPr>
          <w:rFonts w:ascii="宋体_GB2312" w:hAnsi="宋体_GB2312" w:eastAsia="宋体_GB2312" w:cs="AdobeHeitiStd-Regular"/>
          <w:szCs w:val="24"/>
          <w:lang w:val="en-US"/>
        </w:rPr>
        <w:t>3)</w:t>
      </w:r>
      <w:r>
        <w:rPr>
          <w:rFonts w:hint="eastAsia" w:ascii="宋体_GB2312" w:hAnsi="宋体_GB2312" w:eastAsia="宋体_GB2312" w:cs="AdobeHeitiStd-Regular"/>
          <w:szCs w:val="24"/>
          <w:lang w:val="en-US"/>
        </w:rPr>
        <w:t>测试并记录第</w:t>
      </w:r>
      <w:r>
        <w:rPr>
          <w:rFonts w:hint="eastAsia" w:ascii="宋体_GB2312" w:hAnsi="宋体_GB2312" w:eastAsia="宋体_GB2312"/>
          <w:szCs w:val="24"/>
          <w:lang w:val="en-US"/>
        </w:rPr>
        <w:t>i</w:t>
      </w:r>
      <w:r>
        <w:rPr>
          <w:rFonts w:hint="eastAsia" w:ascii="宋体_GB2312" w:hAnsi="宋体_GB2312" w:eastAsia="宋体_GB2312" w:cs="AdobeHeitiStd-Regular"/>
          <w:szCs w:val="24"/>
          <w:lang w:val="en-US"/>
        </w:rPr>
        <w:t>输出端口的输出光功率</w:t>
      </w:r>
      <w:r>
        <w:rPr>
          <w:rFonts w:hint="eastAsia" w:ascii="宋体_GB2312" w:hAnsi="宋体_GB2312" w:eastAsia="宋体_GB2312"/>
          <w:szCs w:val="24"/>
          <w:lang w:val="en-US"/>
        </w:rPr>
        <w:t>P</w:t>
      </w:r>
      <w:r>
        <w:rPr>
          <w:rFonts w:ascii="宋体_GB2312" w:hAnsi="宋体_GB2312" w:eastAsia="宋体_GB2312" w:cs="AdobeHeitiStd-Regular"/>
          <w:sz w:val="18"/>
          <w:szCs w:val="24"/>
          <w:lang w:val="en-US"/>
        </w:rPr>
        <w:t>out</w:t>
      </w:r>
      <w:r>
        <w:rPr>
          <w:rFonts w:ascii="宋体_GB2312" w:hAnsi="宋体_GB2312" w:eastAsia="宋体_GB2312"/>
          <w:sz w:val="18"/>
          <w:szCs w:val="24"/>
          <w:lang w:val="en-US"/>
        </w:rPr>
        <w:t>i</w:t>
      </w:r>
      <w:r>
        <w:rPr>
          <w:rFonts w:hint="eastAsia" w:ascii="宋体_GB2312" w:hAnsi="宋体_GB2312" w:eastAsia="宋体_GB2312"/>
          <w:sz w:val="18"/>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4)</w:t>
      </w:r>
      <w:r>
        <w:rPr>
          <w:rFonts w:hint="eastAsia" w:ascii="宋体_GB2312" w:hAnsi="宋体_GB2312" w:eastAsia="宋体_GB2312"/>
          <w:szCs w:val="24"/>
          <w:lang w:val="en-US"/>
        </w:rPr>
        <w:t>输出光功率P</w:t>
      </w:r>
      <w:r>
        <w:rPr>
          <w:rFonts w:ascii="宋体_GB2312" w:hAnsi="宋体_GB2312" w:eastAsia="宋体_GB2312"/>
          <w:sz w:val="18"/>
          <w:szCs w:val="24"/>
          <w:lang w:val="en-US"/>
        </w:rPr>
        <w:t>out</w:t>
      </w:r>
      <w:r>
        <w:rPr>
          <w:rFonts w:hint="eastAsia" w:ascii="宋体_GB2312" w:hAnsi="宋体_GB2312" w:eastAsia="宋体_GB2312"/>
          <w:sz w:val="18"/>
          <w:szCs w:val="24"/>
          <w:lang w:val="en-US"/>
        </w:rPr>
        <w:t>i</w:t>
      </w:r>
      <w:r>
        <w:rPr>
          <w:rFonts w:ascii="宋体_GB2312" w:hAnsi="宋体_GB2312" w:eastAsia="宋体_GB2312"/>
          <w:szCs w:val="24"/>
          <w:lang w:val="en-US"/>
        </w:rPr>
        <w:t xml:space="preserve"> (dBm)</w:t>
      </w:r>
      <w:r>
        <w:rPr>
          <w:rFonts w:hint="eastAsia" w:ascii="宋体_GB2312" w:hAnsi="宋体_GB2312" w:eastAsia="宋体_GB2312"/>
          <w:szCs w:val="24"/>
          <w:lang w:val="en-US"/>
        </w:rPr>
        <w:t>与输入光功率</w:t>
      </w:r>
      <w:r>
        <w:rPr>
          <w:rFonts w:ascii="宋体_GB2312" w:hAnsi="宋体_GB2312" w:eastAsia="宋体_GB2312"/>
          <w:szCs w:val="24"/>
          <w:lang w:val="en-US"/>
        </w:rPr>
        <w:t>P</w:t>
      </w:r>
      <w:r>
        <w:rPr>
          <w:rFonts w:hint="eastAsia" w:ascii="宋体_GB2312" w:hAnsi="宋体_GB2312" w:eastAsia="宋体_GB2312"/>
          <w:sz w:val="18"/>
          <w:szCs w:val="24"/>
          <w:lang w:val="en-US"/>
        </w:rPr>
        <w:t>in</w:t>
      </w:r>
      <w:r>
        <w:rPr>
          <w:rFonts w:ascii="宋体_GB2312" w:hAnsi="宋体_GB2312" w:eastAsia="宋体_GB2312"/>
          <w:szCs w:val="24"/>
          <w:lang w:val="en-US"/>
        </w:rPr>
        <w:t xml:space="preserve"> (dBm)</w:t>
      </w:r>
      <w:r>
        <w:rPr>
          <w:rFonts w:hint="eastAsia" w:ascii="宋体_GB2312" w:hAnsi="宋体_GB2312" w:eastAsia="宋体_GB2312"/>
          <w:szCs w:val="24"/>
          <w:lang w:val="en-US"/>
        </w:rPr>
        <w:t>之差则为第i端口的插入损耗，所有端口的指标均应满足表</w:t>
      </w:r>
      <w:r>
        <w:rPr>
          <w:rFonts w:ascii="宋体_GB2312" w:hAnsi="宋体_GB2312" w:eastAsia="宋体_GB2312"/>
          <w:szCs w:val="24"/>
          <w:lang w:val="en-US"/>
        </w:rPr>
        <w:t>1</w:t>
      </w:r>
      <w:r>
        <w:rPr>
          <w:rFonts w:hint="eastAsia" w:ascii="宋体_GB2312" w:hAnsi="宋体_GB2312" w:eastAsia="宋体_GB2312"/>
          <w:szCs w:val="24"/>
          <w:lang w:val="en-US"/>
        </w:rPr>
        <w:t>或表</w:t>
      </w:r>
      <w:r>
        <w:rPr>
          <w:rFonts w:ascii="宋体_GB2312" w:hAnsi="宋体_GB2312" w:eastAsia="宋体_GB2312"/>
          <w:szCs w:val="24"/>
          <w:lang w:val="en-US"/>
        </w:rPr>
        <w:t>2</w:t>
      </w:r>
      <w:r>
        <w:rPr>
          <w:rFonts w:hint="eastAsia" w:ascii="宋体_GB2312" w:hAnsi="宋体_GB2312" w:eastAsia="宋体_GB2312"/>
          <w:szCs w:val="24"/>
          <w:lang w:val="en-US"/>
        </w:rPr>
        <w:t>的要求。</w:t>
      </w:r>
    </w:p>
    <w:p>
      <w:pPr>
        <w:ind w:firstLine="420"/>
        <w:rPr>
          <w:rFonts w:ascii="宋体_GB2312" w:hAnsi="宋体_GB2312" w:eastAsia="宋体_GB2312"/>
          <w:sz w:val="21"/>
          <w:szCs w:val="24"/>
          <w:lang w:val="en-US"/>
        </w:rPr>
      </w:pPr>
      <w:r>
        <w:rPr>
          <w:rFonts w:hint="eastAsia" w:ascii="宋体_GB2312" w:hAnsi="宋体_GB2312" w:eastAsia="宋体_GB2312" w:cs="AdobeHeitiStd-Regular"/>
          <w:sz w:val="21"/>
          <w:szCs w:val="24"/>
          <w:lang w:val="en-US"/>
        </w:rPr>
        <w:t>注</w:t>
      </w:r>
      <w:r>
        <w:rPr>
          <w:rFonts w:ascii="宋体_GB2312" w:hAnsi="宋体_GB2312" w:eastAsia="宋体_GB2312" w:cs="AdobeHeitiStd-Regular"/>
          <w:sz w:val="21"/>
          <w:szCs w:val="24"/>
          <w:lang w:val="en-US"/>
        </w:rPr>
        <w:t>:</w:t>
      </w:r>
      <w:r>
        <w:rPr>
          <w:rFonts w:hint="eastAsia" w:ascii="宋体_GB2312" w:hAnsi="宋体_GB2312" w:eastAsia="宋体_GB2312" w:cs="AdobeHeitiStd-Regular"/>
          <w:sz w:val="21"/>
          <w:szCs w:val="24"/>
          <w:lang w:val="en-US"/>
        </w:rPr>
        <w:t>也可采用宽带光源</w:t>
      </w:r>
      <w:r>
        <w:rPr>
          <w:rFonts w:ascii="宋体_GB2312" w:hAnsi="宋体_GB2312" w:eastAsia="宋体_GB2312" w:cs="AdobeHeitiStd-Regular"/>
          <w:sz w:val="21"/>
          <w:szCs w:val="24"/>
          <w:lang w:val="en-US"/>
        </w:rPr>
        <w:t>+</w:t>
      </w:r>
      <w:r>
        <w:rPr>
          <w:rFonts w:hint="eastAsia" w:ascii="宋体_GB2312" w:hAnsi="宋体_GB2312" w:eastAsia="宋体_GB2312" w:cs="AdobeHeitiStd-Regular"/>
          <w:sz w:val="21"/>
          <w:szCs w:val="24"/>
          <w:lang w:val="en-US"/>
        </w:rPr>
        <w:t>光谱仪的方法进行测试。</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38" w:name="_Toc17184335"/>
      <w:bookmarkStart w:id="139" w:name="_Toc4018"/>
      <w:r>
        <w:rPr>
          <w:rFonts w:ascii="宋体_GB2312" w:hAnsi="宋体_GB2312" w:eastAsia="宋体_GB2312"/>
          <w:kern w:val="0"/>
          <w:szCs w:val="32"/>
          <w:lang w:val="en-US"/>
        </w:rPr>
        <w:t>6.5</w:t>
      </w:r>
      <w:r>
        <w:rPr>
          <w:rFonts w:hint="eastAsia" w:ascii="宋体_GB2312" w:hAnsi="宋体_GB2312" w:eastAsia="宋体_GB2312"/>
          <w:kern w:val="0"/>
          <w:szCs w:val="32"/>
          <w:lang w:val="en-US"/>
        </w:rPr>
        <w:t>方向性测试</w:t>
      </w:r>
      <w:bookmarkEnd w:id="137"/>
      <w:bookmarkEnd w:id="138"/>
      <w:bookmarkEnd w:id="139"/>
    </w:p>
    <w:p>
      <w:pPr>
        <w:pStyle w:val="4"/>
        <w:rPr>
          <w:rFonts w:ascii="宋体_GB2312" w:hAnsi="宋体_GB2312" w:eastAsia="宋体_GB2312" w:cs="AdobeHeitiStd-Regular"/>
        </w:rPr>
      </w:pPr>
      <w:r>
        <w:rPr>
          <w:rFonts w:ascii="宋体_GB2312" w:hAnsi="宋体_GB2312" w:eastAsia="宋体_GB2312" w:cs="AdobeHeitiStd-Regular"/>
        </w:rPr>
        <w:t>6.5.1 PLC</w:t>
      </w:r>
      <w:r>
        <w:rPr>
          <w:rFonts w:hint="eastAsia" w:ascii="宋体_GB2312" w:hAnsi="宋体_GB2312" w:eastAsia="宋体_GB2312" w:cs="AdobeHeitiStd-Regular"/>
        </w:rPr>
        <w:t>器件方向性测试</w:t>
      </w:r>
      <w:r>
        <w:rPr>
          <w:rFonts w:ascii="宋体_GB2312" w:hAnsi="宋体_GB2312" w:eastAsia="宋体_GB2312" w:cs="AdobeHeitiStd-Regular"/>
        </w:rPr>
        <w:t>(</w:t>
      </w:r>
      <w:r>
        <w:rPr>
          <w:rFonts w:hint="eastAsia" w:ascii="宋体_GB2312" w:hAnsi="宋体_GB2312" w:eastAsia="宋体_GB2312" w:cs="AdobeHeitiStd-Regular"/>
        </w:rPr>
        <w:t>替代法</w:t>
      </w:r>
      <w:r>
        <w:rPr>
          <w:rFonts w:ascii="宋体_GB2312" w:hAnsi="宋体_GB2312" w:eastAsia="宋体_GB2312" w:cs="AdobeHeitiStd-Regular"/>
        </w:rPr>
        <w:t>)</w:t>
      </w:r>
    </w:p>
    <w:p>
      <w:pPr>
        <w:rPr>
          <w:rFonts w:ascii="宋体_GB2312" w:hAnsi="宋体_GB2312" w:eastAsia="宋体_GB2312"/>
          <w:szCs w:val="24"/>
          <w:lang w:val="en-US"/>
        </w:rPr>
      </w:pPr>
      <w:r>
        <w:rPr>
          <w:rFonts w:hint="eastAsia" w:ascii="宋体_GB2312" w:hAnsi="宋体_GB2312" w:eastAsia="宋体_GB2312"/>
          <w:szCs w:val="24"/>
          <w:lang w:val="en-US"/>
        </w:rPr>
        <w:t>（1）测试原理图</w:t>
      </w:r>
    </w:p>
    <w:p>
      <w:pPr>
        <w:rPr>
          <w:rFonts w:ascii="宋体_GB2312" w:hAnsi="宋体_GB2312" w:eastAsia="宋体_GB2312"/>
          <w:szCs w:val="24"/>
          <w:lang w:val="en-US"/>
        </w:rPr>
      </w:pPr>
      <w:r>
        <w:rPr>
          <w:rFonts w:hint="eastAsia" w:ascii="宋体_GB2312" w:hAnsi="宋体_GB2312" w:eastAsia="宋体_GB2312"/>
          <w:szCs w:val="24"/>
          <w:lang w:val="en-US"/>
        </w:rPr>
        <w:t>测试原理如图</w:t>
      </w:r>
      <w:r>
        <w:rPr>
          <w:rFonts w:ascii="宋体_GB2312" w:hAnsi="宋体_GB2312" w:eastAsia="宋体_GB2312"/>
          <w:szCs w:val="24"/>
          <w:lang w:val="en-US"/>
        </w:rPr>
        <w:t>4</w:t>
      </w:r>
      <w:r>
        <w:rPr>
          <w:rFonts w:hint="eastAsia" w:ascii="宋体_GB2312" w:hAnsi="宋体_GB2312" w:eastAsia="宋体_GB2312"/>
          <w:szCs w:val="24"/>
          <w:lang w:val="en-US"/>
        </w:rPr>
        <w:t>所示。</w:t>
      </w:r>
    </w:p>
    <w:p>
      <w:pPr>
        <w:rPr>
          <w:rFonts w:ascii="宋体_GB2312" w:hAnsi="宋体_GB2312" w:eastAsia="宋体_GB2312"/>
          <w:sz w:val="21"/>
          <w:szCs w:val="24"/>
          <w:lang w:val="en-US"/>
        </w:rPr>
      </w:pPr>
      <w:r>
        <w:rPr>
          <w:rFonts w:ascii="宋体_GB2312" w:hAnsi="宋体_GB2312" w:eastAsia="宋体_GB2312"/>
        </w:rPr>
        <w:drawing>
          <wp:inline distT="0" distB="0" distL="0" distR="0">
            <wp:extent cx="5112385" cy="213677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5"/>
                    <a:stretch>
                      <a:fillRect/>
                    </a:stretch>
                  </pic:blipFill>
                  <pic:spPr>
                    <a:xfrm>
                      <a:off x="0" y="0"/>
                      <a:ext cx="5113312" cy="2137035"/>
                    </a:xfrm>
                    <a:prstGeom prst="rect">
                      <a:avLst/>
                    </a:prstGeom>
                  </pic:spPr>
                </pic:pic>
              </a:graphicData>
            </a:graphic>
          </wp:inline>
        </w:drawing>
      </w:r>
    </w:p>
    <w:p>
      <w:pPr>
        <w:rPr>
          <w:rFonts w:ascii="宋体_GB2312" w:hAnsi="宋体_GB2312" w:eastAsia="宋体_GB2312"/>
          <w:szCs w:val="24"/>
          <w:lang w:val="en-US"/>
        </w:rPr>
      </w:pPr>
      <w:r>
        <w:rPr>
          <w:rFonts w:hint="eastAsia" w:ascii="宋体_GB2312" w:hAnsi="宋体_GB2312" w:eastAsia="宋体_GB2312"/>
          <w:szCs w:val="24"/>
          <w:lang w:val="en-US"/>
        </w:rPr>
        <w:t>（</w:t>
      </w:r>
      <w:r>
        <w:rPr>
          <w:rFonts w:ascii="宋体_GB2312" w:hAnsi="宋体_GB2312" w:eastAsia="宋体_GB2312"/>
          <w:szCs w:val="24"/>
          <w:lang w:val="en-US"/>
        </w:rPr>
        <w:t>2）</w:t>
      </w:r>
      <w:r>
        <w:rPr>
          <w:rFonts w:hint="eastAsia" w:ascii="宋体_GB2312" w:hAnsi="宋体_GB2312" w:eastAsia="宋体_GB2312"/>
          <w:szCs w:val="24"/>
          <w:lang w:val="en-US"/>
        </w:rPr>
        <w:t>测试步骤</w:t>
      </w:r>
    </w:p>
    <w:p>
      <w:pPr>
        <w:rPr>
          <w:rFonts w:ascii="宋体_GB2312" w:hAnsi="宋体_GB2312" w:eastAsia="宋体_GB2312"/>
          <w:szCs w:val="24"/>
          <w:lang w:val="en-US"/>
        </w:rPr>
      </w:pPr>
      <w:r>
        <w:rPr>
          <w:rFonts w:ascii="宋体_GB2312" w:hAnsi="宋体_GB2312" w:eastAsia="宋体_GB2312"/>
          <w:szCs w:val="24"/>
          <w:lang w:val="en-US"/>
        </w:rPr>
        <w:t>1)</w:t>
      </w:r>
      <w:r>
        <w:rPr>
          <w:rFonts w:hint="eastAsia" w:ascii="宋体_GB2312" w:hAnsi="宋体_GB2312" w:eastAsia="宋体_GB2312"/>
          <w:szCs w:val="24"/>
          <w:lang w:val="en-US"/>
        </w:rPr>
        <w:t>测试系统清零，制备好滤模单元输出光纤端面，使光纤端面与检测单元相耦合，测量并记录输入光功率</w:t>
      </w:r>
      <w:r>
        <w:rPr>
          <w:rFonts w:ascii="宋体_GB2312" w:hAnsi="宋体_GB2312" w:eastAsia="宋体_GB2312"/>
          <w:szCs w:val="24"/>
          <w:lang w:val="en-US"/>
        </w:rPr>
        <w:t>P</w:t>
      </w:r>
      <w:r>
        <w:rPr>
          <w:rFonts w:hint="eastAsia" w:ascii="宋体_GB2312" w:hAnsi="宋体_GB2312" w:eastAsia="宋体_GB2312"/>
          <w:sz w:val="18"/>
          <w:szCs w:val="24"/>
          <w:lang w:val="en-US"/>
        </w:rPr>
        <w:t>i</w:t>
      </w:r>
      <w:r>
        <w:rPr>
          <w:rFonts w:hint="eastAsia" w:ascii="宋体_GB2312" w:hAnsi="宋体_GB2312" w:eastAsia="宋体_GB2312"/>
          <w:szCs w:val="24"/>
          <w:lang w:val="en-US"/>
        </w:rPr>
        <w:t>，如图</w:t>
      </w:r>
      <w:r>
        <w:rPr>
          <w:rFonts w:ascii="宋体_GB2312" w:hAnsi="宋体_GB2312" w:eastAsia="宋体_GB2312"/>
          <w:szCs w:val="24"/>
          <w:lang w:val="en-US"/>
        </w:rPr>
        <w:t>4a)</w:t>
      </w:r>
      <w:r>
        <w:rPr>
          <w:rFonts w:hint="eastAsia" w:ascii="宋体_GB2312" w:hAnsi="宋体_GB2312" w:eastAsia="宋体_GB2312"/>
          <w:szCs w:val="24"/>
          <w:lang w:val="en-US"/>
        </w:rPr>
        <w:t>所示；</w:t>
      </w:r>
    </w:p>
    <w:p>
      <w:pPr>
        <w:rPr>
          <w:rFonts w:ascii="宋体_GB2312" w:hAnsi="宋体_GB2312" w:eastAsia="宋体_GB2312"/>
          <w:szCs w:val="24"/>
          <w:lang w:val="en-US"/>
        </w:rPr>
      </w:pPr>
      <w:r>
        <w:rPr>
          <w:rFonts w:ascii="宋体_GB2312" w:hAnsi="宋体_GB2312" w:eastAsia="宋体_GB2312"/>
          <w:szCs w:val="24"/>
          <w:lang w:val="en-US"/>
        </w:rPr>
        <w:t>2)</w:t>
      </w:r>
      <w:r>
        <w:rPr>
          <w:rFonts w:hint="eastAsia" w:ascii="宋体_GB2312" w:hAnsi="宋体_GB2312" w:eastAsia="宋体_GB2312"/>
          <w:szCs w:val="24"/>
          <w:lang w:val="en-US"/>
        </w:rPr>
        <w:t>将滤模单元后面的尾纤与被测器件的</w:t>
      </w:r>
      <w:r>
        <w:rPr>
          <w:rFonts w:ascii="宋体_GB2312" w:hAnsi="宋体_GB2312" w:eastAsia="宋体_GB2312"/>
          <w:szCs w:val="24"/>
          <w:lang w:val="en-US"/>
        </w:rPr>
        <w:t>i</w:t>
      </w:r>
      <w:r>
        <w:rPr>
          <w:rFonts w:hint="eastAsia" w:ascii="宋体_GB2312" w:hAnsi="宋体_GB2312" w:eastAsia="宋体_GB2312"/>
          <w:szCs w:val="24"/>
          <w:lang w:val="en-US"/>
        </w:rPr>
        <w:t>端口熔接，j端口与功率计连接；如图</w:t>
      </w:r>
      <w:r>
        <w:rPr>
          <w:rFonts w:ascii="宋体_GB2312" w:hAnsi="宋体_GB2312" w:eastAsia="宋体_GB2312"/>
          <w:szCs w:val="24"/>
          <w:lang w:val="en-US"/>
        </w:rPr>
        <w:t>4b)</w:t>
      </w:r>
      <w:r>
        <w:rPr>
          <w:rFonts w:hint="eastAsia" w:ascii="宋体_GB2312" w:hAnsi="宋体_GB2312" w:eastAsia="宋体_GB2312"/>
          <w:szCs w:val="24"/>
          <w:lang w:val="en-US"/>
        </w:rPr>
        <w:t>所示；</w:t>
      </w:r>
    </w:p>
    <w:p>
      <w:pPr>
        <w:rPr>
          <w:rFonts w:ascii="宋体_GB2312" w:hAnsi="宋体_GB2312" w:eastAsia="宋体_GB2312"/>
          <w:szCs w:val="24"/>
          <w:lang w:val="en-US"/>
        </w:rPr>
      </w:pPr>
      <w:r>
        <w:rPr>
          <w:rFonts w:ascii="宋体_GB2312" w:hAnsi="宋体_GB2312" w:eastAsia="宋体_GB2312"/>
          <w:szCs w:val="24"/>
          <w:lang w:val="en-US"/>
        </w:rPr>
        <w:t>3)</w:t>
      </w:r>
      <w:r>
        <w:rPr>
          <w:rFonts w:hint="eastAsia" w:ascii="宋体_GB2312" w:hAnsi="宋体_GB2312" w:eastAsia="宋体_GB2312"/>
          <w:szCs w:val="24"/>
          <w:lang w:val="en-US"/>
        </w:rPr>
        <w:t>测量并记录第j端口的输出光功率P</w:t>
      </w:r>
      <w:r>
        <w:rPr>
          <w:rFonts w:hint="eastAsia" w:ascii="宋体_GB2312" w:hAnsi="宋体_GB2312" w:eastAsia="宋体_GB2312"/>
          <w:sz w:val="18"/>
          <w:szCs w:val="24"/>
          <w:lang w:val="en-US"/>
        </w:rPr>
        <w:t>j</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4)</w:t>
      </w:r>
      <w:r>
        <w:rPr>
          <w:rFonts w:hint="eastAsia" w:ascii="宋体_GB2312" w:hAnsi="宋体_GB2312" w:eastAsia="宋体_GB2312"/>
          <w:szCs w:val="24"/>
          <w:lang w:val="en-US"/>
        </w:rPr>
        <w:t>所有端口的指标均应满足表</w:t>
      </w:r>
      <w:r>
        <w:rPr>
          <w:rFonts w:ascii="宋体_GB2312" w:hAnsi="宋体_GB2312" w:eastAsia="宋体_GB2312"/>
          <w:szCs w:val="24"/>
          <w:lang w:val="en-US"/>
        </w:rPr>
        <w:t>1</w:t>
      </w:r>
      <w:r>
        <w:rPr>
          <w:rFonts w:hint="eastAsia" w:ascii="宋体_GB2312" w:hAnsi="宋体_GB2312" w:eastAsia="宋体_GB2312"/>
          <w:szCs w:val="24"/>
          <w:lang w:val="en-US"/>
        </w:rPr>
        <w:t>或表</w:t>
      </w:r>
      <w:r>
        <w:rPr>
          <w:rFonts w:ascii="宋体_GB2312" w:hAnsi="宋体_GB2312" w:eastAsia="宋体_GB2312"/>
          <w:szCs w:val="24"/>
          <w:lang w:val="en-US"/>
        </w:rPr>
        <w:t>2</w:t>
      </w:r>
      <w:r>
        <w:rPr>
          <w:rFonts w:hint="eastAsia" w:ascii="宋体_GB2312" w:hAnsi="宋体_GB2312" w:eastAsia="宋体_GB2312"/>
          <w:szCs w:val="24"/>
          <w:lang w:val="en-US"/>
        </w:rPr>
        <w:t>的要求。</w:t>
      </w:r>
    </w:p>
    <w:p>
      <w:pPr>
        <w:pStyle w:val="4"/>
        <w:rPr>
          <w:rFonts w:ascii="宋体_GB2312" w:hAnsi="宋体_GB2312" w:eastAsia="宋体_GB2312" w:cs="AdobeHeitiStd-Regular"/>
        </w:rPr>
      </w:pPr>
      <w:r>
        <w:rPr>
          <w:rFonts w:ascii="宋体_GB2312" w:hAnsi="宋体_GB2312" w:eastAsia="宋体_GB2312" w:cs="AdobeHeitiStd-Regular"/>
        </w:rPr>
        <w:t>6.5.2 PLC</w:t>
      </w:r>
      <w:r>
        <w:rPr>
          <w:rFonts w:hint="eastAsia" w:ascii="宋体_GB2312" w:hAnsi="宋体_GB2312" w:eastAsia="宋体_GB2312" w:cs="AdobeHeitiStd-Regular"/>
        </w:rPr>
        <w:t>组件方向性测试</w:t>
      </w:r>
    </w:p>
    <w:p>
      <w:pPr>
        <w:rPr>
          <w:rFonts w:ascii="宋体_GB2312" w:hAnsi="宋体_GB2312" w:eastAsia="宋体_GB2312"/>
          <w:szCs w:val="24"/>
          <w:lang w:val="en-US"/>
        </w:rPr>
      </w:pPr>
      <w:r>
        <w:rPr>
          <w:rFonts w:hint="eastAsia" w:ascii="宋体_GB2312" w:hAnsi="宋体_GB2312" w:eastAsia="宋体_GB2312"/>
          <w:szCs w:val="24"/>
          <w:lang w:val="en-US"/>
        </w:rPr>
        <w:t>（1）测试原理图</w:t>
      </w:r>
    </w:p>
    <w:p>
      <w:pPr>
        <w:rPr>
          <w:rFonts w:ascii="宋体_GB2312" w:hAnsi="宋体_GB2312" w:eastAsia="宋体_GB2312"/>
          <w:szCs w:val="24"/>
          <w:lang w:val="en-US"/>
        </w:rPr>
      </w:pPr>
      <w:r>
        <w:rPr>
          <w:rFonts w:hint="eastAsia" w:ascii="宋体_GB2312" w:hAnsi="宋体_GB2312" w:eastAsia="宋体_GB2312"/>
          <w:szCs w:val="24"/>
          <w:lang w:val="en-US"/>
        </w:rPr>
        <w:t>测试原理如图</w:t>
      </w:r>
      <w:r>
        <w:rPr>
          <w:rFonts w:ascii="宋体_GB2312" w:hAnsi="宋体_GB2312" w:eastAsia="宋体_GB2312"/>
          <w:szCs w:val="24"/>
          <w:lang w:val="en-US"/>
        </w:rPr>
        <w:t>5</w:t>
      </w:r>
      <w:r>
        <w:rPr>
          <w:rFonts w:hint="eastAsia" w:ascii="宋体_GB2312" w:hAnsi="宋体_GB2312" w:eastAsia="宋体_GB2312"/>
          <w:szCs w:val="24"/>
          <w:lang w:val="en-US"/>
        </w:rPr>
        <w:t>所示。</w:t>
      </w:r>
    </w:p>
    <w:p>
      <w:pPr>
        <w:rPr>
          <w:rFonts w:ascii="宋体_GB2312" w:hAnsi="宋体_GB2312" w:eastAsia="宋体_GB2312"/>
          <w:szCs w:val="24"/>
          <w:lang w:val="en-US"/>
        </w:rPr>
      </w:pPr>
      <w:r>
        <w:rPr>
          <w:rFonts w:ascii="宋体_GB2312" w:hAnsi="宋体_GB2312" w:eastAsia="宋体_GB2312"/>
        </w:rPr>
        <w:drawing>
          <wp:inline distT="0" distB="0" distL="0" distR="0">
            <wp:extent cx="5112385" cy="27870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6"/>
                    <a:stretch>
                      <a:fillRect/>
                    </a:stretch>
                  </pic:blipFill>
                  <pic:spPr>
                    <a:xfrm>
                      <a:off x="0" y="0"/>
                      <a:ext cx="5120238" cy="2791296"/>
                    </a:xfrm>
                    <a:prstGeom prst="rect">
                      <a:avLst/>
                    </a:prstGeom>
                  </pic:spPr>
                </pic:pic>
              </a:graphicData>
            </a:graphic>
          </wp:inline>
        </w:drawing>
      </w:r>
    </w:p>
    <w:p>
      <w:pPr>
        <w:rPr>
          <w:rFonts w:ascii="宋体_GB2312" w:hAnsi="宋体_GB2312" w:eastAsia="宋体_GB2312"/>
          <w:szCs w:val="24"/>
          <w:lang w:val="en-US"/>
        </w:rPr>
      </w:pPr>
      <w:r>
        <w:rPr>
          <w:rFonts w:hint="eastAsia" w:ascii="宋体_GB2312" w:hAnsi="宋体_GB2312" w:eastAsia="宋体_GB2312"/>
          <w:szCs w:val="24"/>
          <w:lang w:val="en-US"/>
        </w:rPr>
        <w:t xml:space="preserve">（2）测试步骤 </w:t>
      </w:r>
    </w:p>
    <w:p>
      <w:pPr>
        <w:rPr>
          <w:rFonts w:ascii="宋体_GB2312" w:hAnsi="宋体_GB2312" w:eastAsia="宋体_GB2312"/>
          <w:szCs w:val="24"/>
          <w:lang w:val="en-US"/>
        </w:rPr>
      </w:pPr>
      <w:r>
        <w:rPr>
          <w:rFonts w:hint="eastAsia" w:ascii="宋体_GB2312" w:hAnsi="宋体_GB2312" w:eastAsia="宋体_GB2312"/>
          <w:szCs w:val="24"/>
          <w:lang w:val="en-US"/>
        </w:rPr>
        <w:t>1)测试系统清零，用2根跳线连接光源与功率计，如图5a)所示，测量并记录输入光功率P</w:t>
      </w:r>
      <w:r>
        <w:rPr>
          <w:rFonts w:hint="eastAsia" w:ascii="宋体_GB2312" w:hAnsi="宋体_GB2312" w:eastAsia="宋体_GB2312"/>
          <w:sz w:val="18"/>
          <w:szCs w:val="24"/>
          <w:lang w:val="en-US"/>
        </w:rPr>
        <w:t>i</w:t>
      </w:r>
      <w:r>
        <w:rPr>
          <w:rFonts w:hint="eastAsia" w:ascii="宋体_GB2312" w:hAnsi="宋体_GB2312" w:eastAsia="宋体_GB2312"/>
          <w:szCs w:val="24"/>
          <w:lang w:val="en-US"/>
        </w:rPr>
        <w:t xml:space="preserve">； </w:t>
      </w:r>
    </w:p>
    <w:p>
      <w:pPr>
        <w:rPr>
          <w:rFonts w:ascii="宋体_GB2312" w:hAnsi="宋体_GB2312" w:eastAsia="宋体_GB2312"/>
          <w:szCs w:val="24"/>
          <w:lang w:val="en-US"/>
        </w:rPr>
      </w:pPr>
      <w:r>
        <w:rPr>
          <w:rFonts w:hint="eastAsia" w:ascii="宋体_GB2312" w:hAnsi="宋体_GB2312" w:eastAsia="宋体_GB2312"/>
          <w:szCs w:val="24"/>
          <w:lang w:val="en-US"/>
        </w:rPr>
        <w:t xml:space="preserve">2)将光源一端与被测PLC组件i端口连接，被测PLC组件j端口与光功率计连接，如图5b)所示； </w:t>
      </w:r>
    </w:p>
    <w:p>
      <w:pPr>
        <w:rPr>
          <w:rFonts w:ascii="宋体_GB2312" w:hAnsi="宋体_GB2312" w:eastAsia="宋体_GB2312"/>
          <w:szCs w:val="24"/>
          <w:lang w:val="en-US"/>
        </w:rPr>
      </w:pPr>
      <w:r>
        <w:rPr>
          <w:rFonts w:hint="eastAsia" w:ascii="宋体_GB2312" w:hAnsi="宋体_GB2312" w:eastAsia="宋体_GB2312"/>
          <w:szCs w:val="24"/>
          <w:lang w:val="en-US"/>
        </w:rPr>
        <w:t>3)测量并记录第j端口的输出光功率P</w:t>
      </w:r>
      <w:r>
        <w:rPr>
          <w:rFonts w:hint="eastAsia" w:ascii="宋体_GB2312" w:hAnsi="宋体_GB2312" w:eastAsia="宋体_GB2312"/>
          <w:sz w:val="18"/>
          <w:szCs w:val="24"/>
          <w:lang w:val="en-US"/>
        </w:rPr>
        <w:t>j</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ascii="宋体_GB2312" w:hAnsi="宋体_GB2312" w:eastAsia="宋体_GB2312"/>
          <w:szCs w:val="24"/>
          <w:lang w:val="en-US"/>
        </w:rPr>
        <w:t>4)</w:t>
      </w:r>
      <w:r>
        <w:rPr>
          <w:rFonts w:hint="eastAsia" w:ascii="宋体_GB2312" w:hAnsi="宋体_GB2312" w:eastAsia="宋体_GB2312"/>
          <w:szCs w:val="24"/>
          <w:lang w:val="en-US"/>
        </w:rPr>
        <w:t>所有端口的指标均应满足表</w:t>
      </w:r>
      <w:r>
        <w:rPr>
          <w:rFonts w:ascii="宋体_GB2312" w:hAnsi="宋体_GB2312" w:eastAsia="宋体_GB2312"/>
          <w:szCs w:val="24"/>
          <w:lang w:val="en-US"/>
        </w:rPr>
        <w:t>1</w:t>
      </w:r>
      <w:r>
        <w:rPr>
          <w:rFonts w:hint="eastAsia" w:ascii="宋体_GB2312" w:hAnsi="宋体_GB2312" w:eastAsia="宋体_GB2312"/>
          <w:szCs w:val="24"/>
          <w:lang w:val="en-US"/>
        </w:rPr>
        <w:t>或表</w:t>
      </w:r>
      <w:r>
        <w:rPr>
          <w:rFonts w:ascii="宋体_GB2312" w:hAnsi="宋体_GB2312" w:eastAsia="宋体_GB2312"/>
          <w:szCs w:val="24"/>
          <w:lang w:val="en-US"/>
        </w:rPr>
        <w:t>2</w:t>
      </w:r>
      <w:r>
        <w:rPr>
          <w:rFonts w:hint="eastAsia" w:ascii="宋体_GB2312" w:hAnsi="宋体_GB2312" w:eastAsia="宋体_GB2312"/>
          <w:szCs w:val="24"/>
          <w:lang w:val="en-US"/>
        </w:rPr>
        <w:t>的要求。</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40" w:name="_Toc17184336"/>
      <w:bookmarkStart w:id="141" w:name="_Toc32547"/>
      <w:r>
        <w:rPr>
          <w:rFonts w:hint="eastAsia" w:ascii="宋体_GB2312" w:hAnsi="宋体_GB2312" w:eastAsia="宋体_GB2312"/>
          <w:kern w:val="0"/>
          <w:szCs w:val="32"/>
          <w:lang w:val="en-US"/>
        </w:rPr>
        <w:t>6</w:t>
      </w:r>
      <w:r>
        <w:rPr>
          <w:rFonts w:ascii="宋体_GB2312" w:hAnsi="宋体_GB2312" w:eastAsia="宋体_GB2312"/>
          <w:kern w:val="0"/>
          <w:szCs w:val="32"/>
          <w:lang w:val="en-US"/>
        </w:rPr>
        <w:t>.6</w:t>
      </w:r>
      <w:r>
        <w:rPr>
          <w:rFonts w:hint="eastAsia" w:ascii="宋体_GB2312" w:hAnsi="宋体_GB2312" w:eastAsia="宋体_GB2312"/>
          <w:kern w:val="0"/>
          <w:szCs w:val="32"/>
          <w:lang w:val="en-US"/>
        </w:rPr>
        <w:t>通道均匀性测试</w:t>
      </w:r>
      <w:bookmarkEnd w:id="140"/>
      <w:bookmarkEnd w:id="141"/>
    </w:p>
    <w:p>
      <w:pPr>
        <w:rPr>
          <w:rFonts w:ascii="宋体_GB2312" w:hAnsi="宋体_GB2312" w:eastAsia="宋体_GB2312"/>
          <w:szCs w:val="24"/>
          <w:lang w:val="en-US"/>
        </w:rPr>
      </w:pPr>
      <w:r>
        <w:rPr>
          <w:rFonts w:hint="eastAsia" w:ascii="宋体_GB2312" w:hAnsi="宋体_GB2312" w:eastAsia="宋体_GB2312"/>
          <w:szCs w:val="24"/>
          <w:lang w:val="en-US"/>
        </w:rPr>
        <w:t>按6.4.1或6.4.2条规定的测试方法，分别在输入波长条件下，测试 PLC光分路器件各输出端口的插入损耗值，其最大值与最小值的差便是器件的通道均匀性。对于在多个波长下测试的情况，选择其中的最大值作为被测器件的通道均匀性，指标应满足表1或表2的要求。</w:t>
      </w:r>
    </w:p>
    <w:p>
      <w:pPr>
        <w:pStyle w:val="3"/>
        <w:keepNext/>
        <w:spacing w:before="260" w:beforeLines="0" w:after="260" w:line="416" w:lineRule="atLeast"/>
        <w:ind w:right="240"/>
        <w:jc w:val="both"/>
        <w:rPr>
          <w:rFonts w:ascii="宋体_GB2312" w:hAnsi="宋体_GB2312" w:eastAsia="宋体_GB2312"/>
          <w:kern w:val="0"/>
          <w:sz w:val="21"/>
          <w:szCs w:val="32"/>
          <w:lang w:val="en-US"/>
        </w:rPr>
      </w:pPr>
      <w:bookmarkStart w:id="142" w:name="_Toc17184337"/>
      <w:bookmarkStart w:id="143" w:name="_Toc32386"/>
      <w:r>
        <w:rPr>
          <w:rFonts w:hint="eastAsia" w:ascii="宋体_GB2312" w:hAnsi="宋体_GB2312" w:eastAsia="宋体_GB2312"/>
          <w:kern w:val="0"/>
          <w:szCs w:val="32"/>
          <w:lang w:val="en-US"/>
        </w:rPr>
        <w:t>6</w:t>
      </w:r>
      <w:r>
        <w:rPr>
          <w:rFonts w:ascii="宋体_GB2312" w:hAnsi="宋体_GB2312" w:eastAsia="宋体_GB2312"/>
          <w:kern w:val="0"/>
          <w:szCs w:val="32"/>
          <w:lang w:val="en-US"/>
        </w:rPr>
        <w:t>.7</w:t>
      </w:r>
      <w:r>
        <w:rPr>
          <w:rFonts w:hint="eastAsia" w:ascii="宋体_GB2312" w:hAnsi="宋体_GB2312" w:eastAsia="宋体_GB2312"/>
          <w:kern w:val="0"/>
          <w:szCs w:val="32"/>
          <w:lang w:val="en-US"/>
        </w:rPr>
        <w:t>工作带宽测试</w:t>
      </w:r>
      <w:bookmarkEnd w:id="142"/>
      <w:bookmarkEnd w:id="143"/>
    </w:p>
    <w:p>
      <w:pPr>
        <w:pStyle w:val="4"/>
        <w:rPr>
          <w:rFonts w:ascii="宋体_GB2312" w:hAnsi="宋体_GB2312" w:eastAsia="宋体_GB2312"/>
          <w:sz w:val="21"/>
          <w:szCs w:val="21"/>
        </w:rPr>
      </w:pPr>
      <w:r>
        <w:rPr>
          <w:rFonts w:ascii="宋体_GB2312" w:hAnsi="宋体_GB2312" w:eastAsia="宋体_GB2312"/>
        </w:rPr>
        <w:t xml:space="preserve">6.7.1 </w:t>
      </w:r>
      <w:r>
        <w:rPr>
          <w:rFonts w:hint="eastAsia" w:ascii="宋体_GB2312" w:hAnsi="宋体_GB2312" w:eastAsia="宋体_GB2312"/>
        </w:rPr>
        <w:t>PLC器件工作带宽测试</w:t>
      </w:r>
    </w:p>
    <w:p>
      <w:pPr>
        <w:rPr>
          <w:rFonts w:ascii="宋体_GB2312" w:hAnsi="宋体_GB2312" w:eastAsia="宋体_GB2312"/>
          <w:szCs w:val="24"/>
          <w:lang w:val="en-US"/>
        </w:rPr>
      </w:pPr>
      <w:r>
        <w:rPr>
          <w:rFonts w:hint="eastAsia" w:ascii="宋体_GB2312" w:hAnsi="宋体_GB2312" w:eastAsia="宋体_GB2312"/>
          <w:szCs w:val="24"/>
          <w:lang w:val="en-US"/>
        </w:rPr>
        <w:t>（1）测试原理图</w:t>
      </w:r>
    </w:p>
    <w:p>
      <w:pPr>
        <w:rPr>
          <w:rFonts w:ascii="宋体_GB2312" w:hAnsi="宋体_GB2312" w:eastAsia="宋体_GB2312"/>
          <w:szCs w:val="24"/>
          <w:lang w:val="en-US"/>
        </w:rPr>
      </w:pPr>
      <w:r>
        <w:rPr>
          <w:rFonts w:hint="eastAsia" w:ascii="宋体_GB2312" w:hAnsi="宋体_GB2312" w:eastAsia="宋体_GB2312"/>
          <w:szCs w:val="24"/>
          <w:lang w:val="en-US"/>
        </w:rPr>
        <w:t>测试原理如图 6所示。</w:t>
      </w:r>
    </w:p>
    <w:p>
      <w:pPr>
        <w:rPr>
          <w:rFonts w:ascii="宋体_GB2312" w:hAnsi="宋体_GB2312" w:eastAsia="宋体_GB2312"/>
          <w:szCs w:val="24"/>
          <w:lang w:val="en-US"/>
        </w:rPr>
      </w:pPr>
      <w:r>
        <w:rPr>
          <w:rFonts w:ascii="宋体_GB2312" w:hAnsi="宋体_GB2312" w:eastAsia="宋体_GB2312"/>
        </w:rPr>
        <w:drawing>
          <wp:inline distT="0" distB="0" distL="0" distR="0">
            <wp:extent cx="5400040" cy="12274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7"/>
                    <a:stretch>
                      <a:fillRect/>
                    </a:stretch>
                  </pic:blipFill>
                  <pic:spPr>
                    <a:xfrm>
                      <a:off x="0" y="0"/>
                      <a:ext cx="5400040" cy="1227455"/>
                    </a:xfrm>
                    <a:prstGeom prst="rect">
                      <a:avLst/>
                    </a:prstGeom>
                  </pic:spPr>
                </pic:pic>
              </a:graphicData>
            </a:graphic>
          </wp:inline>
        </w:drawing>
      </w:r>
    </w:p>
    <w:p>
      <w:pPr>
        <w:rPr>
          <w:rFonts w:ascii="宋体_GB2312" w:hAnsi="宋体_GB2312" w:eastAsia="宋体_GB2312"/>
          <w:szCs w:val="24"/>
          <w:lang w:val="en-US"/>
        </w:rPr>
      </w:pPr>
      <w:r>
        <w:rPr>
          <w:rFonts w:hint="eastAsia" w:ascii="宋体_GB2312" w:hAnsi="宋体_GB2312" w:eastAsia="宋体_GB2312"/>
          <w:szCs w:val="24"/>
          <w:lang w:val="en-US"/>
        </w:rPr>
        <w:t xml:space="preserve">（2）测试步骤 </w:t>
      </w:r>
    </w:p>
    <w:p>
      <w:pPr>
        <w:rPr>
          <w:rFonts w:ascii="宋体_GB2312" w:hAnsi="宋体_GB2312" w:eastAsia="宋体_GB2312"/>
          <w:szCs w:val="24"/>
          <w:lang w:val="en-US"/>
        </w:rPr>
      </w:pPr>
      <w:r>
        <w:rPr>
          <w:rFonts w:hint="eastAsia" w:ascii="宋体_GB2312" w:hAnsi="宋体_GB2312" w:eastAsia="宋体_GB2312"/>
          <w:szCs w:val="24"/>
          <w:lang w:val="en-US"/>
        </w:rPr>
        <w:t xml:space="preserve">测试步骤如下: </w:t>
      </w:r>
    </w:p>
    <w:p>
      <w:pPr>
        <w:rPr>
          <w:rFonts w:ascii="宋体_GB2312" w:hAnsi="宋体_GB2312" w:eastAsia="宋体_GB2312"/>
          <w:szCs w:val="24"/>
          <w:lang w:val="en-US"/>
        </w:rPr>
      </w:pPr>
      <w:r>
        <w:rPr>
          <w:rFonts w:hint="eastAsia" w:ascii="宋体_GB2312" w:hAnsi="宋体_GB2312" w:eastAsia="宋体_GB2312"/>
          <w:szCs w:val="24"/>
          <w:lang w:val="en-US"/>
        </w:rPr>
        <w:t>1)打开各有源部件 (宽带光源、光谱分析仪)预热；</w:t>
      </w:r>
    </w:p>
    <w:p>
      <w:pPr>
        <w:rPr>
          <w:rFonts w:ascii="宋体_GB2312" w:hAnsi="宋体_GB2312" w:eastAsia="宋体_GB2312"/>
          <w:szCs w:val="24"/>
          <w:lang w:val="en-US"/>
        </w:rPr>
      </w:pPr>
      <w:r>
        <w:rPr>
          <w:rFonts w:hint="eastAsia" w:ascii="宋体_GB2312" w:hAnsi="宋体_GB2312" w:eastAsia="宋体_GB2312"/>
          <w:szCs w:val="24"/>
          <w:lang w:val="en-US"/>
        </w:rPr>
        <w:t>2)待有源部件稳定后，首先直接连接宽带光源和光谱分析仪，在各试样测试涉及的光谱区存储光谱曲线P</w:t>
      </w:r>
      <w:r>
        <w:rPr>
          <w:rFonts w:ascii="宋体_GB2312" w:hAnsi="宋体_GB2312" w:eastAsia="宋体_GB2312"/>
          <w:sz w:val="18"/>
          <w:szCs w:val="24"/>
          <w:lang w:val="en-US"/>
        </w:rPr>
        <w:t>1</w:t>
      </w:r>
      <w:r>
        <w:rPr>
          <w:rFonts w:hint="eastAsia" w:ascii="宋体_GB2312" w:hAnsi="宋体_GB2312" w:eastAsia="宋体_GB2312"/>
          <w:szCs w:val="24"/>
          <w:lang w:val="en-US"/>
        </w:rPr>
        <w:t>，测试条件可以采用:分辨率为 lnm/格或 l0nm/格、开始和终止波长刚好覆盖所规定的通带宽度；</w:t>
      </w:r>
    </w:p>
    <w:p>
      <w:pPr>
        <w:rPr>
          <w:rFonts w:ascii="宋体_GB2312" w:hAnsi="宋体_GB2312" w:eastAsia="宋体_GB2312"/>
          <w:szCs w:val="24"/>
          <w:lang w:val="en-US"/>
        </w:rPr>
      </w:pPr>
      <w:r>
        <w:rPr>
          <w:rFonts w:hint="eastAsia" w:ascii="宋体_GB2312" w:hAnsi="宋体_GB2312" w:eastAsia="宋体_GB2312"/>
          <w:szCs w:val="24"/>
          <w:lang w:val="en-US"/>
        </w:rPr>
        <w:t>3)按图6连接测试系统，注意F</w:t>
      </w:r>
      <w:r>
        <w:rPr>
          <w:rFonts w:hint="eastAsia" w:ascii="宋体_GB2312" w:hAnsi="宋体_GB2312" w:eastAsia="宋体_GB2312"/>
          <w:sz w:val="18"/>
          <w:szCs w:val="24"/>
          <w:lang w:val="en-US"/>
        </w:rPr>
        <w:t>1</w:t>
      </w:r>
      <w:r>
        <w:rPr>
          <w:rFonts w:hint="eastAsia" w:ascii="宋体_GB2312" w:hAnsi="宋体_GB2312" w:eastAsia="宋体_GB2312"/>
          <w:szCs w:val="24"/>
          <w:lang w:val="en-US"/>
        </w:rPr>
        <w:t>、F</w:t>
      </w:r>
      <w:r>
        <w:rPr>
          <w:rFonts w:hint="eastAsia" w:ascii="宋体_GB2312" w:hAnsi="宋体_GB2312" w:eastAsia="宋体_GB2312"/>
          <w:sz w:val="18"/>
          <w:szCs w:val="24"/>
          <w:lang w:val="en-US"/>
        </w:rPr>
        <w:t>2</w:t>
      </w:r>
      <w:r>
        <w:rPr>
          <w:rFonts w:hint="eastAsia" w:ascii="宋体_GB2312" w:hAnsi="宋体_GB2312" w:eastAsia="宋体_GB2312"/>
          <w:szCs w:val="24"/>
          <w:lang w:val="en-US"/>
        </w:rPr>
        <w:t>、F</w:t>
      </w:r>
      <w:r>
        <w:rPr>
          <w:rFonts w:ascii="宋体_GB2312" w:hAnsi="宋体_GB2312" w:eastAsia="宋体_GB2312"/>
          <w:sz w:val="18"/>
          <w:szCs w:val="24"/>
          <w:lang w:val="en-US"/>
        </w:rPr>
        <w:t>3</w:t>
      </w:r>
      <w:r>
        <w:rPr>
          <w:rFonts w:hint="eastAsia" w:ascii="宋体_GB2312" w:hAnsi="宋体_GB2312" w:eastAsia="宋体_GB2312"/>
          <w:szCs w:val="24"/>
          <w:lang w:val="en-US"/>
        </w:rPr>
        <w:t>三段应采用同种光纤类型；</w:t>
      </w:r>
    </w:p>
    <w:p>
      <w:pPr>
        <w:rPr>
          <w:rFonts w:ascii="宋体_GB2312" w:hAnsi="宋体_GB2312" w:eastAsia="宋体_GB2312"/>
          <w:szCs w:val="24"/>
          <w:lang w:val="en-US"/>
        </w:rPr>
      </w:pPr>
      <w:r>
        <w:rPr>
          <w:rFonts w:hint="eastAsia" w:ascii="宋体_GB2312" w:hAnsi="宋体_GB2312" w:eastAsia="宋体_GB2312"/>
          <w:szCs w:val="24"/>
          <w:lang w:val="en-US"/>
        </w:rPr>
        <w:t>4)在2)选定的光谱区，光谱分析仪进行测试扫描，获得光谱曲线P</w:t>
      </w:r>
      <w:r>
        <w:rPr>
          <w:rFonts w:hint="eastAsia" w:ascii="宋体_GB2312" w:hAnsi="宋体_GB2312" w:eastAsia="宋体_GB2312"/>
          <w:sz w:val="18"/>
          <w:szCs w:val="24"/>
          <w:lang w:val="en-US"/>
        </w:rPr>
        <w:t>2</w:t>
      </w:r>
      <w:r>
        <w:rPr>
          <w:rFonts w:hint="eastAsia" w:ascii="宋体_GB2312" w:hAnsi="宋体_GB2312" w:eastAsia="宋体_GB2312"/>
          <w:szCs w:val="24"/>
          <w:lang w:val="en-US"/>
        </w:rPr>
        <w:t>；</w:t>
      </w:r>
    </w:p>
    <w:p>
      <w:pPr>
        <w:rPr>
          <w:rFonts w:ascii="宋体_GB2312" w:hAnsi="宋体_GB2312" w:eastAsia="宋体_GB2312"/>
          <w:szCs w:val="24"/>
          <w:lang w:val="en-US"/>
        </w:rPr>
      </w:pPr>
      <w:r>
        <w:rPr>
          <w:rFonts w:hint="eastAsia" w:ascii="宋体_GB2312" w:hAnsi="宋体_GB2312" w:eastAsia="宋体_GB2312"/>
          <w:szCs w:val="24"/>
          <w:lang w:val="en-US"/>
        </w:rPr>
        <w:t>5)在光谱分析仪中执行P</w:t>
      </w:r>
      <w:r>
        <w:rPr>
          <w:rFonts w:hint="eastAsia" w:ascii="宋体_GB2312" w:hAnsi="宋体_GB2312" w:eastAsia="宋体_GB2312"/>
          <w:sz w:val="20"/>
          <w:szCs w:val="24"/>
          <w:lang w:val="en-US"/>
        </w:rPr>
        <w:t>2</w:t>
      </w:r>
      <w:r>
        <w:rPr>
          <w:rFonts w:hint="eastAsia" w:ascii="宋体_GB2312" w:hAnsi="宋体_GB2312" w:eastAsia="宋体_GB2312"/>
          <w:szCs w:val="24"/>
          <w:lang w:val="en-US"/>
        </w:rPr>
        <w:t>-P</w:t>
      </w:r>
      <w:r>
        <w:rPr>
          <w:rFonts w:ascii="宋体_GB2312" w:hAnsi="宋体_GB2312" w:eastAsia="宋体_GB2312"/>
          <w:sz w:val="18"/>
          <w:szCs w:val="24"/>
          <w:lang w:val="en-US"/>
        </w:rPr>
        <w:t>1</w:t>
      </w:r>
      <w:r>
        <w:rPr>
          <w:rFonts w:hint="eastAsia" w:ascii="宋体_GB2312" w:hAnsi="宋体_GB2312" w:eastAsia="宋体_GB2312"/>
          <w:szCs w:val="24"/>
          <w:lang w:val="en-US"/>
        </w:rPr>
        <w:t>功能，得到被测试样的插入损耗随波长变化的光谱特性；</w:t>
      </w:r>
    </w:p>
    <w:p>
      <w:pPr>
        <w:rPr>
          <w:rFonts w:ascii="宋体_GB2312" w:hAnsi="宋体_GB2312" w:eastAsia="宋体_GB2312"/>
          <w:szCs w:val="24"/>
          <w:lang w:val="en-US"/>
        </w:rPr>
      </w:pPr>
      <w:r>
        <w:rPr>
          <w:rFonts w:hint="eastAsia" w:ascii="宋体_GB2312" w:hAnsi="宋体_GB2312" w:eastAsia="宋体_GB2312"/>
          <w:szCs w:val="24"/>
          <w:lang w:val="en-US"/>
        </w:rPr>
        <w:t>6)记录试样的插入损耗，在1260nm～1650nm范围内，插入损耗应满足表1、表2的要求。</w:t>
      </w:r>
    </w:p>
    <w:p>
      <w:pPr>
        <w:pStyle w:val="4"/>
        <w:rPr>
          <w:rFonts w:ascii="宋体_GB2312" w:hAnsi="宋体_GB2312" w:eastAsia="宋体_GB2312"/>
        </w:rPr>
      </w:pPr>
      <w:r>
        <w:rPr>
          <w:rFonts w:ascii="宋体_GB2312" w:hAnsi="宋体_GB2312" w:eastAsia="宋体_GB2312"/>
        </w:rPr>
        <w:t xml:space="preserve">6.7.2 </w:t>
      </w:r>
      <w:r>
        <w:rPr>
          <w:rFonts w:hint="eastAsia" w:ascii="宋体_GB2312" w:hAnsi="宋体_GB2312" w:eastAsia="宋体_GB2312"/>
        </w:rPr>
        <w:t>PLC组件工作带宽测试</w:t>
      </w:r>
    </w:p>
    <w:p>
      <w:pPr>
        <w:rPr>
          <w:rFonts w:ascii="宋体_GB2312" w:hAnsi="宋体_GB2312" w:eastAsia="宋体_GB2312"/>
          <w:szCs w:val="24"/>
          <w:lang w:val="en-US"/>
        </w:rPr>
      </w:pPr>
      <w:r>
        <w:rPr>
          <w:rFonts w:hint="eastAsia" w:ascii="宋体_GB2312" w:hAnsi="宋体_GB2312" w:eastAsia="宋体_GB2312"/>
          <w:szCs w:val="24"/>
          <w:lang w:val="en-US"/>
        </w:rPr>
        <w:t>PLC组件工作带宽的测试原理见图7，测试步骤按 6.7.1 2)进行，宽带光源、PLC分路器、光谱分析仪之间连接的三段光纤F</w:t>
      </w:r>
      <w:r>
        <w:rPr>
          <w:rFonts w:ascii="宋体_GB2312" w:hAnsi="宋体_GB2312" w:eastAsia="宋体_GB2312"/>
          <w:sz w:val="18"/>
          <w:szCs w:val="24"/>
          <w:lang w:val="en-US"/>
        </w:rPr>
        <w:t>1</w:t>
      </w:r>
      <w:r>
        <w:rPr>
          <w:rFonts w:hint="eastAsia" w:ascii="宋体_GB2312" w:hAnsi="宋体_GB2312" w:eastAsia="宋体_GB2312"/>
          <w:szCs w:val="24"/>
          <w:lang w:val="en-US"/>
        </w:rPr>
        <w:t>、F</w:t>
      </w:r>
      <w:r>
        <w:rPr>
          <w:rFonts w:hint="eastAsia" w:ascii="宋体_GB2312" w:hAnsi="宋体_GB2312" w:eastAsia="宋体_GB2312"/>
          <w:sz w:val="18"/>
          <w:szCs w:val="24"/>
          <w:lang w:val="en-US"/>
        </w:rPr>
        <w:t>2</w:t>
      </w:r>
      <w:r>
        <w:rPr>
          <w:rFonts w:hint="eastAsia" w:ascii="宋体_GB2312" w:hAnsi="宋体_GB2312" w:eastAsia="宋体_GB2312"/>
          <w:szCs w:val="24"/>
          <w:lang w:val="en-US"/>
        </w:rPr>
        <w:t>、F</w:t>
      </w:r>
      <w:r>
        <w:rPr>
          <w:rFonts w:ascii="宋体_GB2312" w:hAnsi="宋体_GB2312" w:eastAsia="宋体_GB2312"/>
          <w:sz w:val="18"/>
          <w:szCs w:val="24"/>
          <w:lang w:val="en-US"/>
        </w:rPr>
        <w:t>3</w:t>
      </w:r>
      <w:r>
        <w:rPr>
          <w:rFonts w:hint="eastAsia" w:ascii="宋体_GB2312" w:hAnsi="宋体_GB2312" w:eastAsia="宋体_GB2312"/>
          <w:szCs w:val="24"/>
          <w:lang w:val="en-US"/>
        </w:rPr>
        <w:t>应采用同种类型光纤。</w:t>
      </w:r>
    </w:p>
    <w:p>
      <w:pPr>
        <w:rPr>
          <w:rFonts w:ascii="宋体_GB2312" w:hAnsi="宋体_GB2312" w:eastAsia="宋体_GB2312"/>
          <w:szCs w:val="24"/>
          <w:lang w:val="en-US"/>
        </w:rPr>
      </w:pPr>
      <w:r>
        <w:rPr>
          <w:rFonts w:ascii="宋体_GB2312" w:hAnsi="宋体_GB2312" w:eastAsia="宋体_GB2312"/>
        </w:rPr>
        <w:drawing>
          <wp:inline distT="0" distB="0" distL="0" distR="0">
            <wp:extent cx="5164455" cy="11690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8"/>
                    <a:stretch>
                      <a:fillRect/>
                    </a:stretch>
                  </pic:blipFill>
                  <pic:spPr>
                    <a:xfrm>
                      <a:off x="0" y="0"/>
                      <a:ext cx="5166772" cy="1169542"/>
                    </a:xfrm>
                    <a:prstGeom prst="rect">
                      <a:avLst/>
                    </a:prstGeom>
                  </pic:spPr>
                </pic:pic>
              </a:graphicData>
            </a:graphic>
          </wp:inline>
        </w:drawing>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44" w:name="_Toc17184338"/>
      <w:bookmarkStart w:id="145" w:name="_Toc9021"/>
      <w:r>
        <w:rPr>
          <w:rFonts w:hint="eastAsia" w:ascii="宋体_GB2312" w:hAnsi="宋体_GB2312" w:eastAsia="宋体_GB2312"/>
          <w:kern w:val="0"/>
          <w:szCs w:val="32"/>
          <w:lang w:val="en-US"/>
        </w:rPr>
        <w:t>6</w:t>
      </w:r>
      <w:r>
        <w:rPr>
          <w:rFonts w:ascii="宋体_GB2312" w:hAnsi="宋体_GB2312" w:eastAsia="宋体_GB2312"/>
          <w:kern w:val="0"/>
          <w:szCs w:val="32"/>
          <w:lang w:val="en-US"/>
        </w:rPr>
        <w:t>.8</w:t>
      </w:r>
      <w:r>
        <w:rPr>
          <w:rFonts w:hint="eastAsia" w:ascii="宋体_GB2312" w:hAnsi="宋体_GB2312" w:eastAsia="宋体_GB2312"/>
          <w:kern w:val="0"/>
          <w:szCs w:val="32"/>
          <w:lang w:val="en-US"/>
        </w:rPr>
        <w:t>偏振相关损耗测试</w:t>
      </w:r>
      <w:bookmarkEnd w:id="144"/>
      <w:bookmarkEnd w:id="145"/>
    </w:p>
    <w:p>
      <w:pPr>
        <w:pStyle w:val="4"/>
        <w:rPr>
          <w:rFonts w:ascii="宋体_GB2312" w:hAnsi="宋体_GB2312" w:eastAsia="宋体_GB2312"/>
          <w:sz w:val="21"/>
          <w:szCs w:val="21"/>
        </w:rPr>
      </w:pPr>
      <w:r>
        <w:rPr>
          <w:rFonts w:hint="eastAsia" w:ascii="宋体_GB2312" w:hAnsi="宋体_GB2312" w:eastAsia="宋体_GB2312"/>
        </w:rPr>
        <w:t>6</w:t>
      </w:r>
      <w:r>
        <w:rPr>
          <w:rFonts w:ascii="宋体_GB2312" w:hAnsi="宋体_GB2312" w:eastAsia="宋体_GB2312"/>
        </w:rPr>
        <w:t>.8.1</w:t>
      </w:r>
      <w:r>
        <w:rPr>
          <w:rFonts w:hint="eastAsia" w:ascii="宋体_GB2312" w:hAnsi="宋体_GB2312" w:eastAsia="宋体_GB2312"/>
        </w:rPr>
        <w:t>基准法</w:t>
      </w:r>
    </w:p>
    <w:p>
      <w:pPr>
        <w:rPr>
          <w:rFonts w:ascii="宋体_GB2312" w:hAnsi="宋体_GB2312" w:eastAsia="宋体_GB2312"/>
          <w:szCs w:val="24"/>
          <w:lang w:val="en-US"/>
        </w:rPr>
      </w:pPr>
      <w:r>
        <w:rPr>
          <w:rFonts w:hint="eastAsia" w:ascii="宋体_GB2312" w:hAnsi="宋体_GB2312" w:eastAsia="宋体_GB2312"/>
          <w:szCs w:val="24"/>
          <w:lang w:val="en-US"/>
        </w:rPr>
        <w:t>按GB</w:t>
      </w:r>
      <w:r>
        <w:rPr>
          <w:rFonts w:ascii="宋体_GB2312" w:hAnsi="宋体_GB2312" w:eastAsia="宋体_GB2312"/>
          <w:szCs w:val="24"/>
          <w:lang w:val="en-US"/>
        </w:rPr>
        <w:t>/</w:t>
      </w:r>
      <w:r>
        <w:rPr>
          <w:rFonts w:hint="eastAsia" w:ascii="宋体_GB2312" w:hAnsi="宋体_GB2312" w:eastAsia="宋体_GB2312"/>
          <w:szCs w:val="24"/>
          <w:lang w:val="en-US"/>
        </w:rPr>
        <w:t>T</w:t>
      </w:r>
      <w:r>
        <w:rPr>
          <w:rFonts w:ascii="宋体_GB2312" w:hAnsi="宋体_GB2312" w:eastAsia="宋体_GB2312"/>
          <w:szCs w:val="24"/>
          <w:lang w:val="en-US"/>
        </w:rPr>
        <w:t xml:space="preserve"> </w:t>
      </w:r>
      <w:r>
        <w:rPr>
          <w:rFonts w:hint="eastAsia" w:ascii="宋体_GB2312" w:hAnsi="宋体_GB2312" w:eastAsia="宋体_GB2312"/>
          <w:szCs w:val="24"/>
          <w:lang w:val="en-US"/>
        </w:rPr>
        <w:t>18311.2-2001《</w:t>
      </w:r>
      <w:r>
        <w:rPr>
          <w:rFonts w:ascii="宋体_GB2312" w:hAnsi="宋体_GB2312" w:eastAsia="宋体_GB2312"/>
          <w:szCs w:val="24"/>
          <w:lang w:val="en-US"/>
        </w:rPr>
        <w:t>纤维光学互连器件和无源器件 基本试验和测量程序 第3-2部分：检查和测量 单模纤维光学器件偏振依赖性</w:t>
      </w:r>
      <w:r>
        <w:rPr>
          <w:rFonts w:hint="eastAsia" w:ascii="宋体_GB2312" w:hAnsi="宋体_GB2312" w:eastAsia="宋体_GB2312"/>
          <w:szCs w:val="24"/>
          <w:lang w:val="en-US"/>
        </w:rPr>
        <w:t>》中方法A进行。</w:t>
      </w:r>
    </w:p>
    <w:p>
      <w:pPr>
        <w:pStyle w:val="4"/>
        <w:rPr>
          <w:rFonts w:ascii="宋体_GB2312" w:hAnsi="宋体_GB2312" w:eastAsia="宋体_GB2312"/>
        </w:rPr>
      </w:pPr>
      <w:r>
        <w:rPr>
          <w:rFonts w:hint="eastAsia" w:ascii="宋体_GB2312" w:hAnsi="宋体_GB2312" w:eastAsia="宋体_GB2312"/>
        </w:rPr>
        <w:t>6</w:t>
      </w:r>
      <w:r>
        <w:rPr>
          <w:rFonts w:ascii="宋体_GB2312" w:hAnsi="宋体_GB2312" w:eastAsia="宋体_GB2312"/>
        </w:rPr>
        <w:t>.8.1</w:t>
      </w:r>
      <w:r>
        <w:rPr>
          <w:rFonts w:hint="eastAsia" w:ascii="宋体_GB2312" w:hAnsi="宋体_GB2312" w:eastAsia="宋体_GB2312"/>
        </w:rPr>
        <w:t>替代法</w:t>
      </w:r>
    </w:p>
    <w:p>
      <w:pPr>
        <w:rPr>
          <w:rFonts w:ascii="宋体_GB2312" w:hAnsi="宋体_GB2312" w:eastAsia="宋体_GB2312"/>
          <w:szCs w:val="24"/>
          <w:lang w:val="en-US"/>
        </w:rPr>
      </w:pPr>
      <w:r>
        <w:rPr>
          <w:rFonts w:hint="eastAsia" w:ascii="宋体_GB2312" w:hAnsi="宋体_GB2312" w:eastAsia="宋体_GB2312"/>
          <w:szCs w:val="24"/>
          <w:lang w:val="en-US"/>
        </w:rPr>
        <w:t>（1）测试原理图</w:t>
      </w:r>
    </w:p>
    <w:p>
      <w:pPr>
        <w:rPr>
          <w:rFonts w:ascii="宋体_GB2312" w:hAnsi="宋体_GB2312" w:eastAsia="宋体_GB2312"/>
          <w:szCs w:val="24"/>
          <w:lang w:val="en-US"/>
        </w:rPr>
      </w:pPr>
      <w:r>
        <w:rPr>
          <w:rFonts w:hint="eastAsia" w:ascii="宋体_GB2312" w:hAnsi="宋体_GB2312" w:eastAsia="宋体_GB2312"/>
          <w:szCs w:val="24"/>
          <w:lang w:val="en-US"/>
        </w:rPr>
        <w:t>测试原理如图8所示。</w:t>
      </w:r>
    </w:p>
    <w:p>
      <w:pPr>
        <w:rPr>
          <w:rFonts w:ascii="宋体_GB2312" w:hAnsi="宋体_GB2312" w:eastAsia="宋体_GB2312"/>
          <w:szCs w:val="24"/>
          <w:lang w:val="en-US"/>
        </w:rPr>
      </w:pPr>
      <w:r>
        <w:rPr>
          <w:rFonts w:ascii="宋体_GB2312" w:hAnsi="宋体_GB2312" w:eastAsia="宋体_GB2312"/>
        </w:rPr>
        <w:drawing>
          <wp:inline distT="0" distB="0" distL="0" distR="0">
            <wp:extent cx="5083810" cy="1212850"/>
            <wp:effectExtent l="0" t="0" r="254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9"/>
                    <a:stretch>
                      <a:fillRect/>
                    </a:stretch>
                  </pic:blipFill>
                  <pic:spPr>
                    <a:xfrm>
                      <a:off x="0" y="0"/>
                      <a:ext cx="5086583" cy="1213451"/>
                    </a:xfrm>
                    <a:prstGeom prst="rect">
                      <a:avLst/>
                    </a:prstGeom>
                  </pic:spPr>
                </pic:pic>
              </a:graphicData>
            </a:graphic>
          </wp:inline>
        </w:drawing>
      </w:r>
    </w:p>
    <w:p>
      <w:pPr>
        <w:rPr>
          <w:rFonts w:ascii="宋体_GB2312" w:hAnsi="宋体_GB2312" w:eastAsia="宋体_GB2312"/>
          <w:szCs w:val="24"/>
          <w:lang w:val="en-US"/>
        </w:rPr>
      </w:pPr>
      <w:r>
        <w:rPr>
          <w:rFonts w:hint="eastAsia" w:ascii="宋体_GB2312" w:hAnsi="宋体_GB2312" w:eastAsia="宋体_GB2312"/>
          <w:szCs w:val="24"/>
          <w:lang w:val="en-US"/>
        </w:rPr>
        <w:t>（2）测试步骤</w:t>
      </w:r>
    </w:p>
    <w:p>
      <w:pPr>
        <w:rPr>
          <w:rFonts w:ascii="宋体_GB2312" w:hAnsi="宋体_GB2312" w:eastAsia="宋体_GB2312"/>
          <w:szCs w:val="24"/>
          <w:lang w:val="en-US"/>
        </w:rPr>
      </w:pPr>
      <w:r>
        <w:rPr>
          <w:rFonts w:hint="eastAsia" w:ascii="宋体_GB2312" w:hAnsi="宋体_GB2312" w:eastAsia="宋体_GB2312"/>
          <w:szCs w:val="24"/>
          <w:lang w:val="en-US"/>
        </w:rPr>
        <w:t xml:space="preserve">测试步骤如下: </w:t>
      </w:r>
    </w:p>
    <w:p>
      <w:pPr>
        <w:rPr>
          <w:rFonts w:ascii="宋体_GB2312" w:hAnsi="宋体_GB2312" w:eastAsia="宋体_GB2312"/>
          <w:szCs w:val="24"/>
          <w:lang w:val="en-US"/>
        </w:rPr>
      </w:pPr>
      <w:r>
        <w:rPr>
          <w:rFonts w:hint="eastAsia" w:ascii="宋体_GB2312" w:hAnsi="宋体_GB2312" w:eastAsia="宋体_GB2312"/>
          <w:szCs w:val="24"/>
          <w:lang w:val="en-US"/>
        </w:rPr>
        <w:t>1)连接测试系统，并打开系统预热；</w:t>
      </w:r>
    </w:p>
    <w:p>
      <w:pPr>
        <w:rPr>
          <w:rFonts w:ascii="宋体_GB2312" w:hAnsi="宋体_GB2312" w:eastAsia="宋体_GB2312"/>
          <w:szCs w:val="24"/>
          <w:lang w:val="en-US"/>
        </w:rPr>
      </w:pPr>
      <w:r>
        <w:rPr>
          <w:rFonts w:hint="eastAsia" w:ascii="宋体_GB2312" w:hAnsi="宋体_GB2312" w:eastAsia="宋体_GB2312"/>
          <w:szCs w:val="24"/>
          <w:lang w:val="en-US"/>
        </w:rPr>
        <w:t>2)设定波长可调光源的波长扫描范围、偏振控制器的偏振态变化；</w:t>
      </w:r>
    </w:p>
    <w:p>
      <w:pPr>
        <w:rPr>
          <w:rFonts w:ascii="宋体_GB2312" w:hAnsi="宋体_GB2312" w:eastAsia="宋体_GB2312"/>
          <w:szCs w:val="24"/>
          <w:lang w:val="en-US"/>
        </w:rPr>
      </w:pPr>
      <w:r>
        <w:rPr>
          <w:rFonts w:hint="eastAsia" w:ascii="宋体_GB2312" w:hAnsi="宋体_GB2312" w:eastAsia="宋体_GB2312"/>
          <w:szCs w:val="24"/>
          <w:lang w:val="en-US"/>
        </w:rPr>
        <w:t>3)对系统各通道进行初始化；</w:t>
      </w:r>
    </w:p>
    <w:p>
      <w:pPr>
        <w:rPr>
          <w:rFonts w:ascii="宋体_GB2312" w:hAnsi="宋体_GB2312" w:eastAsia="宋体_GB2312"/>
          <w:szCs w:val="24"/>
          <w:lang w:val="en-US"/>
        </w:rPr>
      </w:pPr>
      <w:r>
        <w:rPr>
          <w:rFonts w:hint="eastAsia" w:ascii="宋体_GB2312" w:hAnsi="宋体_GB2312" w:eastAsia="宋体_GB2312"/>
          <w:szCs w:val="24"/>
          <w:lang w:val="en-US"/>
        </w:rPr>
        <w:t>4)接入待测PLC光分路器，稳定后，进行扫描并导出数据。</w:t>
      </w:r>
    </w:p>
    <w:p>
      <w:pPr>
        <w:pStyle w:val="4"/>
        <w:rPr>
          <w:rFonts w:ascii="宋体_GB2312" w:hAnsi="宋体_GB2312" w:eastAsia="宋体_GB2312"/>
          <w:sz w:val="21"/>
          <w:szCs w:val="21"/>
        </w:rPr>
      </w:pPr>
      <w:r>
        <w:rPr>
          <w:rFonts w:ascii="宋体_GB2312" w:hAnsi="宋体_GB2312" w:eastAsia="宋体_GB2312"/>
        </w:rPr>
        <w:t xml:space="preserve">6.8.3 </w:t>
      </w:r>
      <w:r>
        <w:rPr>
          <w:rFonts w:hint="eastAsia" w:ascii="宋体_GB2312" w:hAnsi="宋体_GB2312" w:eastAsia="宋体_GB2312"/>
        </w:rPr>
        <w:t>PLC组件偏振相关损耗测试</w:t>
      </w:r>
    </w:p>
    <w:p>
      <w:pPr>
        <w:rPr>
          <w:rFonts w:ascii="宋体_GB2312" w:hAnsi="宋体_GB2312" w:eastAsia="宋体_GB2312"/>
          <w:szCs w:val="24"/>
          <w:lang w:val="en-US"/>
        </w:rPr>
      </w:pPr>
      <w:r>
        <w:rPr>
          <w:rFonts w:hint="eastAsia" w:ascii="宋体_GB2312" w:hAnsi="宋体_GB2312" w:eastAsia="宋体_GB2312"/>
          <w:szCs w:val="24"/>
          <w:lang w:val="en-US"/>
        </w:rPr>
        <w:t>PLC组件的测试原理见图9，用2根跳线分别将PLC组件的输入端与偏振控制器连接，输出端与光功率计连接，测试步骤按6.8.2b)进行。</w:t>
      </w:r>
    </w:p>
    <w:p>
      <w:pPr>
        <w:rPr>
          <w:rFonts w:ascii="宋体_GB2312" w:hAnsi="宋体_GB2312" w:eastAsia="宋体_GB2312"/>
          <w:szCs w:val="32"/>
          <w:lang w:val="en-US"/>
        </w:rPr>
      </w:pPr>
      <w:r>
        <w:rPr>
          <w:rFonts w:ascii="宋体_GB2312" w:hAnsi="宋体_GB2312" w:eastAsia="宋体_GB2312"/>
        </w:rPr>
        <w:drawing>
          <wp:inline distT="0" distB="0" distL="0" distR="0">
            <wp:extent cx="5400040" cy="14890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20"/>
                    <a:stretch>
                      <a:fillRect/>
                    </a:stretch>
                  </pic:blipFill>
                  <pic:spPr>
                    <a:xfrm>
                      <a:off x="0" y="0"/>
                      <a:ext cx="5400040" cy="1489075"/>
                    </a:xfrm>
                    <a:prstGeom prst="rect">
                      <a:avLst/>
                    </a:prstGeom>
                  </pic:spPr>
                </pic:pic>
              </a:graphicData>
            </a:graphic>
          </wp:inline>
        </w:drawing>
      </w:r>
    </w:p>
    <w:p>
      <w:pPr>
        <w:rPr>
          <w:rFonts w:ascii="宋体_GB2312" w:hAnsi="宋体_GB2312" w:eastAsia="宋体_GB2312"/>
          <w:lang w:val="en-US"/>
        </w:rPr>
      </w:pP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46" w:name="_Toc17184339"/>
      <w:bookmarkStart w:id="147" w:name="_Toc26801"/>
      <w:r>
        <w:rPr>
          <w:rFonts w:hint="eastAsia" w:ascii="宋体_GB2312" w:hAnsi="宋体_GB2312" w:eastAsia="宋体_GB2312"/>
          <w:kern w:val="0"/>
          <w:szCs w:val="32"/>
          <w:lang w:val="en-US"/>
        </w:rPr>
        <w:t>6</w:t>
      </w:r>
      <w:r>
        <w:rPr>
          <w:rFonts w:ascii="宋体_GB2312" w:hAnsi="宋体_GB2312" w:eastAsia="宋体_GB2312"/>
          <w:kern w:val="0"/>
          <w:szCs w:val="32"/>
          <w:lang w:val="en-US"/>
        </w:rPr>
        <w:t>.9</w:t>
      </w:r>
      <w:r>
        <w:rPr>
          <w:rFonts w:hint="eastAsia" w:ascii="宋体_GB2312" w:hAnsi="宋体_GB2312" w:eastAsia="宋体_GB2312"/>
          <w:kern w:val="0"/>
          <w:szCs w:val="32"/>
          <w:lang w:val="en-US"/>
        </w:rPr>
        <w:t>回波损耗测试</w:t>
      </w:r>
      <w:bookmarkEnd w:id="146"/>
      <w:bookmarkEnd w:id="147"/>
    </w:p>
    <w:p>
      <w:pPr>
        <w:pStyle w:val="4"/>
        <w:rPr>
          <w:rFonts w:ascii="宋体_GB2312" w:hAnsi="宋体_GB2312" w:eastAsia="宋体_GB2312"/>
        </w:rPr>
      </w:pPr>
      <w:r>
        <w:rPr>
          <w:rFonts w:hint="eastAsia" w:ascii="宋体_GB2312" w:hAnsi="宋体_GB2312" w:eastAsia="宋体_GB2312"/>
        </w:rPr>
        <w:t>6</w:t>
      </w:r>
      <w:r>
        <w:rPr>
          <w:rFonts w:ascii="宋体_GB2312" w:hAnsi="宋体_GB2312" w:eastAsia="宋体_GB2312"/>
        </w:rPr>
        <w:t>.9.1</w:t>
      </w:r>
      <w:r>
        <w:rPr>
          <w:rFonts w:hint="eastAsia" w:ascii="宋体_GB2312" w:hAnsi="宋体_GB2312" w:eastAsia="宋体_GB2312"/>
        </w:rPr>
        <w:t>基准法</w:t>
      </w:r>
    </w:p>
    <w:p>
      <w:pPr>
        <w:rPr>
          <w:rFonts w:ascii="宋体_GB2312" w:hAnsi="宋体_GB2312" w:eastAsia="宋体_GB2312"/>
          <w:lang w:val="en-US"/>
        </w:rPr>
      </w:pPr>
      <w:r>
        <w:rPr>
          <w:rFonts w:hint="eastAsia" w:ascii="宋体_GB2312" w:hAnsi="宋体_GB2312" w:eastAsia="宋体_GB2312"/>
          <w:lang w:val="en-US"/>
        </w:rPr>
        <w:t>按GB/T 20440-2006《</w:t>
      </w:r>
      <w:r>
        <w:rPr>
          <w:rFonts w:ascii="宋体_GB2312" w:hAnsi="宋体_GB2312" w:eastAsia="宋体_GB2312"/>
          <w:lang w:val="en-US"/>
        </w:rPr>
        <w:t> </w:t>
      </w:r>
      <w:r>
        <w:rPr>
          <w:rFonts w:ascii="宋体_GB2312" w:hAnsi="宋体_GB2312" w:eastAsia="宋体_GB2312"/>
          <w:szCs w:val="21"/>
          <w:lang w:val="en-US"/>
        </w:rPr>
        <w:t>密集波分复用器/解复用器技术条件</w:t>
      </w:r>
      <w:r>
        <w:rPr>
          <w:rFonts w:hint="eastAsia" w:ascii="宋体_GB2312" w:hAnsi="宋体_GB2312" w:eastAsia="宋体_GB2312"/>
          <w:lang w:val="en-US"/>
        </w:rPr>
        <w:t>》中5.4.6条规定进行。</w:t>
      </w:r>
    </w:p>
    <w:p>
      <w:pPr>
        <w:pStyle w:val="4"/>
        <w:rPr>
          <w:rFonts w:ascii="宋体_GB2312" w:hAnsi="宋体_GB2312" w:eastAsia="宋体_GB2312"/>
        </w:rPr>
      </w:pPr>
      <w:r>
        <w:rPr>
          <w:rFonts w:hint="eastAsia" w:ascii="宋体_GB2312" w:hAnsi="宋体_GB2312" w:eastAsia="宋体_GB2312"/>
        </w:rPr>
        <w:t>6</w:t>
      </w:r>
      <w:r>
        <w:rPr>
          <w:rFonts w:ascii="宋体_GB2312" w:hAnsi="宋体_GB2312" w:eastAsia="宋体_GB2312"/>
        </w:rPr>
        <w:t>.9.2</w:t>
      </w:r>
      <w:r>
        <w:rPr>
          <w:rFonts w:hint="eastAsia" w:ascii="宋体_GB2312" w:hAnsi="宋体_GB2312" w:eastAsia="宋体_GB2312"/>
        </w:rPr>
        <w:t>替代法 (PLC器件)</w:t>
      </w:r>
    </w:p>
    <w:p>
      <w:pPr>
        <w:rPr>
          <w:rFonts w:ascii="宋体_GB2312" w:hAnsi="宋体_GB2312" w:eastAsia="宋体_GB2312"/>
          <w:lang w:val="en-US"/>
        </w:rPr>
      </w:pPr>
      <w:r>
        <w:rPr>
          <w:rFonts w:hint="eastAsia" w:ascii="宋体_GB2312" w:hAnsi="宋体_GB2312" w:eastAsia="宋体_GB2312"/>
          <w:lang w:val="en-US"/>
        </w:rPr>
        <w:t xml:space="preserve">（1）测试原理图 </w:t>
      </w:r>
    </w:p>
    <w:p>
      <w:pPr>
        <w:rPr>
          <w:rFonts w:ascii="宋体_GB2312" w:hAnsi="宋体_GB2312" w:eastAsia="宋体_GB2312"/>
          <w:lang w:val="en-US"/>
        </w:rPr>
      </w:pPr>
      <w:r>
        <w:rPr>
          <w:rFonts w:hint="eastAsia" w:ascii="宋体_GB2312" w:hAnsi="宋体_GB2312" w:eastAsia="宋体_GB2312"/>
          <w:lang w:val="en-US"/>
        </w:rPr>
        <w:t>测试原理如图 10所示。</w:t>
      </w:r>
    </w:p>
    <w:p>
      <w:pPr>
        <w:rPr>
          <w:rFonts w:ascii="宋体_GB2312" w:hAnsi="宋体_GB2312" w:eastAsia="宋体_GB2312"/>
          <w:lang w:val="en-US"/>
        </w:rPr>
      </w:pPr>
      <w:r>
        <w:rPr>
          <w:rFonts w:ascii="宋体_GB2312" w:hAnsi="宋体_GB2312" w:eastAsia="宋体_GB2312"/>
        </w:rPr>
        <w:drawing>
          <wp:inline distT="0" distB="0" distL="0" distR="0">
            <wp:extent cx="5061585" cy="209931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21"/>
                    <a:stretch>
                      <a:fillRect/>
                    </a:stretch>
                  </pic:blipFill>
                  <pic:spPr>
                    <a:xfrm>
                      <a:off x="0" y="0"/>
                      <a:ext cx="5072700" cy="2103699"/>
                    </a:xfrm>
                    <a:prstGeom prst="rect">
                      <a:avLst/>
                    </a:prstGeom>
                  </pic:spPr>
                </pic:pic>
              </a:graphicData>
            </a:graphic>
          </wp:inline>
        </w:drawing>
      </w:r>
    </w:p>
    <w:p>
      <w:pPr>
        <w:rPr>
          <w:rFonts w:ascii="宋体_GB2312" w:hAnsi="宋体_GB2312" w:eastAsia="宋体_GB2312"/>
          <w:lang w:val="en-US"/>
        </w:rPr>
      </w:pPr>
      <w:r>
        <w:rPr>
          <w:rFonts w:hint="eastAsia" w:ascii="宋体_GB2312" w:hAnsi="宋体_GB2312" w:eastAsia="宋体_GB2312"/>
          <w:lang w:val="en-US"/>
        </w:rPr>
        <w:t>（</w:t>
      </w:r>
      <w:r>
        <w:rPr>
          <w:rFonts w:ascii="宋体_GB2312" w:hAnsi="宋体_GB2312" w:eastAsia="宋体_GB2312"/>
          <w:lang w:val="en-US"/>
        </w:rPr>
        <w:t>2</w:t>
      </w:r>
      <w:r>
        <w:rPr>
          <w:rFonts w:hint="eastAsia" w:ascii="宋体_GB2312" w:hAnsi="宋体_GB2312" w:eastAsia="宋体_GB2312"/>
          <w:lang w:val="en-US"/>
        </w:rPr>
        <w:t xml:space="preserve">）测试步骤 </w:t>
      </w:r>
    </w:p>
    <w:p>
      <w:pPr>
        <w:rPr>
          <w:rFonts w:ascii="宋体_GB2312" w:hAnsi="宋体_GB2312" w:eastAsia="宋体_GB2312"/>
          <w:lang w:val="en-US"/>
        </w:rPr>
      </w:pPr>
      <w:r>
        <w:rPr>
          <w:rFonts w:hint="eastAsia" w:ascii="宋体_GB2312" w:hAnsi="宋体_GB2312" w:eastAsia="宋体_GB2312"/>
          <w:lang w:val="en-US"/>
        </w:rPr>
        <w:t>1)选择需要测试的通道波长，按照图</w:t>
      </w:r>
      <w:r>
        <w:rPr>
          <w:rFonts w:ascii="宋体_GB2312" w:hAnsi="宋体_GB2312" w:eastAsia="宋体_GB2312"/>
          <w:lang w:val="en-US"/>
        </w:rPr>
        <w:t>10</w:t>
      </w:r>
      <w:r>
        <w:rPr>
          <w:rFonts w:hint="eastAsia" w:ascii="宋体_GB2312" w:hAnsi="宋体_GB2312" w:eastAsia="宋体_GB2312"/>
          <w:lang w:val="en-US"/>
        </w:rPr>
        <w:t>a)将测试用尾纤与回损测试仪连接，测试用尾纤的连接头类型B与回波损耗测试仪的连接头类型相同，并且将尾纤尾端用直径不大于5mm的圆棒，缠绕至少5圈，进行回波损耗测试仪的定标；</w:t>
      </w:r>
    </w:p>
    <w:p>
      <w:pPr>
        <w:rPr>
          <w:rFonts w:ascii="宋体_GB2312" w:hAnsi="宋体_GB2312" w:eastAsia="宋体_GB2312"/>
          <w:lang w:val="en-US"/>
        </w:rPr>
      </w:pPr>
      <w:r>
        <w:rPr>
          <w:rFonts w:hint="eastAsia" w:ascii="宋体_GB2312" w:hAnsi="宋体_GB2312" w:eastAsia="宋体_GB2312"/>
          <w:lang w:val="en-US"/>
        </w:rPr>
        <w:t>2)按照图1</w:t>
      </w:r>
      <w:r>
        <w:rPr>
          <w:rFonts w:ascii="宋体_GB2312" w:hAnsi="宋体_GB2312" w:eastAsia="宋体_GB2312"/>
          <w:lang w:val="en-US"/>
        </w:rPr>
        <w:t>0</w:t>
      </w:r>
      <w:r>
        <w:rPr>
          <w:rFonts w:hint="eastAsia" w:ascii="宋体_GB2312" w:hAnsi="宋体_GB2312" w:eastAsia="宋体_GB2312"/>
          <w:lang w:val="en-US"/>
        </w:rPr>
        <w:t xml:space="preserve">b)将PLC器件与测试尾纤连接； </w:t>
      </w:r>
    </w:p>
    <w:p>
      <w:pPr>
        <w:rPr>
          <w:rFonts w:ascii="宋体_GB2312" w:hAnsi="宋体_GB2312" w:eastAsia="宋体_GB2312"/>
          <w:lang w:val="en-US"/>
        </w:rPr>
      </w:pPr>
      <w:r>
        <w:rPr>
          <w:rFonts w:hint="eastAsia" w:ascii="宋体_GB2312" w:hAnsi="宋体_GB2312" w:eastAsia="宋体_GB2312"/>
          <w:lang w:val="en-US"/>
        </w:rPr>
        <w:t>3)被测PLC器件另一端所有端口的尾纤用直径不大于5mm的圆棒，缠绕至少5圈，记录此时的测试结果即为回波损耗值。</w:t>
      </w:r>
    </w:p>
    <w:p>
      <w:pPr>
        <w:pStyle w:val="4"/>
        <w:rPr>
          <w:rFonts w:ascii="宋体_GB2312" w:hAnsi="宋体_GB2312" w:eastAsia="宋体_GB2312"/>
        </w:rPr>
      </w:pPr>
      <w:r>
        <w:rPr>
          <w:rFonts w:ascii="宋体_GB2312" w:hAnsi="宋体_GB2312" w:eastAsia="宋体_GB2312"/>
        </w:rPr>
        <w:t xml:space="preserve">6.9.3 </w:t>
      </w:r>
      <w:r>
        <w:rPr>
          <w:rFonts w:hint="eastAsia" w:ascii="宋体_GB2312" w:hAnsi="宋体_GB2312" w:eastAsia="宋体_GB2312"/>
        </w:rPr>
        <w:t>PLC组件回波损耗测试</w:t>
      </w:r>
    </w:p>
    <w:p>
      <w:pPr>
        <w:rPr>
          <w:rFonts w:ascii="宋体_GB2312" w:hAnsi="宋体_GB2312" w:eastAsia="宋体_GB2312"/>
          <w:lang w:val="en-US"/>
        </w:rPr>
      </w:pPr>
      <w:r>
        <w:rPr>
          <w:rFonts w:hint="eastAsia" w:ascii="宋体_GB2312" w:hAnsi="宋体_GB2312" w:eastAsia="宋体_GB2312"/>
          <w:lang w:val="en-US"/>
        </w:rPr>
        <w:t xml:space="preserve">（1）测试原理图 </w:t>
      </w:r>
    </w:p>
    <w:p>
      <w:pPr>
        <w:rPr>
          <w:rFonts w:ascii="宋体_GB2312" w:hAnsi="宋体_GB2312" w:eastAsia="宋体_GB2312"/>
          <w:lang w:val="en-US"/>
        </w:rPr>
      </w:pPr>
      <w:r>
        <w:rPr>
          <w:rFonts w:hint="eastAsia" w:ascii="宋体_GB2312" w:hAnsi="宋体_GB2312" w:eastAsia="宋体_GB2312"/>
          <w:lang w:val="en-US"/>
        </w:rPr>
        <w:t>PLC组件回波损耗测试原理如图11所示。</w:t>
      </w:r>
    </w:p>
    <w:p>
      <w:pPr>
        <w:rPr>
          <w:rFonts w:ascii="宋体_GB2312" w:hAnsi="宋体_GB2312" w:eastAsia="宋体_GB2312"/>
          <w:lang w:val="en-US"/>
        </w:rPr>
      </w:pPr>
      <w:r>
        <w:rPr>
          <w:rFonts w:ascii="宋体_GB2312" w:hAnsi="宋体_GB2312" w:eastAsia="宋体_GB2312"/>
        </w:rPr>
        <w:drawing>
          <wp:inline distT="0" distB="0" distL="0" distR="0">
            <wp:extent cx="5039995" cy="2502535"/>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2"/>
                    <a:stretch>
                      <a:fillRect/>
                    </a:stretch>
                  </pic:blipFill>
                  <pic:spPr>
                    <a:xfrm>
                      <a:off x="0" y="0"/>
                      <a:ext cx="5043170" cy="2504023"/>
                    </a:xfrm>
                    <a:prstGeom prst="rect">
                      <a:avLst/>
                    </a:prstGeom>
                  </pic:spPr>
                </pic:pic>
              </a:graphicData>
            </a:graphic>
          </wp:inline>
        </w:drawing>
      </w:r>
    </w:p>
    <w:p>
      <w:pPr>
        <w:rPr>
          <w:rFonts w:ascii="宋体_GB2312" w:hAnsi="宋体_GB2312" w:eastAsia="宋体_GB2312"/>
          <w:lang w:val="en-US"/>
        </w:rPr>
      </w:pPr>
      <w:r>
        <w:rPr>
          <w:rFonts w:hint="eastAsia" w:ascii="宋体_GB2312" w:hAnsi="宋体_GB2312" w:eastAsia="宋体_GB2312"/>
          <w:lang w:val="en-US"/>
        </w:rPr>
        <w:t xml:space="preserve">（2）试步骤 </w:t>
      </w:r>
    </w:p>
    <w:p>
      <w:pPr>
        <w:rPr>
          <w:rFonts w:ascii="宋体_GB2312" w:hAnsi="宋体_GB2312" w:eastAsia="宋体_GB2312"/>
          <w:lang w:val="en-US"/>
        </w:rPr>
      </w:pPr>
      <w:r>
        <w:rPr>
          <w:rFonts w:hint="eastAsia" w:ascii="宋体_GB2312" w:hAnsi="宋体_GB2312" w:eastAsia="宋体_GB2312"/>
          <w:lang w:val="en-US"/>
        </w:rPr>
        <w:t>测试步骤参见6.9.2（2）</w:t>
      </w:r>
    </w:p>
    <w:p>
      <w:pPr>
        <w:pStyle w:val="2"/>
        <w:spacing w:before="0" w:beforeLines="0" w:after="0" w:line="276" w:lineRule="auto"/>
        <w:jc w:val="both"/>
        <w:rPr>
          <w:rFonts w:ascii="宋体_GB2312" w:hAnsi="宋体_GB2312" w:eastAsia="宋体_GB2312"/>
          <w:sz w:val="24"/>
          <w:szCs w:val="24"/>
          <w:lang w:val="en-US"/>
        </w:rPr>
      </w:pPr>
      <w:bookmarkStart w:id="148" w:name="_Toc17184340"/>
      <w:bookmarkStart w:id="149" w:name="_Toc26843"/>
      <w:r>
        <w:rPr>
          <w:rFonts w:ascii="宋体_GB2312" w:hAnsi="宋体_GB2312" w:eastAsia="宋体_GB2312"/>
          <w:sz w:val="24"/>
          <w:szCs w:val="24"/>
          <w:lang w:val="en-US"/>
        </w:rPr>
        <w:t>7</w:t>
      </w:r>
      <w:r>
        <w:rPr>
          <w:rFonts w:hint="eastAsia" w:ascii="宋体_GB2312" w:hAnsi="宋体_GB2312" w:eastAsia="宋体_GB2312"/>
          <w:sz w:val="24"/>
          <w:szCs w:val="24"/>
          <w:lang w:val="en-US"/>
        </w:rPr>
        <w:t>型式试验</w:t>
      </w:r>
      <w:bookmarkEnd w:id="148"/>
      <w:bookmarkEnd w:id="149"/>
    </w:p>
    <w:p>
      <w:pPr>
        <w:rPr>
          <w:rFonts w:ascii="宋体_GB2312" w:hAnsi="宋体_GB2312" w:eastAsia="宋体_GB2312"/>
          <w:lang w:val="en-US"/>
        </w:rPr>
      </w:pPr>
      <w:r>
        <w:rPr>
          <w:rFonts w:hint="eastAsia" w:ascii="宋体_GB2312" w:hAnsi="宋体_GB2312" w:eastAsia="宋体_GB2312"/>
          <w:lang w:val="en-US"/>
        </w:rPr>
        <w:t>PLC光分路器型式试验按表</w:t>
      </w:r>
      <w:r>
        <w:rPr>
          <w:rFonts w:ascii="宋体_GB2312" w:hAnsi="宋体_GB2312" w:eastAsia="宋体_GB2312"/>
          <w:lang w:val="en-US"/>
        </w:rPr>
        <w:t>5</w:t>
      </w:r>
      <w:r>
        <w:rPr>
          <w:rFonts w:hint="eastAsia" w:ascii="宋体_GB2312" w:hAnsi="宋体_GB2312" w:eastAsia="宋体_GB2312"/>
          <w:lang w:val="en-US"/>
        </w:rPr>
        <w:t>要求进行。</w:t>
      </w:r>
    </w:p>
    <w:p>
      <w:pPr>
        <w:ind w:firstLine="422"/>
        <w:jc w:val="center"/>
        <w:rPr>
          <w:rFonts w:ascii="宋体_GB2312" w:hAnsi="宋体_GB2312" w:eastAsia="宋体_GB2312"/>
          <w:b/>
          <w:sz w:val="21"/>
        </w:rPr>
      </w:pPr>
      <w:r>
        <w:rPr>
          <w:rFonts w:hint="eastAsia" w:ascii="宋体_GB2312" w:hAnsi="宋体_GB2312" w:eastAsia="宋体_GB2312"/>
          <w:b/>
          <w:sz w:val="21"/>
        </w:rPr>
        <w:t xml:space="preserve">表5 </w:t>
      </w:r>
      <w:r>
        <w:rPr>
          <w:rFonts w:ascii="宋体_GB2312" w:hAnsi="宋体_GB2312" w:eastAsia="宋体_GB2312"/>
          <w:b/>
          <w:sz w:val="21"/>
        </w:rPr>
        <w:t xml:space="preserve"> </w:t>
      </w:r>
      <w:r>
        <w:rPr>
          <w:rFonts w:hint="eastAsia" w:ascii="宋体_GB2312" w:hAnsi="宋体_GB2312" w:eastAsia="宋体_GB2312"/>
          <w:b/>
          <w:sz w:val="21"/>
        </w:rPr>
        <w:t>PLC光分路器型式试验要求</w:t>
      </w:r>
    </w:p>
    <w:tbl>
      <w:tblPr>
        <w:tblStyle w:val="36"/>
        <w:tblW w:w="89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6"/>
        <w:gridCol w:w="4148"/>
        <w:gridCol w:w="1023"/>
        <w:gridCol w:w="1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试验项目</w:t>
            </w:r>
          </w:p>
        </w:tc>
        <w:tc>
          <w:tcPr>
            <w:tcW w:w="4148" w:type="dxa"/>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试验方法</w:t>
            </w:r>
          </w:p>
        </w:tc>
        <w:tc>
          <w:tcPr>
            <w:tcW w:w="1023" w:type="dxa"/>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样品数</w:t>
            </w:r>
          </w:p>
        </w:tc>
        <w:tc>
          <w:tcPr>
            <w:tcW w:w="1919" w:type="dxa"/>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合格判据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震动试验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7.1.1</w:t>
            </w:r>
            <w:r>
              <w:rPr>
                <w:rFonts w:hint="eastAsia" w:ascii="宋体_GB2312" w:hAnsi="宋体_GB2312" w:eastAsia="宋体_GB2312"/>
                <w:sz w:val="18"/>
                <w:szCs w:val="18"/>
                <w:lang w:val="en-US"/>
              </w:rPr>
              <w:t>条规定进行</w:t>
            </w:r>
          </w:p>
        </w:tc>
        <w:tc>
          <w:tcPr>
            <w:tcW w:w="1023" w:type="dxa"/>
            <w:vMerge w:val="restart"/>
            <w:vAlign w:val="center"/>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4</w:t>
            </w:r>
          </w:p>
        </w:tc>
        <w:tc>
          <w:tcPr>
            <w:tcW w:w="1919" w:type="dxa"/>
            <w:vMerge w:val="restart"/>
            <w:vAlign w:val="center"/>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1）插入损耗变化量≤0.5d</w:t>
            </w:r>
            <w:r>
              <w:rPr>
                <w:rFonts w:ascii="宋体_GB2312" w:hAnsi="宋体_GB2312" w:eastAsia="宋体_GB2312"/>
                <w:sz w:val="18"/>
                <w:szCs w:val="18"/>
                <w:lang w:val="en-US"/>
              </w:rPr>
              <w:t>B</w:t>
            </w:r>
            <w:r>
              <w:rPr>
                <w:rFonts w:hint="eastAsia" w:ascii="宋体_GB2312" w:hAnsi="宋体_GB2312" w:eastAsia="宋体_GB2312"/>
                <w:sz w:val="18"/>
                <w:szCs w:val="18"/>
                <w:lang w:val="en-US"/>
              </w:rPr>
              <w:t>。</w:t>
            </w:r>
          </w:p>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2)不得有机械损伤，如变形、龟裂、松弛等现象；盐雾试验后不能生锈和腐蚀。</w:t>
            </w:r>
          </w:p>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3)其它性能参数满足表 1、表2要求。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冲击试验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7.1.2</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jc w:val="center"/>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光缆抗拉试验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1272.3-2015  6.7.9</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jc w:val="center"/>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光缆扭转试验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7.1.4</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jc w:val="center"/>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低温试验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7.2.1</w:t>
            </w:r>
            <w:r>
              <w:rPr>
                <w:rFonts w:hint="eastAsia" w:ascii="宋体_GB2312" w:hAnsi="宋体_GB2312" w:eastAsia="宋体_GB2312"/>
                <w:sz w:val="18"/>
                <w:szCs w:val="18"/>
                <w:lang w:val="en-US"/>
              </w:rPr>
              <w:t>条规定进行</w:t>
            </w:r>
          </w:p>
        </w:tc>
        <w:tc>
          <w:tcPr>
            <w:tcW w:w="1023" w:type="dxa"/>
            <w:vMerge w:val="restart"/>
            <w:vAlign w:val="center"/>
          </w:tcPr>
          <w:p>
            <w:pPr>
              <w:snapToGrid w:val="0"/>
              <w:ind w:firstLine="0" w:firstLineChars="0"/>
              <w:jc w:val="center"/>
              <w:rPr>
                <w:rFonts w:ascii="宋体_GB2312" w:hAnsi="宋体_GB2312" w:eastAsia="宋体_GB2312"/>
                <w:sz w:val="18"/>
                <w:szCs w:val="18"/>
                <w:lang w:val="en-US"/>
              </w:rPr>
            </w:pPr>
            <w:r>
              <w:rPr>
                <w:rFonts w:hint="eastAsia" w:ascii="宋体_GB2312" w:hAnsi="宋体_GB2312" w:eastAsia="宋体_GB2312"/>
                <w:sz w:val="18"/>
                <w:szCs w:val="18"/>
                <w:lang w:val="en-US"/>
              </w:rPr>
              <w:t>6</w:t>
            </w: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高温试验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7.2.2</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高低温循环试验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7.2.3</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湿热试验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7.2.4</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水浸泡试验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1117-2001  7.2.5</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66"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盐雾试验</w:t>
            </w:r>
          </w:p>
        </w:tc>
        <w:tc>
          <w:tcPr>
            <w:tcW w:w="4148" w:type="dxa"/>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按照Y</w:t>
            </w:r>
            <w:r>
              <w:rPr>
                <w:rFonts w:ascii="宋体_GB2312" w:hAnsi="宋体_GB2312" w:eastAsia="宋体_GB2312"/>
                <w:sz w:val="18"/>
                <w:szCs w:val="18"/>
                <w:lang w:val="en-US"/>
              </w:rPr>
              <w:t>D/T 1272.4-2018  6.7.15</w:t>
            </w:r>
            <w:r>
              <w:rPr>
                <w:rFonts w:hint="eastAsia" w:ascii="宋体_GB2312" w:hAnsi="宋体_GB2312" w:eastAsia="宋体_GB2312"/>
                <w:sz w:val="18"/>
                <w:szCs w:val="18"/>
                <w:lang w:val="en-US"/>
              </w:rPr>
              <w:t>条规定进行</w:t>
            </w:r>
          </w:p>
        </w:tc>
        <w:tc>
          <w:tcPr>
            <w:tcW w:w="1023" w:type="dxa"/>
            <w:vMerge w:val="continue"/>
          </w:tcPr>
          <w:p>
            <w:pPr>
              <w:snapToGrid w:val="0"/>
              <w:ind w:firstLine="0" w:firstLineChars="0"/>
              <w:rPr>
                <w:rFonts w:ascii="宋体_GB2312" w:hAnsi="宋体_GB2312" w:eastAsia="宋体_GB2312"/>
                <w:sz w:val="18"/>
                <w:szCs w:val="18"/>
                <w:lang w:val="en-US"/>
              </w:rPr>
            </w:pPr>
          </w:p>
        </w:tc>
        <w:tc>
          <w:tcPr>
            <w:tcW w:w="1919" w:type="dxa"/>
            <w:vMerge w:val="continue"/>
          </w:tcPr>
          <w:p>
            <w:pPr>
              <w:snapToGrid w:val="0"/>
              <w:ind w:firstLine="0" w:firstLineChars="0"/>
              <w:rPr>
                <w:rFonts w:ascii="宋体_GB2312" w:hAnsi="宋体_GB2312" w:eastAsia="宋体_GB2312"/>
                <w:sz w:val="18"/>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6" w:type="dxa"/>
            <w:gridSpan w:val="4"/>
          </w:tcPr>
          <w:p>
            <w:pPr>
              <w:snapToGrid w:val="0"/>
              <w:ind w:firstLine="0" w:firstLineChars="0"/>
              <w:rPr>
                <w:rFonts w:ascii="宋体_GB2312" w:hAnsi="宋体_GB2312" w:eastAsia="宋体_GB2312"/>
                <w:sz w:val="18"/>
                <w:szCs w:val="18"/>
                <w:lang w:val="en-US"/>
              </w:rPr>
            </w:pPr>
            <w:r>
              <w:rPr>
                <w:rFonts w:hint="eastAsia" w:ascii="宋体_GB2312" w:hAnsi="宋体_GB2312" w:eastAsia="宋体_GB2312"/>
                <w:sz w:val="18"/>
                <w:szCs w:val="18"/>
                <w:lang w:val="en-US"/>
              </w:rPr>
              <w:t>注：组件全部为塑胶件材质可以免测盐雾试验。</w:t>
            </w:r>
          </w:p>
        </w:tc>
      </w:tr>
    </w:tbl>
    <w:p>
      <w:pPr>
        <w:rPr>
          <w:rFonts w:ascii="宋体_GB2312" w:hAnsi="宋体_GB2312" w:eastAsia="宋体_GB2312"/>
          <w:szCs w:val="21"/>
          <w:lang w:val="en-US"/>
        </w:rPr>
      </w:pPr>
    </w:p>
    <w:p>
      <w:pPr>
        <w:pStyle w:val="2"/>
        <w:spacing w:before="0" w:beforeLines="0" w:after="0" w:line="276" w:lineRule="auto"/>
        <w:jc w:val="both"/>
        <w:rPr>
          <w:rFonts w:ascii="宋体_GB2312" w:hAnsi="宋体_GB2312" w:eastAsia="宋体_GB2312"/>
          <w:sz w:val="24"/>
          <w:szCs w:val="24"/>
          <w:lang w:val="en-US"/>
        </w:rPr>
      </w:pPr>
      <w:bookmarkStart w:id="150" w:name="_Toc402248602"/>
      <w:bookmarkStart w:id="151" w:name="_Toc17184341"/>
      <w:bookmarkStart w:id="152" w:name="_Toc29825"/>
      <w:r>
        <w:rPr>
          <w:rFonts w:ascii="宋体_GB2312" w:hAnsi="宋体_GB2312" w:eastAsia="宋体_GB2312"/>
          <w:sz w:val="24"/>
          <w:szCs w:val="24"/>
          <w:lang w:val="en-US"/>
        </w:rPr>
        <w:t>8</w:t>
      </w:r>
      <w:r>
        <w:rPr>
          <w:rFonts w:hint="eastAsia" w:ascii="宋体_GB2312" w:hAnsi="宋体_GB2312" w:eastAsia="宋体_GB2312"/>
          <w:sz w:val="24"/>
          <w:szCs w:val="24"/>
          <w:lang w:val="en-US"/>
        </w:rPr>
        <w:t>可靠性试验</w:t>
      </w:r>
      <w:bookmarkEnd w:id="150"/>
      <w:bookmarkEnd w:id="151"/>
      <w:bookmarkEnd w:id="152"/>
    </w:p>
    <w:p>
      <w:pPr>
        <w:rPr>
          <w:rFonts w:ascii="宋体_GB2312" w:hAnsi="宋体_GB2312" w:eastAsia="宋体_GB2312"/>
          <w:szCs w:val="24"/>
          <w:lang w:val="en-US"/>
        </w:rPr>
      </w:pPr>
      <w:r>
        <w:rPr>
          <w:rFonts w:hint="eastAsia" w:ascii="宋体_GB2312" w:hAnsi="宋体_GB2312" w:eastAsia="宋体_GB2312"/>
          <w:szCs w:val="24"/>
          <w:lang w:val="en-US"/>
        </w:rPr>
        <w:t>P</w:t>
      </w:r>
      <w:r>
        <w:rPr>
          <w:rFonts w:ascii="宋体_GB2312" w:hAnsi="宋体_GB2312" w:eastAsia="宋体_GB2312"/>
          <w:szCs w:val="24"/>
          <w:lang w:val="en-US"/>
        </w:rPr>
        <w:t>LC</w:t>
      </w:r>
      <w:r>
        <w:rPr>
          <w:rFonts w:hint="eastAsia" w:ascii="宋体_GB2312" w:hAnsi="宋体_GB2312" w:eastAsia="宋体_GB2312"/>
          <w:szCs w:val="24"/>
          <w:lang w:val="en-US"/>
        </w:rPr>
        <w:t>光分路器产品可靠性试验包括机械完整性试验和环境温度耐久性试验，应按Y</w:t>
      </w:r>
      <w:r>
        <w:rPr>
          <w:rFonts w:ascii="宋体_GB2312" w:hAnsi="宋体_GB2312" w:eastAsia="宋体_GB2312"/>
          <w:szCs w:val="24"/>
          <w:lang w:val="en-US"/>
        </w:rPr>
        <w:t>D/T 2000.1-2014</w:t>
      </w:r>
      <w:r>
        <w:rPr>
          <w:rFonts w:hint="eastAsia" w:ascii="宋体_GB2312" w:hAnsi="宋体_GB2312" w:eastAsia="宋体_GB2312"/>
          <w:szCs w:val="24"/>
          <w:lang w:val="en-US"/>
        </w:rPr>
        <w:t>《平面光波导集成光路器件 第1部分：基于平面光波导(PLC)的光功率分路器》中表4要求进行。</w:t>
      </w:r>
    </w:p>
    <w:bookmarkEnd w:id="99"/>
    <w:p>
      <w:pPr>
        <w:pStyle w:val="2"/>
        <w:spacing w:before="0" w:beforeLines="0" w:after="0" w:line="276" w:lineRule="auto"/>
        <w:jc w:val="both"/>
        <w:rPr>
          <w:rFonts w:ascii="宋体_GB2312" w:hAnsi="宋体_GB2312" w:eastAsia="宋体_GB2312"/>
          <w:sz w:val="24"/>
          <w:szCs w:val="24"/>
          <w:lang w:val="en-US"/>
        </w:rPr>
      </w:pPr>
      <w:bookmarkStart w:id="153" w:name="_Toc532376596"/>
      <w:bookmarkStart w:id="154" w:name="_Toc17184342"/>
      <w:bookmarkStart w:id="155" w:name="_Toc29713"/>
      <w:bookmarkStart w:id="156" w:name="_Toc238453618"/>
      <w:bookmarkStart w:id="157" w:name="_Toc238446435"/>
      <w:r>
        <w:rPr>
          <w:rFonts w:hint="eastAsia" w:ascii="宋体_GB2312" w:hAnsi="宋体_GB2312" w:eastAsia="宋体_GB2312"/>
          <w:sz w:val="24"/>
          <w:szCs w:val="24"/>
          <w:lang w:val="en-US"/>
        </w:rPr>
        <w:t>9标志、包装、运输和储存</w:t>
      </w:r>
      <w:bookmarkEnd w:id="153"/>
      <w:bookmarkEnd w:id="154"/>
      <w:bookmarkEnd w:id="155"/>
    </w:p>
    <w:p>
      <w:pPr>
        <w:pStyle w:val="3"/>
        <w:keepNext/>
        <w:spacing w:before="260" w:beforeLines="0" w:after="260" w:line="416" w:lineRule="atLeast"/>
        <w:ind w:right="240"/>
        <w:jc w:val="both"/>
        <w:rPr>
          <w:rFonts w:ascii="宋体_GB2312" w:hAnsi="宋体_GB2312" w:eastAsia="宋体_GB2312"/>
          <w:kern w:val="0"/>
          <w:szCs w:val="32"/>
          <w:lang w:val="en-US"/>
        </w:rPr>
      </w:pPr>
      <w:bookmarkStart w:id="158" w:name="_Toc532376597"/>
      <w:bookmarkStart w:id="159" w:name="_Toc17184343"/>
      <w:bookmarkStart w:id="160" w:name="_Toc30990"/>
      <w:r>
        <w:rPr>
          <w:rFonts w:ascii="宋体_GB2312" w:hAnsi="宋体_GB2312" w:eastAsia="宋体_GB2312"/>
          <w:kern w:val="0"/>
          <w:szCs w:val="32"/>
          <w:lang w:val="en-US"/>
        </w:rPr>
        <w:t>9.1</w:t>
      </w:r>
      <w:r>
        <w:rPr>
          <w:rFonts w:hint="eastAsia" w:ascii="宋体_GB2312" w:hAnsi="宋体_GB2312" w:eastAsia="宋体_GB2312"/>
          <w:kern w:val="0"/>
          <w:szCs w:val="32"/>
          <w:lang w:val="en-US"/>
        </w:rPr>
        <w:t>标志</w:t>
      </w:r>
      <w:bookmarkEnd w:id="158"/>
      <w:bookmarkEnd w:id="159"/>
      <w:bookmarkEnd w:id="160"/>
    </w:p>
    <w:p>
      <w:pPr>
        <w:rPr>
          <w:rFonts w:ascii="宋体_GB2312" w:hAnsi="宋体_GB2312" w:eastAsia="宋体_GB2312"/>
        </w:rPr>
      </w:pPr>
      <w:r>
        <w:rPr>
          <w:rFonts w:ascii="宋体_GB2312" w:hAnsi="宋体_GB2312" w:eastAsia="宋体_GB2312"/>
        </w:rPr>
        <w:t>9.1.1</w:t>
      </w:r>
      <w:r>
        <w:rPr>
          <w:rFonts w:hint="eastAsia" w:ascii="宋体_GB2312" w:hAnsi="宋体_GB2312" w:eastAsia="宋体_GB2312"/>
        </w:rPr>
        <w:t>标志内容：每个产品应标明产品型号、规格、编号、批的识别代码及安全等标志，如果产品体积小，应按优先顺序打印标志。</w:t>
      </w:r>
    </w:p>
    <w:p>
      <w:pPr>
        <w:rPr>
          <w:rFonts w:ascii="宋体_GB2312" w:hAnsi="宋体_GB2312" w:eastAsia="宋体_GB2312"/>
        </w:rPr>
      </w:pPr>
      <w:r>
        <w:rPr>
          <w:rFonts w:hint="eastAsia" w:ascii="宋体_GB2312" w:hAnsi="宋体_GB2312" w:eastAsia="宋体_GB2312"/>
        </w:rPr>
        <w:t>9</w:t>
      </w:r>
      <w:r>
        <w:rPr>
          <w:rFonts w:ascii="宋体_GB2312" w:hAnsi="宋体_GB2312" w:eastAsia="宋体_GB2312"/>
        </w:rPr>
        <w:t>.1.2</w:t>
      </w:r>
      <w:r>
        <w:rPr>
          <w:rFonts w:hint="eastAsia" w:ascii="宋体_GB2312" w:hAnsi="宋体_GB2312" w:eastAsia="宋体_GB2312"/>
        </w:rPr>
        <w:t>光分路器上必须有中国联通</w:t>
      </w:r>
      <w:r>
        <w:rPr>
          <w:rFonts w:ascii="宋体_GB2312" w:hAnsi="宋体_GB2312" w:eastAsia="宋体_GB2312"/>
        </w:rPr>
        <w:t>LOGO</w:t>
      </w:r>
      <w:r>
        <w:rPr>
          <w:rFonts w:hint="eastAsia" w:ascii="宋体_GB2312" w:hAnsi="宋体_GB2312" w:eastAsia="宋体_GB2312"/>
        </w:rPr>
        <w:t>和厂家</w:t>
      </w:r>
      <w:r>
        <w:rPr>
          <w:rFonts w:ascii="宋体_GB2312" w:hAnsi="宋体_GB2312" w:eastAsia="宋体_GB2312"/>
        </w:rPr>
        <w:t>LOGO</w:t>
      </w:r>
      <w:r>
        <w:rPr>
          <w:rFonts w:hint="eastAsia" w:ascii="宋体_GB2312" w:hAnsi="宋体_GB2312" w:eastAsia="宋体_GB2312"/>
        </w:rPr>
        <w:t>标识。标识均应是永久的、清晰的，标识和端口序号在塑料盒体上应采用永久性注塑成型、非印刷形式，在金属盒体上应采用激光雕刻方式。</w:t>
      </w:r>
      <w:r>
        <w:rPr>
          <w:rFonts w:ascii="宋体_GB2312" w:hAnsi="宋体_GB2312" w:eastAsia="宋体_GB2312"/>
        </w:rPr>
        <w:t>盒式</w:t>
      </w:r>
      <w:r>
        <w:rPr>
          <w:rFonts w:hint="eastAsia" w:ascii="宋体_GB2312" w:hAnsi="宋体_GB2312" w:eastAsia="宋体_GB2312"/>
        </w:rPr>
        <w:t>光分路器应</w:t>
      </w:r>
      <w:r>
        <w:rPr>
          <w:rFonts w:ascii="宋体_GB2312" w:hAnsi="宋体_GB2312" w:eastAsia="宋体_GB2312"/>
        </w:rPr>
        <w:t>在盒子正面（与进出纤面垂直的</w:t>
      </w:r>
      <w:r>
        <w:rPr>
          <w:rFonts w:hint="eastAsia" w:ascii="宋体_GB2312" w:hAnsi="宋体_GB2312" w:eastAsia="宋体_GB2312"/>
        </w:rPr>
        <w:t>非螺丝孔</w:t>
      </w:r>
      <w:r>
        <w:rPr>
          <w:rFonts w:ascii="宋体_GB2312" w:hAnsi="宋体_GB2312" w:eastAsia="宋体_GB2312"/>
        </w:rPr>
        <w:t>面）上进行标识</w:t>
      </w:r>
      <w:r>
        <w:rPr>
          <w:rFonts w:hint="eastAsia" w:ascii="宋体_GB2312" w:hAnsi="宋体_GB2312" w:eastAsia="宋体_GB2312"/>
        </w:rPr>
        <w:t>，插片式、托盘式和机架式光分路器应在装配有适配器的一面标识（联通LOGO在左，厂家LOGO在右）。中国联通LOGO见图1。</w:t>
      </w:r>
    </w:p>
    <w:p>
      <w:pPr>
        <w:rPr>
          <w:rFonts w:ascii="宋体_GB2312" w:hAnsi="宋体_GB2312" w:eastAsia="宋体_GB2312"/>
        </w:rPr>
      </w:pPr>
      <w:r>
        <w:rPr>
          <w:rFonts w:ascii="宋体_GB2312" w:hAnsi="宋体_GB2312" w:eastAsia="宋体_GB2312"/>
        </w:rPr>
        <w:drawing>
          <wp:inline distT="0" distB="0" distL="0" distR="0">
            <wp:extent cx="4667250" cy="127698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3"/>
                    <a:stretch>
                      <a:fillRect/>
                    </a:stretch>
                  </pic:blipFill>
                  <pic:spPr>
                    <a:xfrm>
                      <a:off x="0" y="0"/>
                      <a:ext cx="4790072" cy="1310557"/>
                    </a:xfrm>
                    <a:prstGeom prst="rect">
                      <a:avLst/>
                    </a:prstGeom>
                  </pic:spPr>
                </pic:pic>
              </a:graphicData>
            </a:graphic>
          </wp:inline>
        </w:drawing>
      </w:r>
    </w:p>
    <w:p>
      <w:pPr>
        <w:ind w:firstLine="482"/>
        <w:jc w:val="center"/>
        <w:rPr>
          <w:rFonts w:hint="eastAsia" w:ascii="宋体_GB2312" w:hAnsi="宋体_GB2312" w:eastAsia="宋体_GB2312"/>
          <w:b/>
          <w:bCs/>
          <w:lang w:val="en-US"/>
        </w:rPr>
      </w:pPr>
      <w:r>
        <w:rPr>
          <w:rFonts w:hint="eastAsia" w:ascii="宋体_GB2312" w:hAnsi="宋体_GB2312" w:eastAsia="宋体_GB2312"/>
          <w:b/>
          <w:bCs/>
          <w:lang w:val="en-US"/>
        </w:rPr>
        <w:t>图1</w:t>
      </w:r>
      <w:r>
        <w:rPr>
          <w:rFonts w:ascii="宋体_GB2312" w:hAnsi="宋体_GB2312" w:eastAsia="宋体_GB2312"/>
          <w:b/>
          <w:bCs/>
          <w:lang w:val="en-US"/>
        </w:rPr>
        <w:t xml:space="preserve">2 </w:t>
      </w:r>
      <w:r>
        <w:rPr>
          <w:rFonts w:hint="eastAsia" w:ascii="宋体_GB2312" w:hAnsi="宋体_GB2312" w:eastAsia="宋体_GB2312"/>
          <w:b/>
          <w:bCs/>
          <w:lang w:val="en-US"/>
        </w:rPr>
        <w:t>中国联通</w:t>
      </w:r>
      <w:r>
        <w:rPr>
          <w:rFonts w:ascii="宋体_GB2312" w:hAnsi="宋体_GB2312" w:eastAsia="宋体_GB2312"/>
          <w:b/>
          <w:bCs/>
          <w:lang w:val="en-US"/>
        </w:rPr>
        <w:t>LOGO</w:t>
      </w:r>
    </w:p>
    <w:p>
      <w:pPr>
        <w:rPr>
          <w:rFonts w:hint="eastAsia" w:ascii="宋体_GB2312" w:hAnsi="宋体_GB2312" w:eastAsia="宋体_GB2312"/>
          <w:lang w:val="en-US"/>
        </w:rPr>
      </w:pPr>
      <w:r>
        <w:rPr>
          <w:rFonts w:ascii="宋体_GB2312" w:hAnsi="宋体_GB2312" w:eastAsia="宋体_GB2312"/>
          <w:szCs w:val="21"/>
        </w:rPr>
        <w:t>9.1.3</w:t>
      </w:r>
      <w:r>
        <w:rPr>
          <w:rFonts w:hint="eastAsia" w:ascii="宋体_GB2312" w:hAnsi="宋体_GB2312" w:eastAsia="宋体_GB2312"/>
          <w:szCs w:val="21"/>
        </w:rPr>
        <w:t xml:space="preserve">在光分路器的端口上应进行永久性标识：光分路器的输入、输出端口应提供永久性的输入和输出标识、输出数字顺序标识，盒体还应粘贴有用户端子表，端子表内应有端口编号和用户编号。 </w:t>
      </w:r>
    </w:p>
    <w:p>
      <w:pPr>
        <w:rPr>
          <w:rFonts w:ascii="宋体_GB2312" w:hAnsi="宋体_GB2312" w:eastAsia="宋体_GB2312"/>
        </w:rPr>
      </w:pPr>
      <w:r>
        <w:rPr>
          <w:rFonts w:ascii="宋体_GB2312" w:hAnsi="宋体_GB2312" w:eastAsia="宋体_GB2312"/>
        </w:rPr>
        <w:t>9.1.4</w:t>
      </w:r>
      <w:r>
        <w:rPr>
          <w:rFonts w:hint="eastAsia" w:ascii="宋体_GB2312" w:hAnsi="宋体_GB2312" w:eastAsia="宋体_GB2312"/>
        </w:rPr>
        <w:t>标志要求：</w:t>
      </w:r>
      <w:r>
        <w:rPr>
          <w:rFonts w:hint="eastAsia" w:ascii="宋体_GB2312" w:hAnsi="宋体_GB2312" w:eastAsia="宋体_GB2312"/>
          <w:szCs w:val="24"/>
          <w:lang w:val="en-US"/>
        </w:rPr>
        <w:t>进行</w:t>
      </w:r>
      <w:r>
        <w:rPr>
          <w:rFonts w:hint="eastAsia" w:ascii="宋体_GB2312" w:hAnsi="宋体_GB2312" w:eastAsia="宋体_GB2312"/>
        </w:rPr>
        <w:t>全部试验后，标志应保持清晰。标志损伤了的产品必须重新打印标志，以保证发货之前标志的清晰。</w:t>
      </w:r>
    </w:p>
    <w:p>
      <w:pPr>
        <w:rPr>
          <w:rFonts w:ascii="宋体_GB2312" w:hAnsi="宋体_GB2312" w:eastAsia="宋体_GB2312"/>
        </w:rPr>
      </w:pPr>
      <w:r>
        <w:rPr>
          <w:rFonts w:ascii="宋体_GB2312" w:hAnsi="宋体_GB2312" w:eastAsia="宋体_GB2312"/>
        </w:rPr>
        <w:t>9.1.5</w:t>
      </w:r>
      <w:r>
        <w:rPr>
          <w:rFonts w:hint="eastAsia" w:ascii="宋体_GB2312" w:hAnsi="宋体_GB2312" w:eastAsia="宋体_GB2312"/>
        </w:rPr>
        <w:t>污染控制标志：产品的污染控制标志应按</w:t>
      </w:r>
      <w:r>
        <w:rPr>
          <w:rFonts w:ascii="宋体_GB2312" w:hAnsi="宋体_GB2312" w:eastAsia="宋体_GB2312"/>
        </w:rPr>
        <w:t>SJ/T 11364</w:t>
      </w:r>
      <w:r>
        <w:rPr>
          <w:rFonts w:hint="eastAsia" w:ascii="宋体_GB2312" w:hAnsi="宋体_GB2312" w:eastAsia="宋体_GB2312"/>
        </w:rPr>
        <w:t>《</w:t>
      </w:r>
      <w:r>
        <w:rPr>
          <w:rFonts w:hint="eastAsia" w:ascii="宋体_GB2312" w:hAnsi="宋体_GB2312" w:eastAsia="宋体_GB2312"/>
          <w:szCs w:val="21"/>
        </w:rPr>
        <w:t>电子信息产品污染控制标识要</w:t>
      </w:r>
      <w:r>
        <w:rPr>
          <w:rFonts w:hint="eastAsia" w:ascii="宋体_GB2312" w:hAnsi="宋体_GB2312" w:eastAsia="宋体_GB2312"/>
        </w:rPr>
        <w:t>求》中的规定，在包装盒或产品上打印上电子信息产品污染控制标志。</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61" w:name="_Toc23936"/>
      <w:bookmarkStart w:id="162" w:name="_Toc532376598"/>
      <w:bookmarkStart w:id="163" w:name="_Toc17184344"/>
      <w:r>
        <w:rPr>
          <w:rFonts w:ascii="宋体_GB2312" w:hAnsi="宋体_GB2312" w:eastAsia="宋体_GB2312"/>
          <w:kern w:val="0"/>
          <w:szCs w:val="32"/>
          <w:lang w:val="en-US"/>
        </w:rPr>
        <w:t>9.2</w:t>
      </w:r>
      <w:r>
        <w:rPr>
          <w:rFonts w:hint="eastAsia" w:ascii="宋体_GB2312" w:hAnsi="宋体_GB2312" w:eastAsia="宋体_GB2312"/>
          <w:kern w:val="0"/>
          <w:szCs w:val="32"/>
          <w:lang w:val="en-US"/>
        </w:rPr>
        <w:t>包装</w:t>
      </w:r>
      <w:bookmarkEnd w:id="161"/>
      <w:bookmarkEnd w:id="162"/>
      <w:bookmarkEnd w:id="163"/>
    </w:p>
    <w:p>
      <w:pPr>
        <w:rPr>
          <w:rFonts w:ascii="宋体_GB2312" w:hAnsi="宋体_GB2312" w:eastAsia="宋体_GB2312"/>
        </w:rPr>
      </w:pPr>
      <w:r>
        <w:rPr>
          <w:rFonts w:hint="eastAsia" w:ascii="宋体_GB2312" w:hAnsi="宋体_GB2312" w:eastAsia="宋体_GB2312"/>
        </w:rPr>
        <w:t>9</w:t>
      </w:r>
      <w:r>
        <w:rPr>
          <w:rFonts w:ascii="宋体_GB2312" w:hAnsi="宋体_GB2312" w:eastAsia="宋体_GB2312"/>
        </w:rPr>
        <w:t>.2.1</w:t>
      </w:r>
      <w:r>
        <w:rPr>
          <w:rFonts w:hint="eastAsia" w:ascii="宋体_GB2312" w:hAnsi="宋体_GB2312" w:eastAsia="宋体_GB2312"/>
        </w:rPr>
        <w:t>产品应有良好的包装措施，避免在运输过程中受到损坏。包装盒上应标有产品名称、型号和规格、</w:t>
      </w:r>
      <w:r>
        <w:rPr>
          <w:rFonts w:ascii="宋体_GB2312" w:hAnsi="宋体_GB2312" w:eastAsia="宋体_GB2312"/>
        </w:rPr>
        <w:t xml:space="preserve"> </w:t>
      </w:r>
      <w:r>
        <w:rPr>
          <w:rFonts w:hint="eastAsia" w:ascii="宋体_GB2312" w:hAnsi="宋体_GB2312" w:eastAsia="宋体_GB2312"/>
        </w:rPr>
        <w:t>生产厂家、产品执行标准号等。</w:t>
      </w:r>
    </w:p>
    <w:p>
      <w:pPr>
        <w:rPr>
          <w:rFonts w:ascii="宋体_GB2312" w:hAnsi="宋体_GB2312" w:eastAsia="宋体_GB2312"/>
        </w:rPr>
      </w:pPr>
      <w:r>
        <w:rPr>
          <w:rFonts w:hint="eastAsia" w:ascii="宋体_GB2312" w:hAnsi="宋体_GB2312" w:eastAsia="宋体_GB2312"/>
        </w:rPr>
        <w:t>9</w:t>
      </w:r>
      <w:r>
        <w:rPr>
          <w:rFonts w:ascii="宋体_GB2312" w:hAnsi="宋体_GB2312" w:eastAsia="宋体_GB2312"/>
        </w:rPr>
        <w:t>.2.2</w:t>
      </w:r>
      <w:r>
        <w:rPr>
          <w:rFonts w:hint="eastAsia" w:ascii="宋体_GB2312" w:hAnsi="宋体_GB2312" w:eastAsia="宋体_GB2312"/>
        </w:rPr>
        <w:t>包装盒内应有产品说明书。说明书内容包括：</w:t>
      </w:r>
      <w:r>
        <w:rPr>
          <w:rFonts w:ascii="宋体_GB2312" w:hAnsi="宋体_GB2312" w:eastAsia="宋体_GB2312"/>
        </w:rPr>
        <w:t>PLC光分路器名称、型号，简要工作原理和主要技术</w:t>
      </w:r>
      <w:r>
        <w:rPr>
          <w:rFonts w:hint="eastAsia" w:ascii="宋体_GB2312" w:hAnsi="宋体_GB2312" w:eastAsia="宋体_GB2312"/>
          <w:szCs w:val="24"/>
          <w:lang w:val="en-US"/>
        </w:rPr>
        <w:t>指标</w:t>
      </w:r>
      <w:r>
        <w:rPr>
          <w:rFonts w:hint="eastAsia" w:ascii="宋体_GB2312" w:hAnsi="宋体_GB2312" w:eastAsia="宋体_GB2312"/>
        </w:rPr>
        <w:t>，工作条件，安装尺寸，使用注意事项等。</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64" w:name="_Toc532376599"/>
      <w:bookmarkStart w:id="165" w:name="_Toc17184345"/>
      <w:bookmarkStart w:id="166" w:name="_Toc6813"/>
      <w:r>
        <w:rPr>
          <w:rFonts w:ascii="宋体_GB2312" w:hAnsi="宋体_GB2312" w:eastAsia="宋体_GB2312"/>
          <w:kern w:val="0"/>
          <w:szCs w:val="32"/>
          <w:lang w:val="en-US"/>
        </w:rPr>
        <w:t>9.3</w:t>
      </w:r>
      <w:r>
        <w:rPr>
          <w:rFonts w:hint="eastAsia" w:ascii="宋体_GB2312" w:hAnsi="宋体_GB2312" w:eastAsia="宋体_GB2312"/>
          <w:kern w:val="0"/>
          <w:szCs w:val="32"/>
          <w:lang w:val="en-US"/>
        </w:rPr>
        <w:t>运输</w:t>
      </w:r>
      <w:bookmarkEnd w:id="164"/>
      <w:bookmarkEnd w:id="165"/>
      <w:bookmarkEnd w:id="166"/>
    </w:p>
    <w:p>
      <w:pPr>
        <w:rPr>
          <w:rFonts w:ascii="宋体_GB2312" w:hAnsi="宋体_GB2312" w:eastAsia="宋体_GB2312"/>
        </w:rPr>
      </w:pPr>
      <w:r>
        <w:rPr>
          <w:rFonts w:hint="eastAsia" w:ascii="宋体_GB2312" w:hAnsi="宋体_GB2312" w:eastAsia="宋体_GB2312"/>
        </w:rPr>
        <w:t>包装好的产品</w:t>
      </w:r>
      <w:r>
        <w:rPr>
          <w:rFonts w:hint="eastAsia" w:ascii="宋体_GB2312" w:hAnsi="宋体_GB2312" w:eastAsia="宋体_GB2312"/>
          <w:szCs w:val="24"/>
          <w:lang w:val="en-US"/>
        </w:rPr>
        <w:t>使用</w:t>
      </w:r>
      <w:r>
        <w:rPr>
          <w:rFonts w:hint="eastAsia" w:ascii="宋体_GB2312" w:hAnsi="宋体_GB2312" w:eastAsia="宋体_GB2312"/>
        </w:rPr>
        <w:t>常用的交通工具运输，运输中避免雨、雪的直接淋袭，烈日曝晒和猛烈撞击。</w:t>
      </w:r>
    </w:p>
    <w:p>
      <w:pPr>
        <w:pStyle w:val="3"/>
        <w:keepNext/>
        <w:spacing w:before="260" w:beforeLines="0" w:after="260" w:line="416" w:lineRule="atLeast"/>
        <w:ind w:right="240"/>
        <w:jc w:val="both"/>
        <w:rPr>
          <w:rFonts w:ascii="宋体_GB2312" w:hAnsi="宋体_GB2312" w:eastAsia="宋体_GB2312"/>
          <w:kern w:val="0"/>
          <w:szCs w:val="32"/>
          <w:lang w:val="en-US"/>
        </w:rPr>
      </w:pPr>
      <w:bookmarkStart w:id="167" w:name="_Toc5594"/>
      <w:bookmarkStart w:id="168" w:name="_Toc17184346"/>
      <w:bookmarkStart w:id="169" w:name="_Toc532376600"/>
      <w:r>
        <w:rPr>
          <w:rFonts w:ascii="宋体_GB2312" w:hAnsi="宋体_GB2312" w:eastAsia="宋体_GB2312"/>
          <w:kern w:val="0"/>
          <w:szCs w:val="32"/>
          <w:lang w:val="en-US"/>
        </w:rPr>
        <w:t>9.4</w:t>
      </w:r>
      <w:r>
        <w:rPr>
          <w:rFonts w:hint="eastAsia" w:ascii="宋体_GB2312" w:hAnsi="宋体_GB2312" w:eastAsia="宋体_GB2312"/>
          <w:kern w:val="0"/>
          <w:szCs w:val="32"/>
          <w:lang w:val="en-US"/>
        </w:rPr>
        <w:t>储存</w:t>
      </w:r>
      <w:bookmarkEnd w:id="167"/>
      <w:bookmarkEnd w:id="168"/>
      <w:bookmarkEnd w:id="169"/>
    </w:p>
    <w:p>
      <w:pPr>
        <w:rPr>
          <w:rFonts w:ascii="宋体_GB2312" w:hAnsi="宋体_GB2312" w:eastAsia="宋体_GB2312"/>
        </w:rPr>
      </w:pPr>
      <w:r>
        <w:rPr>
          <w:rFonts w:hint="eastAsia" w:ascii="宋体_GB2312" w:hAnsi="宋体_GB2312" w:eastAsia="宋体_GB2312"/>
        </w:rPr>
        <w:t>产品应储存在环境温度</w:t>
      </w:r>
      <w:r>
        <w:rPr>
          <w:rFonts w:ascii="宋体_GB2312" w:hAnsi="宋体_GB2312" w:eastAsia="宋体_GB2312"/>
        </w:rPr>
        <w:t>-40</w:t>
      </w:r>
      <w:r>
        <w:rPr>
          <w:rFonts w:hint="eastAsia" w:ascii="宋体_GB2312" w:hAnsi="宋体_GB2312" w:eastAsia="宋体_GB2312"/>
        </w:rPr>
        <w:t>℃～</w:t>
      </w:r>
      <w:r>
        <w:rPr>
          <w:rFonts w:ascii="宋体_GB2312" w:hAnsi="宋体_GB2312" w:eastAsia="宋体_GB2312"/>
        </w:rPr>
        <w:t>+85</w:t>
      </w:r>
      <w:r>
        <w:rPr>
          <w:rFonts w:hint="eastAsia" w:ascii="宋体_GB2312" w:hAnsi="宋体_GB2312" w:eastAsia="宋体_GB2312"/>
        </w:rPr>
        <w:t>℃，</w:t>
      </w:r>
      <w:r>
        <w:rPr>
          <w:rFonts w:hint="eastAsia" w:ascii="宋体_GB2312" w:hAnsi="宋体_GB2312" w:eastAsia="宋体_GB2312"/>
          <w:sz w:val="24"/>
          <w:szCs w:val="21"/>
        </w:rPr>
        <w:t>湿度小于</w:t>
      </w:r>
      <w:r>
        <w:rPr>
          <w:rFonts w:ascii="宋体_GB2312" w:hAnsi="宋体_GB2312" w:eastAsia="宋体_GB2312"/>
          <w:sz w:val="24"/>
          <w:szCs w:val="21"/>
        </w:rPr>
        <w:t>40%</w:t>
      </w:r>
      <w:r>
        <w:rPr>
          <w:rFonts w:hint="eastAsia" w:ascii="宋体_GB2312" w:hAnsi="宋体_GB2312" w:eastAsia="宋体_GB2312"/>
          <w:sz w:val="24"/>
          <w:szCs w:val="21"/>
        </w:rPr>
        <w:t>RH</w:t>
      </w:r>
      <w:r>
        <w:rPr>
          <w:rFonts w:hint="eastAsia" w:ascii="宋体_GB2312" w:hAnsi="宋体_GB2312" w:eastAsia="宋体_GB2312"/>
        </w:rPr>
        <w:t>且无腐蚀性气体、液体的仓库里。储存期</w:t>
      </w:r>
      <w:r>
        <w:rPr>
          <w:rFonts w:hint="eastAsia" w:ascii="宋体_GB2312" w:hAnsi="宋体_GB2312" w:eastAsia="宋体_GB2312"/>
          <w:szCs w:val="24"/>
          <w:lang w:val="en-US"/>
        </w:rPr>
        <w:t>超过</w:t>
      </w:r>
      <w:r>
        <w:rPr>
          <w:rFonts w:ascii="宋体_GB2312" w:hAnsi="宋体_GB2312" w:eastAsia="宋体_GB2312"/>
        </w:rPr>
        <w:t>12个月的产品，出库前，应</w:t>
      </w:r>
      <w:r>
        <w:rPr>
          <w:rFonts w:hint="eastAsia" w:ascii="宋体_GB2312" w:hAnsi="宋体_GB2312" w:eastAsia="宋体_GB2312"/>
        </w:rPr>
        <w:t>按</w:t>
      </w:r>
      <w:r>
        <w:rPr>
          <w:rFonts w:ascii="宋体_GB2312" w:hAnsi="宋体_GB2312" w:eastAsia="宋体_GB2312"/>
        </w:rPr>
        <w:t>YD/T 2000.1-2014</w:t>
      </w:r>
      <w:r>
        <w:rPr>
          <w:rFonts w:hint="eastAsia" w:ascii="宋体_GB2312" w:hAnsi="宋体_GB2312" w:eastAsia="宋体_GB2312"/>
        </w:rPr>
        <w:t>第</w:t>
      </w:r>
      <w:r>
        <w:rPr>
          <w:rFonts w:ascii="宋体_GB2312" w:hAnsi="宋体_GB2312" w:eastAsia="宋体_GB2312"/>
        </w:rPr>
        <w:t>6章规定的方法</w:t>
      </w:r>
      <w:r>
        <w:rPr>
          <w:rFonts w:hint="eastAsia" w:ascii="宋体_GB2312" w:hAnsi="宋体_GB2312" w:eastAsia="宋体_GB2312"/>
        </w:rPr>
        <w:t>对光学特性进行测试，测试结果符合表</w:t>
      </w:r>
      <w:r>
        <w:rPr>
          <w:rFonts w:ascii="宋体_GB2312" w:hAnsi="宋体_GB2312" w:eastAsia="宋体_GB2312"/>
        </w:rPr>
        <w:t>1和表2</w:t>
      </w:r>
      <w:r>
        <w:rPr>
          <w:rFonts w:hint="eastAsia" w:ascii="宋体_GB2312" w:hAnsi="宋体_GB2312" w:eastAsia="宋体_GB2312"/>
        </w:rPr>
        <w:t>的要求方可出库。</w:t>
      </w:r>
      <w:bookmarkEnd w:id="156"/>
      <w:bookmarkEnd w:id="157"/>
    </w:p>
    <w:p>
      <w:pPr>
        <w:pStyle w:val="2"/>
        <w:spacing w:before="0" w:beforeLines="0" w:after="0" w:line="276" w:lineRule="auto"/>
        <w:jc w:val="both"/>
        <w:rPr>
          <w:rFonts w:ascii="宋体_GB2312" w:hAnsi="宋体_GB2312" w:eastAsia="宋体_GB2312"/>
          <w:sz w:val="24"/>
          <w:szCs w:val="24"/>
          <w:lang w:val="en-US"/>
        </w:rPr>
      </w:pPr>
      <w:bookmarkStart w:id="170" w:name="_Toc532367544"/>
      <w:bookmarkStart w:id="171" w:name="_Toc17184347"/>
      <w:bookmarkStart w:id="172" w:name="_Toc30356"/>
      <w:r>
        <w:rPr>
          <w:rFonts w:ascii="宋体_GB2312" w:hAnsi="宋体_GB2312" w:eastAsia="宋体_GB2312"/>
          <w:sz w:val="24"/>
          <w:szCs w:val="24"/>
          <w:lang w:val="en-US"/>
        </w:rPr>
        <w:t>10</w:t>
      </w:r>
      <w:r>
        <w:rPr>
          <w:rFonts w:hint="eastAsia" w:ascii="宋体_GB2312" w:hAnsi="宋体_GB2312" w:eastAsia="宋体_GB2312"/>
          <w:sz w:val="24"/>
          <w:szCs w:val="24"/>
          <w:lang w:val="en-US"/>
        </w:rPr>
        <w:t>其它指标和性能</w:t>
      </w:r>
      <w:bookmarkEnd w:id="170"/>
      <w:bookmarkEnd w:id="171"/>
      <w:bookmarkEnd w:id="172"/>
    </w:p>
    <w:p>
      <w:pPr>
        <w:rPr>
          <w:rFonts w:ascii="宋体_GB2312" w:hAnsi="宋体_GB2312" w:eastAsia="宋体_GB2312"/>
        </w:rPr>
      </w:pPr>
      <w:r>
        <w:rPr>
          <w:rFonts w:hint="eastAsia" w:ascii="宋体_GB2312" w:hAnsi="宋体_GB2312" w:eastAsia="宋体_GB2312"/>
          <w:szCs w:val="24"/>
        </w:rPr>
        <w:t>本</w:t>
      </w:r>
      <w:r>
        <w:rPr>
          <w:rFonts w:ascii="宋体_GB2312" w:hAnsi="宋体_GB2312" w:eastAsia="宋体_GB2312"/>
          <w:szCs w:val="24"/>
        </w:rPr>
        <w:t>技术规范书中</w:t>
      </w:r>
      <w:r>
        <w:rPr>
          <w:rFonts w:hint="eastAsia" w:ascii="宋体_GB2312" w:hAnsi="宋体_GB2312" w:eastAsia="宋体_GB2312"/>
          <w:szCs w:val="24"/>
        </w:rPr>
        <w:t>未</w:t>
      </w:r>
      <w:r>
        <w:rPr>
          <w:rFonts w:ascii="宋体_GB2312" w:hAnsi="宋体_GB2312" w:eastAsia="宋体_GB2312"/>
          <w:szCs w:val="24"/>
        </w:rPr>
        <w:t>规定的</w:t>
      </w:r>
      <w:r>
        <w:rPr>
          <w:rFonts w:hint="eastAsia" w:ascii="宋体_GB2312" w:hAnsi="宋体_GB2312" w:eastAsia="宋体_GB2312"/>
          <w:szCs w:val="24"/>
        </w:rPr>
        <w:t>其它</w:t>
      </w:r>
      <w:r>
        <w:rPr>
          <w:rFonts w:ascii="宋体_GB2312" w:hAnsi="宋体_GB2312" w:eastAsia="宋体_GB2312"/>
          <w:szCs w:val="24"/>
        </w:rPr>
        <w:t>技术指标，应满足YD/T</w:t>
      </w:r>
      <w:r>
        <w:rPr>
          <w:rFonts w:hint="eastAsia" w:ascii="宋体_GB2312" w:hAnsi="宋体_GB2312" w:eastAsia="宋体_GB2312"/>
          <w:szCs w:val="24"/>
        </w:rPr>
        <w:t xml:space="preserve"> 2000.1-2014 《平面光波导集成光路器件 第1部分：基于平面光波导(PLC)的光功率分路器》、</w:t>
      </w:r>
      <w:r>
        <w:rPr>
          <w:rFonts w:ascii="宋体_GB2312" w:hAnsi="宋体_GB2312" w:eastAsia="宋体_GB2312"/>
          <w:szCs w:val="24"/>
        </w:rPr>
        <w:t>YD/T 1954-2013《接入网用弯曲损</w:t>
      </w:r>
      <w:r>
        <w:rPr>
          <w:rFonts w:hint="eastAsia" w:ascii="宋体_GB2312" w:hAnsi="宋体_GB2312" w:eastAsia="宋体_GB2312"/>
          <w:szCs w:val="24"/>
        </w:rPr>
        <w:t>耗不敏感单模光纤特性》、</w:t>
      </w:r>
      <w:r>
        <w:rPr>
          <w:rFonts w:ascii="宋体_GB2312" w:hAnsi="宋体_GB2312" w:eastAsia="宋体_GB2312"/>
          <w:szCs w:val="24"/>
        </w:rPr>
        <w:t>YD/T 1272.1-2018</w:t>
      </w:r>
      <w:r>
        <w:rPr>
          <w:rFonts w:hint="eastAsia" w:ascii="宋体_GB2312" w:hAnsi="宋体_GB2312" w:eastAsia="宋体_GB2312"/>
          <w:szCs w:val="24"/>
        </w:rPr>
        <w:t>《光纤活动连接器</w:t>
      </w:r>
      <w:r>
        <w:rPr>
          <w:rFonts w:ascii="宋体_GB2312" w:hAnsi="宋体_GB2312" w:eastAsia="宋体_GB2312"/>
          <w:szCs w:val="24"/>
        </w:rPr>
        <w:t xml:space="preserve"> </w:t>
      </w:r>
      <w:r>
        <w:rPr>
          <w:rFonts w:hint="eastAsia" w:ascii="宋体_GB2312" w:hAnsi="宋体_GB2312" w:eastAsia="宋体_GB2312"/>
          <w:szCs w:val="24"/>
        </w:rPr>
        <w:t>第一部分：</w:t>
      </w:r>
      <w:r>
        <w:rPr>
          <w:rFonts w:ascii="宋体_GB2312" w:hAnsi="宋体_GB2312" w:eastAsia="宋体_GB2312"/>
          <w:szCs w:val="24"/>
        </w:rPr>
        <w:t xml:space="preserve"> LC型》</w:t>
      </w:r>
      <w:r>
        <w:rPr>
          <w:rFonts w:hint="eastAsia" w:ascii="宋体_GB2312" w:hAnsi="宋体_GB2312" w:eastAsia="宋体_GB2312"/>
          <w:szCs w:val="24"/>
        </w:rPr>
        <w:t>、</w:t>
      </w:r>
      <w:r>
        <w:rPr>
          <w:rFonts w:ascii="宋体_GB2312" w:hAnsi="宋体_GB2312" w:eastAsia="宋体_GB2312"/>
          <w:szCs w:val="24"/>
        </w:rPr>
        <w:t xml:space="preserve">YD/T 1272.3-2015《光纤活动连接器 </w:t>
      </w:r>
      <w:r>
        <w:rPr>
          <w:rFonts w:hint="eastAsia" w:ascii="宋体_GB2312" w:hAnsi="宋体_GB2312" w:eastAsia="宋体_GB2312"/>
          <w:szCs w:val="24"/>
        </w:rPr>
        <w:t>第</w:t>
      </w:r>
      <w:r>
        <w:rPr>
          <w:rFonts w:ascii="宋体_GB2312" w:hAnsi="宋体_GB2312" w:eastAsia="宋体_GB2312"/>
          <w:szCs w:val="24"/>
        </w:rPr>
        <w:t>3</w:t>
      </w:r>
      <w:r>
        <w:rPr>
          <w:rFonts w:hint="eastAsia" w:ascii="宋体_GB2312" w:hAnsi="宋体_GB2312" w:eastAsia="宋体_GB2312"/>
          <w:szCs w:val="24"/>
        </w:rPr>
        <w:t>部分：</w:t>
      </w:r>
      <w:r>
        <w:rPr>
          <w:rFonts w:ascii="宋体_GB2312" w:hAnsi="宋体_GB2312" w:eastAsia="宋体_GB2312"/>
          <w:szCs w:val="24"/>
        </w:rPr>
        <w:t xml:space="preserve"> SC型》、YD/T 1272.4-2018《光纤活动连接器 </w:t>
      </w:r>
      <w:r>
        <w:rPr>
          <w:rFonts w:hint="eastAsia" w:ascii="宋体_GB2312" w:hAnsi="宋体_GB2312" w:eastAsia="宋体_GB2312"/>
          <w:szCs w:val="24"/>
        </w:rPr>
        <w:t>第</w:t>
      </w:r>
      <w:r>
        <w:rPr>
          <w:rFonts w:ascii="宋体_GB2312" w:hAnsi="宋体_GB2312" w:eastAsia="宋体_GB2312"/>
          <w:szCs w:val="24"/>
        </w:rPr>
        <w:t>4</w:t>
      </w:r>
      <w:r>
        <w:rPr>
          <w:rFonts w:hint="eastAsia" w:ascii="宋体_GB2312" w:hAnsi="宋体_GB2312" w:eastAsia="宋体_GB2312"/>
          <w:szCs w:val="24"/>
        </w:rPr>
        <w:t>部分：</w:t>
      </w:r>
      <w:r>
        <w:rPr>
          <w:rFonts w:ascii="宋体_GB2312" w:hAnsi="宋体_GB2312" w:eastAsia="宋体_GB2312"/>
          <w:szCs w:val="24"/>
        </w:rPr>
        <w:t xml:space="preserve"> FC型》</w:t>
      </w:r>
      <w:r>
        <w:rPr>
          <w:rFonts w:hint="eastAsia" w:ascii="宋体_GB2312" w:hAnsi="宋体_GB2312" w:eastAsia="宋体_GB2312"/>
          <w:szCs w:val="24"/>
        </w:rPr>
        <w:t>等规范</w:t>
      </w:r>
      <w:r>
        <w:rPr>
          <w:rFonts w:ascii="宋体_GB2312" w:hAnsi="宋体_GB2312" w:eastAsia="宋体_GB2312"/>
          <w:szCs w:val="24"/>
        </w:rPr>
        <w:t>中的</w:t>
      </w:r>
      <w:r>
        <w:rPr>
          <w:rFonts w:hint="eastAsia" w:ascii="宋体_GB2312" w:hAnsi="宋体_GB2312" w:eastAsia="宋体_GB2312"/>
          <w:szCs w:val="24"/>
        </w:rPr>
        <w:t>规定</w:t>
      </w:r>
      <w:r>
        <w:rPr>
          <w:rFonts w:ascii="宋体_GB2312" w:hAnsi="宋体_GB2312" w:eastAsia="宋体_GB2312"/>
          <w:szCs w:val="24"/>
        </w:rPr>
        <w:t>要求。</w:t>
      </w:r>
    </w:p>
    <w:sectPr>
      <w:headerReference r:id="rId8" w:type="default"/>
      <w:footerReference r:id="rId10" w:type="default"/>
      <w:headerReference r:id="rId9" w:type="even"/>
      <w:pgSz w:w="11907" w:h="16840"/>
      <w:pgMar w:top="1701" w:right="1418" w:bottom="1418" w:left="1985" w:header="1134" w:footer="851"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仿宋体">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长城仿宋">
    <w:altName w:val="黑体"/>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楷体_GB2312">
    <w:altName w:val="楷体"/>
    <w:panose1 w:val="00000000000000000000"/>
    <w:charset w:val="86"/>
    <w:family w:val="modern"/>
    <w:pitch w:val="default"/>
    <w:sig w:usb0="00000000" w:usb1="00000000" w:usb2="00000010" w:usb3="00000000" w:csb0="00040000" w:csb1="00000000"/>
  </w:font>
  <w:font w:name="宋体_GB2312">
    <w:panose1 w:val="02010600030101010101"/>
    <w:charset w:val="86"/>
    <w:family w:val="auto"/>
    <w:pitch w:val="default"/>
    <w:sig w:usb0="800002BF" w:usb1="28CF7CFA" w:usb2="00000016" w:usb3="00000000" w:csb0="6016019D" w:csb1="D3F70000"/>
  </w:font>
  <w:font w:name="等线 Light">
    <w:panose1 w:val="02010600030101010101"/>
    <w:charset w:val="86"/>
    <w:family w:val="auto"/>
    <w:pitch w:val="default"/>
    <w:sig w:usb0="A00002BF" w:usb1="38CF7CFA" w:usb2="00000016" w:usb3="00000000" w:csb0="0004000F" w:csb1="00000000"/>
  </w:font>
  <w:font w:name="AdobeHeitiStd-Regular">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0" w:beforeLines="0"/>
      <w:ind w:firstLine="361" w:firstLineChars="15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48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ind w:firstLine="48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0" w:beforeLines="0"/>
      <w:ind w:firstLine="316" w:firstLineChars="150"/>
      <w:jc w:val="right"/>
    </w:pPr>
    <w:r>
      <w:rPr>
        <w:rStyle w:val="39"/>
      </w:rPr>
      <w:fldChar w:fldCharType="begin"/>
    </w:r>
    <w:r>
      <w:rPr>
        <w:rStyle w:val="39"/>
      </w:rPr>
      <w:instrText xml:space="preserve"> PAGE </w:instrText>
    </w:r>
    <w:r>
      <w:rPr>
        <w:rStyle w:val="39"/>
      </w:rPr>
      <w:fldChar w:fldCharType="separate"/>
    </w:r>
    <w:r>
      <w:rPr>
        <w:rStyle w:val="39"/>
      </w:rPr>
      <w:t>i</w:t>
    </w:r>
    <w:r>
      <w:rPr>
        <w:rStyle w:val="39"/>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9909" w:y="-49"/>
      <w:ind w:firstLine="420"/>
      <w:rPr>
        <w:rStyle w:val="39"/>
        <w:b w:val="0"/>
      </w:rPr>
    </w:pPr>
    <w:r>
      <w:rPr>
        <w:rStyle w:val="39"/>
        <w:b w:val="0"/>
      </w:rPr>
      <w:fldChar w:fldCharType="begin"/>
    </w:r>
    <w:r>
      <w:rPr>
        <w:rStyle w:val="39"/>
        <w:b w:val="0"/>
      </w:rPr>
      <w:instrText xml:space="preserve">PAGE  </w:instrText>
    </w:r>
    <w:r>
      <w:rPr>
        <w:rStyle w:val="39"/>
        <w:b w:val="0"/>
      </w:rPr>
      <w:fldChar w:fldCharType="separate"/>
    </w:r>
    <w:r>
      <w:rPr>
        <w:rStyle w:val="39"/>
        <w:b w:val="0"/>
      </w:rPr>
      <w:t>2</w:t>
    </w:r>
    <w:r>
      <w:rPr>
        <w:rStyle w:val="39"/>
        <w:b w:val="0"/>
      </w:rPr>
      <w:fldChar w:fldCharType="end"/>
    </w:r>
  </w:p>
  <w:p>
    <w:pPr>
      <w:pStyle w:val="25"/>
      <w:pBdr>
        <w:top w:val="single" w:color="auto" w:sz="4" w:space="1"/>
      </w:pBdr>
      <w:spacing w:before="0" w:beforeLines="0"/>
      <w:ind w:firstLineChars="0"/>
      <w:jc w:val="both"/>
      <w:rPr>
        <w:b w:val="0"/>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Pr>
    <w:r>
      <w:rPr>
        <w:rFonts w:hint="eastAsia"/>
      </w:rPr>
      <w:t>中国联通平面光波导型分光器（PLC）技术规范书（2020版）</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chineseCountingThousand"/>
      <w:suff w:val="space"/>
      <w:lvlText w:val="%1."/>
      <w:lvlJc w:val="left"/>
      <w:pPr>
        <w:ind w:left="0" w:firstLine="0"/>
      </w:pPr>
      <w:rPr>
        <w:rFonts w:hint="eastAsia" w:eastAsia="黑体"/>
        <w:b/>
        <w:i w:val="0"/>
        <w:spacing w:val="0"/>
        <w:sz w:val="32"/>
      </w:rPr>
    </w:lvl>
    <w:lvl w:ilvl="1" w:tentative="0">
      <w:start w:val="1"/>
      <w:numFmt w:val="decimal"/>
      <w:isLgl/>
      <w:suff w:val="space"/>
      <w:lvlText w:val="%2. "/>
      <w:lvlJc w:val="left"/>
      <w:pPr>
        <w:ind w:left="0" w:firstLine="454"/>
      </w:pPr>
      <w:rPr>
        <w:rFonts w:hint="eastAsia" w:ascii="黑体" w:eastAsia="黑体"/>
        <w:b/>
        <w:i w:val="0"/>
        <w:spacing w:val="0"/>
        <w:sz w:val="30"/>
      </w:rPr>
    </w:lvl>
    <w:lvl w:ilvl="2" w:tentative="0">
      <w:start w:val="1"/>
      <w:numFmt w:val="decimal"/>
      <w:isLgl/>
      <w:suff w:val="space"/>
      <w:lvlText w:val="%2.%3 "/>
      <w:lvlJc w:val="left"/>
      <w:pPr>
        <w:ind w:left="0" w:firstLine="454"/>
      </w:pPr>
      <w:rPr>
        <w:rFonts w:hint="eastAsia" w:ascii="黑体" w:hAnsi="Times New Roman" w:eastAsia="黑体"/>
        <w:b/>
        <w:i w:val="0"/>
        <w:caps w:val="0"/>
        <w:strike w:val="0"/>
        <w:dstrike w:val="0"/>
        <w:vanish w:val="0"/>
        <w:color w:val="000000"/>
        <w:spacing w:val="0"/>
        <w:kern w:val="0"/>
        <w:position w:val="0"/>
        <w:sz w:val="28"/>
        <w:u w:val="none"/>
        <w:vertAlign w:val="baseline"/>
        <w14:shadow w14:blurRad="0" w14:dist="0" w14:dir="0" w14:sx="0" w14:sy="0" w14:kx="0" w14:ky="0" w14:algn="none">
          <w14:srgbClr w14:val="000000"/>
        </w14:shadow>
      </w:rPr>
    </w:lvl>
    <w:lvl w:ilvl="3" w:tentative="0">
      <w:start w:val="1"/>
      <w:numFmt w:val="decimal"/>
      <w:pStyle w:val="77"/>
      <w:isLgl/>
      <w:suff w:val="space"/>
      <w:lvlText w:val="%2.%3.%4 "/>
      <w:lvlJc w:val="left"/>
      <w:pPr>
        <w:ind w:left="-28" w:firstLine="454"/>
      </w:pPr>
      <w:rPr>
        <w:rFonts w:hint="eastAsia" w:ascii="黑体" w:hAnsi="Times New Roman" w:eastAsia="黑体"/>
        <w:b/>
        <w:i w:val="0"/>
        <w:caps w:val="0"/>
        <w:smallCaps w:val="0"/>
        <w:strike w:val="0"/>
        <w:dstrike w:val="0"/>
        <w:vanish w:val="0"/>
        <w:color w:val="000000"/>
        <w:spacing w:val="0"/>
        <w:position w:val="0"/>
        <w:sz w:val="24"/>
        <w:u w:val="none"/>
        <w:vertAlign w:val="baseline"/>
        <w14:shadow w14:blurRad="0" w14:dist="0" w14:dir="0" w14:sx="0" w14:sy="0" w14:kx="0" w14:ky="0" w14:algn="none">
          <w14:srgbClr w14:val="000000"/>
        </w14:shadow>
      </w:rPr>
    </w:lvl>
    <w:lvl w:ilvl="4" w:tentative="0">
      <w:start w:val="1"/>
      <w:numFmt w:val="decimal"/>
      <w:isLgl/>
      <w:suff w:val="space"/>
      <w:lvlText w:val="%2.%3.%4.%5"/>
      <w:lvlJc w:val="left"/>
      <w:pPr>
        <w:ind w:left="0" w:firstLine="454"/>
      </w:pPr>
      <w:rPr>
        <w:rFonts w:hint="eastAsia" w:ascii="黑体" w:eastAsia="黑体"/>
        <w:b/>
        <w:i w:val="0"/>
        <w:sz w:val="24"/>
      </w:rPr>
    </w:lvl>
    <w:lvl w:ilvl="5" w:tentative="0">
      <w:start w:val="1"/>
      <w:numFmt w:val="decimal"/>
      <w:isLgl/>
      <w:suff w:val="space"/>
      <w:lvlText w:val="(%6)"/>
      <w:lvlJc w:val="left"/>
      <w:pPr>
        <w:ind w:left="1886" w:firstLine="454"/>
      </w:pPr>
      <w:rPr>
        <w:rFonts w:hint="default" w:ascii="Times New Roman" w:hAnsi="Times New Roman"/>
        <w:b w:val="0"/>
        <w:i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6" w:tentative="0">
      <w:start w:val="1"/>
      <w:numFmt w:val="lowerLetter"/>
      <w:suff w:val="nothing"/>
      <w:lvlText w:val="%7) "/>
      <w:lvlJc w:val="left"/>
      <w:pPr>
        <w:ind w:left="0" w:firstLine="680"/>
      </w:pPr>
      <w:rPr>
        <w:rFonts w:hint="eastAsia"/>
      </w:rPr>
    </w:lvl>
    <w:lvl w:ilvl="7" w:tentative="0">
      <w:start w:val="1"/>
      <w:numFmt w:val="decimal"/>
      <w:isLgl/>
      <w:suff w:val="nothing"/>
      <w:lvlText w:val="图%1-%8  "/>
      <w:lvlJc w:val="center"/>
      <w:pPr>
        <w:ind w:left="0" w:firstLine="0"/>
      </w:pPr>
      <w:rPr>
        <w:rFonts w:hint="eastAsia" w:ascii="宋体" w:hAnsi="宋体" w:eastAsia="黑体"/>
        <w:b/>
        <w:i w:val="0"/>
        <w:position w:val="0"/>
        <w:sz w:val="24"/>
      </w:rPr>
    </w:lvl>
    <w:lvl w:ilvl="8" w:tentative="0">
      <w:start w:val="1"/>
      <w:numFmt w:val="decimal"/>
      <w:isLgl/>
      <w:lvlText w:val="表%2-%9 "/>
      <w:lvlJc w:val="left"/>
      <w:pPr>
        <w:tabs>
          <w:tab w:val="left" w:pos="0"/>
        </w:tabs>
        <w:ind w:left="0" w:firstLine="0"/>
      </w:pPr>
      <w:rPr>
        <w:rFonts w:hint="eastAsia" w:ascii="楷体_GB2312" w:eastAsia="楷体_GB2312"/>
        <w:b/>
        <w:i w:val="0"/>
        <w:sz w:val="24"/>
      </w:rPr>
    </w:lvl>
  </w:abstractNum>
  <w:abstractNum w:abstractNumId="1">
    <w:nsid w:val="2C4D3A62"/>
    <w:multiLevelType w:val="multilevel"/>
    <w:tmpl w:val="2C4D3A62"/>
    <w:lvl w:ilvl="0" w:tentative="0">
      <w:start w:val="1"/>
      <w:numFmt w:val="decimal"/>
      <w:pStyle w:val="10"/>
      <w:lvlText w:val="表%1 "/>
      <w:lvlJc w:val="left"/>
      <w:pPr>
        <w:ind w:left="978" w:hanging="42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398" w:hanging="420"/>
      </w:pPr>
    </w:lvl>
    <w:lvl w:ilvl="2" w:tentative="0">
      <w:start w:val="1"/>
      <w:numFmt w:val="lowerRoman"/>
      <w:lvlText w:val="%3."/>
      <w:lvlJc w:val="right"/>
      <w:pPr>
        <w:ind w:left="1818" w:hanging="420"/>
      </w:pPr>
    </w:lvl>
    <w:lvl w:ilvl="3" w:tentative="0">
      <w:start w:val="1"/>
      <w:numFmt w:val="decimal"/>
      <w:lvlText w:val="%4."/>
      <w:lvlJc w:val="left"/>
      <w:pPr>
        <w:ind w:left="2238" w:hanging="420"/>
      </w:pPr>
    </w:lvl>
    <w:lvl w:ilvl="4" w:tentative="0">
      <w:start w:val="1"/>
      <w:numFmt w:val="lowerLetter"/>
      <w:lvlText w:val="%5)"/>
      <w:lvlJc w:val="left"/>
      <w:pPr>
        <w:ind w:left="2658" w:hanging="420"/>
      </w:pPr>
    </w:lvl>
    <w:lvl w:ilvl="5" w:tentative="0">
      <w:start w:val="1"/>
      <w:numFmt w:val="lowerRoman"/>
      <w:lvlText w:val="%6."/>
      <w:lvlJc w:val="right"/>
      <w:pPr>
        <w:ind w:left="3078" w:hanging="420"/>
      </w:pPr>
    </w:lvl>
    <w:lvl w:ilvl="6" w:tentative="0">
      <w:start w:val="1"/>
      <w:numFmt w:val="decimal"/>
      <w:lvlText w:val="%7."/>
      <w:lvlJc w:val="left"/>
      <w:pPr>
        <w:ind w:left="3498" w:hanging="420"/>
      </w:pPr>
    </w:lvl>
    <w:lvl w:ilvl="7" w:tentative="0">
      <w:start w:val="1"/>
      <w:numFmt w:val="lowerLetter"/>
      <w:lvlText w:val="%8)"/>
      <w:lvlJc w:val="left"/>
      <w:pPr>
        <w:ind w:left="3918" w:hanging="420"/>
      </w:pPr>
    </w:lvl>
    <w:lvl w:ilvl="8" w:tentative="0">
      <w:start w:val="1"/>
      <w:numFmt w:val="lowerRoman"/>
      <w:lvlText w:val="%9."/>
      <w:lvlJc w:val="right"/>
      <w:pPr>
        <w:ind w:left="4338" w:hanging="420"/>
      </w:pPr>
    </w:lvl>
  </w:abstractNum>
  <w:abstractNum w:abstractNumId="2">
    <w:nsid w:val="3DE957F3"/>
    <w:multiLevelType w:val="multilevel"/>
    <w:tmpl w:val="3DE957F3"/>
    <w:lvl w:ilvl="0" w:tentative="0">
      <w:start w:val="5"/>
      <w:numFmt w:val="decimal"/>
      <w:lvlText w:val="%1"/>
      <w:lvlJc w:val="left"/>
      <w:pPr>
        <w:ind w:left="645" w:hanging="645"/>
      </w:pPr>
      <w:rPr>
        <w:rFonts w:hint="default"/>
      </w:rPr>
    </w:lvl>
    <w:lvl w:ilvl="1" w:tentative="0">
      <w:start w:val="1"/>
      <w:numFmt w:val="decimal"/>
      <w:lvlText w:val="%1.%2"/>
      <w:lvlJc w:val="left"/>
      <w:pPr>
        <w:ind w:left="749" w:hanging="645"/>
      </w:pPr>
      <w:rPr>
        <w:rFonts w:hint="default"/>
      </w:rPr>
    </w:lvl>
    <w:lvl w:ilvl="2" w:tentative="0">
      <w:start w:val="2"/>
      <w:numFmt w:val="decimal"/>
      <w:lvlText w:val="%1.%2.%3"/>
      <w:lvlJc w:val="left"/>
      <w:pPr>
        <w:ind w:left="928" w:hanging="720"/>
      </w:pPr>
      <w:rPr>
        <w:rFonts w:hint="default"/>
      </w:rPr>
    </w:lvl>
    <w:lvl w:ilvl="3" w:tentative="0">
      <w:start w:val="1"/>
      <w:numFmt w:val="decimal"/>
      <w:lvlText w:val="%1.%2.%3.%4"/>
      <w:lvlJc w:val="left"/>
      <w:pPr>
        <w:ind w:left="1392" w:hanging="1080"/>
      </w:pPr>
      <w:rPr>
        <w:rFonts w:hint="default"/>
      </w:rPr>
    </w:lvl>
    <w:lvl w:ilvl="4" w:tentative="0">
      <w:start w:val="1"/>
      <w:numFmt w:val="decimal"/>
      <w:lvlText w:val="%1.%2.%3.%4.%5"/>
      <w:lvlJc w:val="left"/>
      <w:pPr>
        <w:ind w:left="1856" w:hanging="1440"/>
      </w:pPr>
      <w:rPr>
        <w:rFonts w:hint="default"/>
      </w:rPr>
    </w:lvl>
    <w:lvl w:ilvl="5" w:tentative="0">
      <w:start w:val="1"/>
      <w:numFmt w:val="decimal"/>
      <w:lvlText w:val="%1.%2.%3.%4.%5.%6"/>
      <w:lvlJc w:val="left"/>
      <w:pPr>
        <w:ind w:left="1960" w:hanging="1440"/>
      </w:pPr>
      <w:rPr>
        <w:rFonts w:hint="default"/>
      </w:rPr>
    </w:lvl>
    <w:lvl w:ilvl="6" w:tentative="0">
      <w:start w:val="1"/>
      <w:numFmt w:val="decimal"/>
      <w:lvlText w:val="%1.%2.%3.%4.%5.%6.%7"/>
      <w:lvlJc w:val="left"/>
      <w:pPr>
        <w:ind w:left="2424" w:hanging="1800"/>
      </w:pPr>
      <w:rPr>
        <w:rFonts w:hint="default"/>
      </w:rPr>
    </w:lvl>
    <w:lvl w:ilvl="7" w:tentative="0">
      <w:start w:val="1"/>
      <w:numFmt w:val="decimal"/>
      <w:lvlText w:val="%1.%2.%3.%4.%5.%6.%7.%8"/>
      <w:lvlJc w:val="left"/>
      <w:pPr>
        <w:ind w:left="2888" w:hanging="2160"/>
      </w:pPr>
      <w:rPr>
        <w:rFonts w:hint="default"/>
      </w:rPr>
    </w:lvl>
    <w:lvl w:ilvl="8" w:tentative="0">
      <w:start w:val="1"/>
      <w:numFmt w:val="decimal"/>
      <w:lvlText w:val="%1.%2.%3.%4.%5.%6.%7.%8.%9"/>
      <w:lvlJc w:val="left"/>
      <w:pPr>
        <w:ind w:left="2992" w:hanging="2160"/>
      </w:pPr>
      <w:rPr>
        <w:rFonts w:hint="default"/>
      </w:rPr>
    </w:lvl>
  </w:abstractNum>
  <w:abstractNum w:abstractNumId="3">
    <w:nsid w:val="61105D0A"/>
    <w:multiLevelType w:val="multilevel"/>
    <w:tmpl w:val="61105D0A"/>
    <w:lvl w:ilvl="0" w:tentative="0">
      <w:start w:val="1"/>
      <w:numFmt w:val="japaneseCounting"/>
      <w:lvlText w:val="第%1章"/>
      <w:lvlJc w:val="left"/>
      <w:pPr>
        <w:ind w:left="198" w:firstLine="0"/>
      </w:pPr>
      <w:rPr>
        <w:rFonts w:hint="default"/>
        <w:b/>
        <w:i w:val="0"/>
        <w:spacing w:val="0"/>
        <w:sz w:val="32"/>
        <w:szCs w:val="32"/>
      </w:rPr>
    </w:lvl>
    <w:lvl w:ilvl="1" w:tentative="0">
      <w:start w:val="1"/>
      <w:numFmt w:val="decimal"/>
      <w:isLgl/>
      <w:suff w:val="space"/>
      <w:lvlText w:val="%1.%2"/>
      <w:lvlJc w:val="left"/>
      <w:pPr>
        <w:ind w:left="198" w:firstLine="454"/>
      </w:pPr>
      <w:rPr>
        <w:rFonts w:hint="default" w:ascii="Times New Roman" w:hAnsi="Times New Roman" w:eastAsia="宋体"/>
        <w:b w:val="0"/>
        <w:i w:val="0"/>
        <w:spacing w:val="0"/>
        <w:sz w:val="28"/>
        <w:szCs w:val="28"/>
      </w:rPr>
    </w:lvl>
    <w:lvl w:ilvl="2" w:tentative="0">
      <w:start w:val="1"/>
      <w:numFmt w:val="chineseCountingThousand"/>
      <w:isLgl/>
      <w:suff w:val="space"/>
      <w:lvlText w:val="%1.%2.%3"/>
      <w:lvlJc w:val="left"/>
      <w:pPr>
        <w:ind w:left="540"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5"/>
      <w:isLgl/>
      <w:suff w:val="space"/>
      <w:lvlText w:val="%1.%2.%3.%4"/>
      <w:lvlJc w:val="left"/>
      <w:pPr>
        <w:ind w:left="900" w:firstLine="0"/>
      </w:pPr>
      <w:rPr>
        <w:rFonts w:hint="default" w:ascii="Times" w:hAnsi="Times" w:eastAsia="宋体"/>
        <w:b/>
        <w:bCs/>
        <w:i w:val="0"/>
        <w:spacing w:val="0"/>
        <w:sz w:val="24"/>
        <w:szCs w:val="24"/>
      </w:rPr>
    </w:lvl>
    <w:lvl w:ilvl="4" w:tentative="0">
      <w:start w:val="1"/>
      <w:numFmt w:val="decimal"/>
      <w:pStyle w:val="6"/>
      <w:isLgl/>
      <w:suff w:val="space"/>
      <w:lvlText w:val="%1.%2.%3.%4.%5"/>
      <w:lvlJc w:val="left"/>
      <w:pPr>
        <w:ind w:left="652" w:firstLine="0"/>
      </w:pPr>
      <w:rPr>
        <w:rFonts w:hint="default" w:ascii="Times" w:hAnsi="Times" w:eastAsia="宋体"/>
        <w:b w:val="0"/>
        <w:i w:val="0"/>
        <w:sz w:val="24"/>
      </w:rPr>
    </w:lvl>
    <w:lvl w:ilvl="5" w:tentative="0">
      <w:start w:val="0"/>
      <w:numFmt w:val="none"/>
      <w:pStyle w:val="7"/>
      <w:lvlText w:val=""/>
      <w:lvlJc w:val="left"/>
      <w:pPr>
        <w:tabs>
          <w:tab w:val="left" w:pos="360"/>
        </w:tabs>
        <w:ind w:left="0" w:firstLine="0"/>
      </w:pPr>
      <w:rPr>
        <w:rFonts w:hint="eastAsia"/>
      </w:rPr>
    </w:lvl>
    <w:lvl w:ilvl="6" w:tentative="0">
      <w:start w:val="1"/>
      <w:numFmt w:val="none"/>
      <w:pStyle w:val="8"/>
      <w:isLgl/>
      <w:suff w:val="nothing"/>
      <w:lvlText w:val=""/>
      <w:lvlJc w:val="left"/>
      <w:pPr>
        <w:ind w:left="91" w:firstLine="0"/>
      </w:pPr>
      <w:rPr>
        <w:rFonts w:hint="default" w:ascii="Times" w:hAnsi="Times" w:eastAsia="宋体"/>
        <w:b w:val="0"/>
        <w:i w:val="0"/>
        <w:sz w:val="24"/>
      </w:rPr>
    </w:lvl>
    <w:lvl w:ilvl="7" w:tentative="0">
      <w:start w:val="1"/>
      <w:numFmt w:val="decimal"/>
      <w:lvlRestart w:val="1"/>
      <w:pStyle w:val="9"/>
      <w:isLgl/>
      <w:suff w:val="space"/>
      <w:lvlText w:val="图%1-%8  "/>
      <w:lvlJc w:val="left"/>
      <w:pPr>
        <w:ind w:left="0" w:firstLine="0"/>
      </w:pPr>
      <w:rPr>
        <w:rFonts w:hint="eastAsia"/>
      </w:rPr>
    </w:lvl>
    <w:lvl w:ilvl="8" w:tentative="0">
      <w:start w:val="1"/>
      <w:numFmt w:val="decimal"/>
      <w:lvlRestart w:val="1"/>
      <w:isLgl/>
      <w:lvlText w:val="表%1-%9 "/>
      <w:lvlJc w:val="left"/>
      <w:pPr>
        <w:tabs>
          <w:tab w:val="left" w:pos="104"/>
        </w:tabs>
        <w:ind w:left="104" w:firstLine="45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abstractNum>
  <w:num w:numId="1">
    <w:abstractNumId w:val="3"/>
  </w:num>
  <w:num w:numId="2">
    <w:abstractNumId w:val="1"/>
  </w:num>
  <w:num w:numId="3">
    <w:abstractNumId w:val="0"/>
  </w:num>
  <w:num w:numId="4">
    <w:abstractNumId w:val="2"/>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7B"/>
    <w:rsid w:val="00000039"/>
    <w:rsid w:val="00000964"/>
    <w:rsid w:val="0000118A"/>
    <w:rsid w:val="00001794"/>
    <w:rsid w:val="00001E1D"/>
    <w:rsid w:val="00002163"/>
    <w:rsid w:val="0000317C"/>
    <w:rsid w:val="00003CE4"/>
    <w:rsid w:val="00003E99"/>
    <w:rsid w:val="00004D00"/>
    <w:rsid w:val="00004FED"/>
    <w:rsid w:val="00005241"/>
    <w:rsid w:val="0000545D"/>
    <w:rsid w:val="00005601"/>
    <w:rsid w:val="0000619B"/>
    <w:rsid w:val="00006F5B"/>
    <w:rsid w:val="00007561"/>
    <w:rsid w:val="00010749"/>
    <w:rsid w:val="00010908"/>
    <w:rsid w:val="00010C92"/>
    <w:rsid w:val="00011F57"/>
    <w:rsid w:val="000121D0"/>
    <w:rsid w:val="00012611"/>
    <w:rsid w:val="000134C5"/>
    <w:rsid w:val="0001417D"/>
    <w:rsid w:val="00014486"/>
    <w:rsid w:val="0001493F"/>
    <w:rsid w:val="000153CE"/>
    <w:rsid w:val="000157E2"/>
    <w:rsid w:val="00016B4B"/>
    <w:rsid w:val="000172D1"/>
    <w:rsid w:val="00017410"/>
    <w:rsid w:val="00017B8E"/>
    <w:rsid w:val="000205E4"/>
    <w:rsid w:val="00020A8A"/>
    <w:rsid w:val="000211E8"/>
    <w:rsid w:val="0002153B"/>
    <w:rsid w:val="0002229F"/>
    <w:rsid w:val="0002260E"/>
    <w:rsid w:val="00023B18"/>
    <w:rsid w:val="00023CD2"/>
    <w:rsid w:val="00024005"/>
    <w:rsid w:val="00024EA9"/>
    <w:rsid w:val="00025436"/>
    <w:rsid w:val="00025559"/>
    <w:rsid w:val="000258BF"/>
    <w:rsid w:val="000258CE"/>
    <w:rsid w:val="000262FB"/>
    <w:rsid w:val="00026312"/>
    <w:rsid w:val="0002634E"/>
    <w:rsid w:val="00027A54"/>
    <w:rsid w:val="00030678"/>
    <w:rsid w:val="00030682"/>
    <w:rsid w:val="000308FF"/>
    <w:rsid w:val="000310E2"/>
    <w:rsid w:val="0003187E"/>
    <w:rsid w:val="000320FC"/>
    <w:rsid w:val="00033623"/>
    <w:rsid w:val="00035A7D"/>
    <w:rsid w:val="00035CE8"/>
    <w:rsid w:val="000369CE"/>
    <w:rsid w:val="00037E8B"/>
    <w:rsid w:val="000407A2"/>
    <w:rsid w:val="00041041"/>
    <w:rsid w:val="00041796"/>
    <w:rsid w:val="00042263"/>
    <w:rsid w:val="00042B87"/>
    <w:rsid w:val="00042F00"/>
    <w:rsid w:val="000437DF"/>
    <w:rsid w:val="0004402C"/>
    <w:rsid w:val="000442CA"/>
    <w:rsid w:val="000444B3"/>
    <w:rsid w:val="00044BDF"/>
    <w:rsid w:val="00044EC4"/>
    <w:rsid w:val="00044FDB"/>
    <w:rsid w:val="00045941"/>
    <w:rsid w:val="000459B8"/>
    <w:rsid w:val="0004611A"/>
    <w:rsid w:val="00047430"/>
    <w:rsid w:val="00047DAA"/>
    <w:rsid w:val="00047E36"/>
    <w:rsid w:val="000500EB"/>
    <w:rsid w:val="0005024B"/>
    <w:rsid w:val="00051363"/>
    <w:rsid w:val="00052843"/>
    <w:rsid w:val="000529F1"/>
    <w:rsid w:val="000540D5"/>
    <w:rsid w:val="00054261"/>
    <w:rsid w:val="00055576"/>
    <w:rsid w:val="000556EA"/>
    <w:rsid w:val="00056833"/>
    <w:rsid w:val="0005736B"/>
    <w:rsid w:val="00057B0B"/>
    <w:rsid w:val="000613CA"/>
    <w:rsid w:val="000624F1"/>
    <w:rsid w:val="00062FEB"/>
    <w:rsid w:val="00063AB9"/>
    <w:rsid w:val="00063F82"/>
    <w:rsid w:val="0006409F"/>
    <w:rsid w:val="00064996"/>
    <w:rsid w:val="00064B57"/>
    <w:rsid w:val="00065DCD"/>
    <w:rsid w:val="00066053"/>
    <w:rsid w:val="00067C3A"/>
    <w:rsid w:val="00067E6B"/>
    <w:rsid w:val="00067F27"/>
    <w:rsid w:val="00070115"/>
    <w:rsid w:val="00070DAC"/>
    <w:rsid w:val="000715ED"/>
    <w:rsid w:val="000717BE"/>
    <w:rsid w:val="0007181A"/>
    <w:rsid w:val="0007229A"/>
    <w:rsid w:val="00072450"/>
    <w:rsid w:val="00072DC3"/>
    <w:rsid w:val="00072F6A"/>
    <w:rsid w:val="000732E6"/>
    <w:rsid w:val="000741DB"/>
    <w:rsid w:val="00076869"/>
    <w:rsid w:val="00077FCA"/>
    <w:rsid w:val="00080507"/>
    <w:rsid w:val="00080984"/>
    <w:rsid w:val="00080DA4"/>
    <w:rsid w:val="00081552"/>
    <w:rsid w:val="00084885"/>
    <w:rsid w:val="00084C84"/>
    <w:rsid w:val="00086A57"/>
    <w:rsid w:val="00086E84"/>
    <w:rsid w:val="00087874"/>
    <w:rsid w:val="00090176"/>
    <w:rsid w:val="000905E8"/>
    <w:rsid w:val="00092445"/>
    <w:rsid w:val="00093FDE"/>
    <w:rsid w:val="00094C28"/>
    <w:rsid w:val="0009537C"/>
    <w:rsid w:val="000A1618"/>
    <w:rsid w:val="000A1D66"/>
    <w:rsid w:val="000A2B11"/>
    <w:rsid w:val="000A32B5"/>
    <w:rsid w:val="000A34E4"/>
    <w:rsid w:val="000A4F00"/>
    <w:rsid w:val="000A5A52"/>
    <w:rsid w:val="000A5A9C"/>
    <w:rsid w:val="000A761A"/>
    <w:rsid w:val="000B0CAB"/>
    <w:rsid w:val="000B1B19"/>
    <w:rsid w:val="000B1E6D"/>
    <w:rsid w:val="000B2AE7"/>
    <w:rsid w:val="000B2E2C"/>
    <w:rsid w:val="000B31EE"/>
    <w:rsid w:val="000B3A46"/>
    <w:rsid w:val="000B44E9"/>
    <w:rsid w:val="000B526B"/>
    <w:rsid w:val="000B5A2A"/>
    <w:rsid w:val="000B5FA4"/>
    <w:rsid w:val="000B6583"/>
    <w:rsid w:val="000B736C"/>
    <w:rsid w:val="000B7912"/>
    <w:rsid w:val="000B7B1C"/>
    <w:rsid w:val="000C0296"/>
    <w:rsid w:val="000C0968"/>
    <w:rsid w:val="000C0CF7"/>
    <w:rsid w:val="000C1B86"/>
    <w:rsid w:val="000C1EC5"/>
    <w:rsid w:val="000C297A"/>
    <w:rsid w:val="000C2DB5"/>
    <w:rsid w:val="000C370F"/>
    <w:rsid w:val="000C3C29"/>
    <w:rsid w:val="000C544E"/>
    <w:rsid w:val="000C5705"/>
    <w:rsid w:val="000C604E"/>
    <w:rsid w:val="000C6666"/>
    <w:rsid w:val="000C6C33"/>
    <w:rsid w:val="000C6FA0"/>
    <w:rsid w:val="000C7C80"/>
    <w:rsid w:val="000C7DC6"/>
    <w:rsid w:val="000D1277"/>
    <w:rsid w:val="000D213B"/>
    <w:rsid w:val="000D291B"/>
    <w:rsid w:val="000D2A95"/>
    <w:rsid w:val="000D323E"/>
    <w:rsid w:val="000D354D"/>
    <w:rsid w:val="000D3A14"/>
    <w:rsid w:val="000D5160"/>
    <w:rsid w:val="000D5EC2"/>
    <w:rsid w:val="000D69B1"/>
    <w:rsid w:val="000D711B"/>
    <w:rsid w:val="000D7142"/>
    <w:rsid w:val="000E01B2"/>
    <w:rsid w:val="000E0582"/>
    <w:rsid w:val="000E0D69"/>
    <w:rsid w:val="000E263C"/>
    <w:rsid w:val="000E32B9"/>
    <w:rsid w:val="000E34E3"/>
    <w:rsid w:val="000E3960"/>
    <w:rsid w:val="000E3A87"/>
    <w:rsid w:val="000E5049"/>
    <w:rsid w:val="000E7B65"/>
    <w:rsid w:val="000F0447"/>
    <w:rsid w:val="000F0C30"/>
    <w:rsid w:val="000F1896"/>
    <w:rsid w:val="000F30EC"/>
    <w:rsid w:val="000F3C6F"/>
    <w:rsid w:val="000F4EB9"/>
    <w:rsid w:val="000F51C3"/>
    <w:rsid w:val="000F57E3"/>
    <w:rsid w:val="000F5854"/>
    <w:rsid w:val="000F5880"/>
    <w:rsid w:val="000F59D4"/>
    <w:rsid w:val="000F5B16"/>
    <w:rsid w:val="000F62D7"/>
    <w:rsid w:val="000F647C"/>
    <w:rsid w:val="000F67C9"/>
    <w:rsid w:val="000F6EDE"/>
    <w:rsid w:val="00100989"/>
    <w:rsid w:val="0010212F"/>
    <w:rsid w:val="00102344"/>
    <w:rsid w:val="00102AAC"/>
    <w:rsid w:val="001047E6"/>
    <w:rsid w:val="001053B8"/>
    <w:rsid w:val="001060B1"/>
    <w:rsid w:val="0010642D"/>
    <w:rsid w:val="001079EE"/>
    <w:rsid w:val="00107CB5"/>
    <w:rsid w:val="0011027F"/>
    <w:rsid w:val="001108CD"/>
    <w:rsid w:val="00111A8E"/>
    <w:rsid w:val="00111B1E"/>
    <w:rsid w:val="00111C48"/>
    <w:rsid w:val="00111DF1"/>
    <w:rsid w:val="00112720"/>
    <w:rsid w:val="00112E61"/>
    <w:rsid w:val="0011357F"/>
    <w:rsid w:val="001135E0"/>
    <w:rsid w:val="0011365B"/>
    <w:rsid w:val="00113783"/>
    <w:rsid w:val="0011532B"/>
    <w:rsid w:val="00115615"/>
    <w:rsid w:val="0011606C"/>
    <w:rsid w:val="00117053"/>
    <w:rsid w:val="001201AA"/>
    <w:rsid w:val="0012093C"/>
    <w:rsid w:val="00120C45"/>
    <w:rsid w:val="00120CEC"/>
    <w:rsid w:val="001218C9"/>
    <w:rsid w:val="00123B4A"/>
    <w:rsid w:val="00123B4B"/>
    <w:rsid w:val="00123FBC"/>
    <w:rsid w:val="0012433A"/>
    <w:rsid w:val="00126052"/>
    <w:rsid w:val="001267B8"/>
    <w:rsid w:val="00127E69"/>
    <w:rsid w:val="00127F65"/>
    <w:rsid w:val="001305E7"/>
    <w:rsid w:val="00130922"/>
    <w:rsid w:val="00131C4D"/>
    <w:rsid w:val="00131F9B"/>
    <w:rsid w:val="00132930"/>
    <w:rsid w:val="001339BC"/>
    <w:rsid w:val="001342A2"/>
    <w:rsid w:val="001343A6"/>
    <w:rsid w:val="00135A01"/>
    <w:rsid w:val="00136776"/>
    <w:rsid w:val="00136A87"/>
    <w:rsid w:val="001379EB"/>
    <w:rsid w:val="00137FBB"/>
    <w:rsid w:val="00140D0C"/>
    <w:rsid w:val="00143615"/>
    <w:rsid w:val="0014420B"/>
    <w:rsid w:val="00144BD3"/>
    <w:rsid w:val="00144F99"/>
    <w:rsid w:val="00145258"/>
    <w:rsid w:val="00146844"/>
    <w:rsid w:val="00146A9E"/>
    <w:rsid w:val="00147E5F"/>
    <w:rsid w:val="00147EDF"/>
    <w:rsid w:val="0015140F"/>
    <w:rsid w:val="0015164B"/>
    <w:rsid w:val="00152159"/>
    <w:rsid w:val="0015287E"/>
    <w:rsid w:val="001537ED"/>
    <w:rsid w:val="0015443C"/>
    <w:rsid w:val="001562E5"/>
    <w:rsid w:val="0015655D"/>
    <w:rsid w:val="00156585"/>
    <w:rsid w:val="0015796D"/>
    <w:rsid w:val="0016083D"/>
    <w:rsid w:val="001609E7"/>
    <w:rsid w:val="0016202E"/>
    <w:rsid w:val="00162ED2"/>
    <w:rsid w:val="0016300E"/>
    <w:rsid w:val="00164006"/>
    <w:rsid w:val="0016447E"/>
    <w:rsid w:val="00165E0F"/>
    <w:rsid w:val="001667AA"/>
    <w:rsid w:val="0016752C"/>
    <w:rsid w:val="001710DE"/>
    <w:rsid w:val="00172205"/>
    <w:rsid w:val="001731B7"/>
    <w:rsid w:val="0017523B"/>
    <w:rsid w:val="0017578C"/>
    <w:rsid w:val="00175DFB"/>
    <w:rsid w:val="00175E32"/>
    <w:rsid w:val="00175EF3"/>
    <w:rsid w:val="00176C6D"/>
    <w:rsid w:val="00176D69"/>
    <w:rsid w:val="001776B8"/>
    <w:rsid w:val="0018197B"/>
    <w:rsid w:val="00182075"/>
    <w:rsid w:val="00182876"/>
    <w:rsid w:val="0018341B"/>
    <w:rsid w:val="00183A1D"/>
    <w:rsid w:val="00183C57"/>
    <w:rsid w:val="00184AB9"/>
    <w:rsid w:val="00185085"/>
    <w:rsid w:val="001853FA"/>
    <w:rsid w:val="001856F3"/>
    <w:rsid w:val="00185C87"/>
    <w:rsid w:val="00187045"/>
    <w:rsid w:val="0018711B"/>
    <w:rsid w:val="00187694"/>
    <w:rsid w:val="00187EDB"/>
    <w:rsid w:val="00187F97"/>
    <w:rsid w:val="001904E8"/>
    <w:rsid w:val="00190B04"/>
    <w:rsid w:val="00192071"/>
    <w:rsid w:val="00192138"/>
    <w:rsid w:val="001927E7"/>
    <w:rsid w:val="00192916"/>
    <w:rsid w:val="00193160"/>
    <w:rsid w:val="00193359"/>
    <w:rsid w:val="001937E6"/>
    <w:rsid w:val="001944B1"/>
    <w:rsid w:val="001950ED"/>
    <w:rsid w:val="001967CA"/>
    <w:rsid w:val="00196C39"/>
    <w:rsid w:val="00196F18"/>
    <w:rsid w:val="00197A3D"/>
    <w:rsid w:val="00197D64"/>
    <w:rsid w:val="001A03A4"/>
    <w:rsid w:val="001A0533"/>
    <w:rsid w:val="001A07B4"/>
    <w:rsid w:val="001A15BB"/>
    <w:rsid w:val="001A280B"/>
    <w:rsid w:val="001A3A34"/>
    <w:rsid w:val="001A485A"/>
    <w:rsid w:val="001A5653"/>
    <w:rsid w:val="001A5743"/>
    <w:rsid w:val="001A695E"/>
    <w:rsid w:val="001A7104"/>
    <w:rsid w:val="001A78B4"/>
    <w:rsid w:val="001B03B0"/>
    <w:rsid w:val="001B123B"/>
    <w:rsid w:val="001B15B7"/>
    <w:rsid w:val="001B2CDD"/>
    <w:rsid w:val="001B34C3"/>
    <w:rsid w:val="001B3CF2"/>
    <w:rsid w:val="001B46D3"/>
    <w:rsid w:val="001B4913"/>
    <w:rsid w:val="001B4AD0"/>
    <w:rsid w:val="001B4C05"/>
    <w:rsid w:val="001B4CE1"/>
    <w:rsid w:val="001B55A6"/>
    <w:rsid w:val="001B5B3D"/>
    <w:rsid w:val="001B7668"/>
    <w:rsid w:val="001B7854"/>
    <w:rsid w:val="001B7DB5"/>
    <w:rsid w:val="001C012F"/>
    <w:rsid w:val="001C04E4"/>
    <w:rsid w:val="001C1AE8"/>
    <w:rsid w:val="001C21C3"/>
    <w:rsid w:val="001C2754"/>
    <w:rsid w:val="001C2AE8"/>
    <w:rsid w:val="001C2C0C"/>
    <w:rsid w:val="001C2C31"/>
    <w:rsid w:val="001C34E8"/>
    <w:rsid w:val="001C35F1"/>
    <w:rsid w:val="001C3893"/>
    <w:rsid w:val="001C50DF"/>
    <w:rsid w:val="001C5467"/>
    <w:rsid w:val="001C5A93"/>
    <w:rsid w:val="001C5CC7"/>
    <w:rsid w:val="001C611C"/>
    <w:rsid w:val="001C633A"/>
    <w:rsid w:val="001C68BF"/>
    <w:rsid w:val="001C7830"/>
    <w:rsid w:val="001D11B3"/>
    <w:rsid w:val="001D1266"/>
    <w:rsid w:val="001D15BC"/>
    <w:rsid w:val="001D180F"/>
    <w:rsid w:val="001D1879"/>
    <w:rsid w:val="001D1CA9"/>
    <w:rsid w:val="001D1E8B"/>
    <w:rsid w:val="001D1FC2"/>
    <w:rsid w:val="001D27CE"/>
    <w:rsid w:val="001D296A"/>
    <w:rsid w:val="001D381A"/>
    <w:rsid w:val="001D4C5C"/>
    <w:rsid w:val="001D5483"/>
    <w:rsid w:val="001D55F8"/>
    <w:rsid w:val="001D5970"/>
    <w:rsid w:val="001D5DB8"/>
    <w:rsid w:val="001D6D1C"/>
    <w:rsid w:val="001D7187"/>
    <w:rsid w:val="001E0103"/>
    <w:rsid w:val="001E0F1A"/>
    <w:rsid w:val="001E12F6"/>
    <w:rsid w:val="001E1443"/>
    <w:rsid w:val="001E1553"/>
    <w:rsid w:val="001E1AD6"/>
    <w:rsid w:val="001E1E86"/>
    <w:rsid w:val="001E219B"/>
    <w:rsid w:val="001E23FD"/>
    <w:rsid w:val="001E25D4"/>
    <w:rsid w:val="001E453F"/>
    <w:rsid w:val="001E5249"/>
    <w:rsid w:val="001E58A1"/>
    <w:rsid w:val="001E5C91"/>
    <w:rsid w:val="001E65E8"/>
    <w:rsid w:val="001E713C"/>
    <w:rsid w:val="001E74F8"/>
    <w:rsid w:val="001E77A4"/>
    <w:rsid w:val="001E7F88"/>
    <w:rsid w:val="001F0778"/>
    <w:rsid w:val="001F149F"/>
    <w:rsid w:val="001F3365"/>
    <w:rsid w:val="001F4317"/>
    <w:rsid w:val="001F47A5"/>
    <w:rsid w:val="001F54E5"/>
    <w:rsid w:val="001F7015"/>
    <w:rsid w:val="001F717E"/>
    <w:rsid w:val="001F758C"/>
    <w:rsid w:val="001F7B5C"/>
    <w:rsid w:val="00200501"/>
    <w:rsid w:val="002009A3"/>
    <w:rsid w:val="00200ABB"/>
    <w:rsid w:val="00201EFD"/>
    <w:rsid w:val="002041A1"/>
    <w:rsid w:val="002045A4"/>
    <w:rsid w:val="00204E76"/>
    <w:rsid w:val="002052EE"/>
    <w:rsid w:val="002060FF"/>
    <w:rsid w:val="002102BF"/>
    <w:rsid w:val="002114E1"/>
    <w:rsid w:val="002119D3"/>
    <w:rsid w:val="00212171"/>
    <w:rsid w:val="002129F1"/>
    <w:rsid w:val="002137A1"/>
    <w:rsid w:val="00213F06"/>
    <w:rsid w:val="00213F30"/>
    <w:rsid w:val="00214713"/>
    <w:rsid w:val="00215060"/>
    <w:rsid w:val="00215452"/>
    <w:rsid w:val="002156C9"/>
    <w:rsid w:val="00215D9C"/>
    <w:rsid w:val="002162BE"/>
    <w:rsid w:val="00216B1E"/>
    <w:rsid w:val="002177B8"/>
    <w:rsid w:val="00217A02"/>
    <w:rsid w:val="00217A1F"/>
    <w:rsid w:val="00220543"/>
    <w:rsid w:val="00220553"/>
    <w:rsid w:val="00220B6A"/>
    <w:rsid w:val="00220D00"/>
    <w:rsid w:val="00221A2C"/>
    <w:rsid w:val="00221D63"/>
    <w:rsid w:val="0022205A"/>
    <w:rsid w:val="002228A1"/>
    <w:rsid w:val="00222B50"/>
    <w:rsid w:val="00223090"/>
    <w:rsid w:val="00223D22"/>
    <w:rsid w:val="00223F52"/>
    <w:rsid w:val="00223F5D"/>
    <w:rsid w:val="0022511B"/>
    <w:rsid w:val="0022533B"/>
    <w:rsid w:val="00225724"/>
    <w:rsid w:val="00225993"/>
    <w:rsid w:val="00225A67"/>
    <w:rsid w:val="00227B39"/>
    <w:rsid w:val="002307C2"/>
    <w:rsid w:val="002322BC"/>
    <w:rsid w:val="00232395"/>
    <w:rsid w:val="002328AB"/>
    <w:rsid w:val="002340DB"/>
    <w:rsid w:val="00234665"/>
    <w:rsid w:val="00234D55"/>
    <w:rsid w:val="00234DDE"/>
    <w:rsid w:val="00235D93"/>
    <w:rsid w:val="002366BF"/>
    <w:rsid w:val="002373C8"/>
    <w:rsid w:val="00237729"/>
    <w:rsid w:val="00237CB7"/>
    <w:rsid w:val="00240263"/>
    <w:rsid w:val="00240CDE"/>
    <w:rsid w:val="002415E6"/>
    <w:rsid w:val="00241CC2"/>
    <w:rsid w:val="00242313"/>
    <w:rsid w:val="0024329A"/>
    <w:rsid w:val="00243BFD"/>
    <w:rsid w:val="00243DB8"/>
    <w:rsid w:val="002442EC"/>
    <w:rsid w:val="0024565D"/>
    <w:rsid w:val="0025025A"/>
    <w:rsid w:val="00250DAB"/>
    <w:rsid w:val="00251108"/>
    <w:rsid w:val="00251663"/>
    <w:rsid w:val="00251E9B"/>
    <w:rsid w:val="002521BB"/>
    <w:rsid w:val="00252706"/>
    <w:rsid w:val="002527AA"/>
    <w:rsid w:val="00252DC0"/>
    <w:rsid w:val="002535B8"/>
    <w:rsid w:val="00253D70"/>
    <w:rsid w:val="002540F0"/>
    <w:rsid w:val="0025456D"/>
    <w:rsid w:val="0025504F"/>
    <w:rsid w:val="00255E71"/>
    <w:rsid w:val="00255EA2"/>
    <w:rsid w:val="00256206"/>
    <w:rsid w:val="002566FF"/>
    <w:rsid w:val="002576FF"/>
    <w:rsid w:val="00260213"/>
    <w:rsid w:val="0026086E"/>
    <w:rsid w:val="0026168B"/>
    <w:rsid w:val="00261CCA"/>
    <w:rsid w:val="00262097"/>
    <w:rsid w:val="002623DA"/>
    <w:rsid w:val="00263903"/>
    <w:rsid w:val="0026450A"/>
    <w:rsid w:val="002651B3"/>
    <w:rsid w:val="00265D16"/>
    <w:rsid w:val="002666D6"/>
    <w:rsid w:val="00266A35"/>
    <w:rsid w:val="002670A0"/>
    <w:rsid w:val="002671EF"/>
    <w:rsid w:val="002710CA"/>
    <w:rsid w:val="002713DE"/>
    <w:rsid w:val="00271AEF"/>
    <w:rsid w:val="00271C9D"/>
    <w:rsid w:val="00272118"/>
    <w:rsid w:val="002723E5"/>
    <w:rsid w:val="002744A7"/>
    <w:rsid w:val="00274B39"/>
    <w:rsid w:val="002766F1"/>
    <w:rsid w:val="00276B2B"/>
    <w:rsid w:val="002777B0"/>
    <w:rsid w:val="00277996"/>
    <w:rsid w:val="0028057E"/>
    <w:rsid w:val="00283220"/>
    <w:rsid w:val="00283D76"/>
    <w:rsid w:val="00284804"/>
    <w:rsid w:val="00284816"/>
    <w:rsid w:val="00284AFB"/>
    <w:rsid w:val="002861A8"/>
    <w:rsid w:val="00286720"/>
    <w:rsid w:val="0028675B"/>
    <w:rsid w:val="00286890"/>
    <w:rsid w:val="002877A6"/>
    <w:rsid w:val="00290429"/>
    <w:rsid w:val="0029060A"/>
    <w:rsid w:val="00290617"/>
    <w:rsid w:val="00290981"/>
    <w:rsid w:val="00290D65"/>
    <w:rsid w:val="00291046"/>
    <w:rsid w:val="00293CD4"/>
    <w:rsid w:val="00293E72"/>
    <w:rsid w:val="00294030"/>
    <w:rsid w:val="00294E60"/>
    <w:rsid w:val="00296660"/>
    <w:rsid w:val="002969A5"/>
    <w:rsid w:val="00297848"/>
    <w:rsid w:val="00297E87"/>
    <w:rsid w:val="002A01BE"/>
    <w:rsid w:val="002A2DBB"/>
    <w:rsid w:val="002A422A"/>
    <w:rsid w:val="002A4C01"/>
    <w:rsid w:val="002A4CF5"/>
    <w:rsid w:val="002A51D2"/>
    <w:rsid w:val="002A56D0"/>
    <w:rsid w:val="002A5AA2"/>
    <w:rsid w:val="002A75D7"/>
    <w:rsid w:val="002A76C6"/>
    <w:rsid w:val="002A78C6"/>
    <w:rsid w:val="002B0DB0"/>
    <w:rsid w:val="002B17EE"/>
    <w:rsid w:val="002B1CB2"/>
    <w:rsid w:val="002B1DEC"/>
    <w:rsid w:val="002B47AD"/>
    <w:rsid w:val="002B4D1D"/>
    <w:rsid w:val="002B4D32"/>
    <w:rsid w:val="002B5108"/>
    <w:rsid w:val="002B6A17"/>
    <w:rsid w:val="002B7E8D"/>
    <w:rsid w:val="002C0599"/>
    <w:rsid w:val="002C101B"/>
    <w:rsid w:val="002C10F8"/>
    <w:rsid w:val="002C133D"/>
    <w:rsid w:val="002C290D"/>
    <w:rsid w:val="002C373F"/>
    <w:rsid w:val="002C452E"/>
    <w:rsid w:val="002C5743"/>
    <w:rsid w:val="002C59A7"/>
    <w:rsid w:val="002C6557"/>
    <w:rsid w:val="002C746B"/>
    <w:rsid w:val="002D0012"/>
    <w:rsid w:val="002D04AE"/>
    <w:rsid w:val="002D0F08"/>
    <w:rsid w:val="002D2470"/>
    <w:rsid w:val="002D2B31"/>
    <w:rsid w:val="002D386E"/>
    <w:rsid w:val="002D456E"/>
    <w:rsid w:val="002D5877"/>
    <w:rsid w:val="002D6230"/>
    <w:rsid w:val="002D65F5"/>
    <w:rsid w:val="002E00EB"/>
    <w:rsid w:val="002E1CF9"/>
    <w:rsid w:val="002E2940"/>
    <w:rsid w:val="002E39CC"/>
    <w:rsid w:val="002E3A50"/>
    <w:rsid w:val="002E3B29"/>
    <w:rsid w:val="002E3DAE"/>
    <w:rsid w:val="002E4537"/>
    <w:rsid w:val="002E4C5A"/>
    <w:rsid w:val="002E4C82"/>
    <w:rsid w:val="002E5C1D"/>
    <w:rsid w:val="002E67DD"/>
    <w:rsid w:val="002F1877"/>
    <w:rsid w:val="002F1ED3"/>
    <w:rsid w:val="002F439C"/>
    <w:rsid w:val="002F4535"/>
    <w:rsid w:val="002F4BAD"/>
    <w:rsid w:val="002F4F1E"/>
    <w:rsid w:val="002F5B50"/>
    <w:rsid w:val="002F5CE3"/>
    <w:rsid w:val="002F63EE"/>
    <w:rsid w:val="002F695F"/>
    <w:rsid w:val="002F7785"/>
    <w:rsid w:val="003000AA"/>
    <w:rsid w:val="00300D23"/>
    <w:rsid w:val="0030175B"/>
    <w:rsid w:val="00303713"/>
    <w:rsid w:val="00303D4E"/>
    <w:rsid w:val="00304061"/>
    <w:rsid w:val="00304657"/>
    <w:rsid w:val="00306239"/>
    <w:rsid w:val="003066EF"/>
    <w:rsid w:val="003074EF"/>
    <w:rsid w:val="00310466"/>
    <w:rsid w:val="0031077F"/>
    <w:rsid w:val="00312050"/>
    <w:rsid w:val="00313365"/>
    <w:rsid w:val="003134D9"/>
    <w:rsid w:val="003138A4"/>
    <w:rsid w:val="00313EF0"/>
    <w:rsid w:val="003140DD"/>
    <w:rsid w:val="003156D9"/>
    <w:rsid w:val="003159E3"/>
    <w:rsid w:val="0031692A"/>
    <w:rsid w:val="00316CEB"/>
    <w:rsid w:val="00320D55"/>
    <w:rsid w:val="00321216"/>
    <w:rsid w:val="00322939"/>
    <w:rsid w:val="00322F8B"/>
    <w:rsid w:val="00323694"/>
    <w:rsid w:val="00324077"/>
    <w:rsid w:val="00324E59"/>
    <w:rsid w:val="003254DE"/>
    <w:rsid w:val="0032637F"/>
    <w:rsid w:val="00326D05"/>
    <w:rsid w:val="00326FD0"/>
    <w:rsid w:val="00330154"/>
    <w:rsid w:val="00330C21"/>
    <w:rsid w:val="0033117E"/>
    <w:rsid w:val="00331281"/>
    <w:rsid w:val="00331519"/>
    <w:rsid w:val="0033176C"/>
    <w:rsid w:val="0033253A"/>
    <w:rsid w:val="00332919"/>
    <w:rsid w:val="00332BD2"/>
    <w:rsid w:val="00332E0E"/>
    <w:rsid w:val="00333CBA"/>
    <w:rsid w:val="00333CD9"/>
    <w:rsid w:val="00334A2A"/>
    <w:rsid w:val="00335114"/>
    <w:rsid w:val="0033589A"/>
    <w:rsid w:val="00335BE8"/>
    <w:rsid w:val="00335CB3"/>
    <w:rsid w:val="00335CDA"/>
    <w:rsid w:val="003364B6"/>
    <w:rsid w:val="003365B6"/>
    <w:rsid w:val="00336F7B"/>
    <w:rsid w:val="00337C0C"/>
    <w:rsid w:val="0034041A"/>
    <w:rsid w:val="00340589"/>
    <w:rsid w:val="003405D7"/>
    <w:rsid w:val="00340D02"/>
    <w:rsid w:val="0034173B"/>
    <w:rsid w:val="003417A5"/>
    <w:rsid w:val="00341A0B"/>
    <w:rsid w:val="00342604"/>
    <w:rsid w:val="00344A83"/>
    <w:rsid w:val="0034659D"/>
    <w:rsid w:val="003468BA"/>
    <w:rsid w:val="003469A1"/>
    <w:rsid w:val="00346CB8"/>
    <w:rsid w:val="00347709"/>
    <w:rsid w:val="0034786D"/>
    <w:rsid w:val="003500BF"/>
    <w:rsid w:val="0035031C"/>
    <w:rsid w:val="00354937"/>
    <w:rsid w:val="00354CDB"/>
    <w:rsid w:val="00354D11"/>
    <w:rsid w:val="00355A0E"/>
    <w:rsid w:val="00356205"/>
    <w:rsid w:val="00357E2A"/>
    <w:rsid w:val="003607D6"/>
    <w:rsid w:val="00360D4E"/>
    <w:rsid w:val="00360ED3"/>
    <w:rsid w:val="00361666"/>
    <w:rsid w:val="003622FB"/>
    <w:rsid w:val="00363511"/>
    <w:rsid w:val="00363903"/>
    <w:rsid w:val="00363D77"/>
    <w:rsid w:val="00363F87"/>
    <w:rsid w:val="003644EA"/>
    <w:rsid w:val="00364B01"/>
    <w:rsid w:val="00364E69"/>
    <w:rsid w:val="00364F82"/>
    <w:rsid w:val="00365D1F"/>
    <w:rsid w:val="00366650"/>
    <w:rsid w:val="003667AC"/>
    <w:rsid w:val="00366965"/>
    <w:rsid w:val="003678C9"/>
    <w:rsid w:val="00367AE5"/>
    <w:rsid w:val="003704DC"/>
    <w:rsid w:val="00371257"/>
    <w:rsid w:val="0037154D"/>
    <w:rsid w:val="003749EE"/>
    <w:rsid w:val="00375BE7"/>
    <w:rsid w:val="003768A5"/>
    <w:rsid w:val="00376F68"/>
    <w:rsid w:val="003772EA"/>
    <w:rsid w:val="00377C65"/>
    <w:rsid w:val="003800CE"/>
    <w:rsid w:val="00380790"/>
    <w:rsid w:val="003812FF"/>
    <w:rsid w:val="00381505"/>
    <w:rsid w:val="00381FEB"/>
    <w:rsid w:val="00382437"/>
    <w:rsid w:val="00382E87"/>
    <w:rsid w:val="003839E0"/>
    <w:rsid w:val="00384405"/>
    <w:rsid w:val="0038470C"/>
    <w:rsid w:val="00384BCF"/>
    <w:rsid w:val="00384DA0"/>
    <w:rsid w:val="00385822"/>
    <w:rsid w:val="00385B23"/>
    <w:rsid w:val="00386C22"/>
    <w:rsid w:val="00390615"/>
    <w:rsid w:val="0039132F"/>
    <w:rsid w:val="00391CBA"/>
    <w:rsid w:val="003930E2"/>
    <w:rsid w:val="00393A45"/>
    <w:rsid w:val="00396BFA"/>
    <w:rsid w:val="00396CD6"/>
    <w:rsid w:val="00397716"/>
    <w:rsid w:val="00397C8F"/>
    <w:rsid w:val="003A080A"/>
    <w:rsid w:val="003A081A"/>
    <w:rsid w:val="003A1C0D"/>
    <w:rsid w:val="003A1FB3"/>
    <w:rsid w:val="003A2ECF"/>
    <w:rsid w:val="003A4809"/>
    <w:rsid w:val="003A4EC5"/>
    <w:rsid w:val="003A4F9E"/>
    <w:rsid w:val="003A5385"/>
    <w:rsid w:val="003A608C"/>
    <w:rsid w:val="003A6A02"/>
    <w:rsid w:val="003A6EB7"/>
    <w:rsid w:val="003A7382"/>
    <w:rsid w:val="003A782B"/>
    <w:rsid w:val="003B1743"/>
    <w:rsid w:val="003B19DA"/>
    <w:rsid w:val="003B212B"/>
    <w:rsid w:val="003B21A5"/>
    <w:rsid w:val="003B2939"/>
    <w:rsid w:val="003B3E75"/>
    <w:rsid w:val="003B43AD"/>
    <w:rsid w:val="003B4F43"/>
    <w:rsid w:val="003B67DB"/>
    <w:rsid w:val="003B67EC"/>
    <w:rsid w:val="003B6EEE"/>
    <w:rsid w:val="003B72AA"/>
    <w:rsid w:val="003C2207"/>
    <w:rsid w:val="003C271E"/>
    <w:rsid w:val="003C2DDA"/>
    <w:rsid w:val="003C3EEC"/>
    <w:rsid w:val="003C4FC4"/>
    <w:rsid w:val="003C5CCA"/>
    <w:rsid w:val="003C61F3"/>
    <w:rsid w:val="003C64C3"/>
    <w:rsid w:val="003C6768"/>
    <w:rsid w:val="003C6F4E"/>
    <w:rsid w:val="003C70C6"/>
    <w:rsid w:val="003C71D8"/>
    <w:rsid w:val="003C73D1"/>
    <w:rsid w:val="003C78F2"/>
    <w:rsid w:val="003D110D"/>
    <w:rsid w:val="003D1BB5"/>
    <w:rsid w:val="003D1EDC"/>
    <w:rsid w:val="003D1F33"/>
    <w:rsid w:val="003D366F"/>
    <w:rsid w:val="003D4471"/>
    <w:rsid w:val="003D51CE"/>
    <w:rsid w:val="003D5B07"/>
    <w:rsid w:val="003D6DD9"/>
    <w:rsid w:val="003D704A"/>
    <w:rsid w:val="003D72F2"/>
    <w:rsid w:val="003D7B17"/>
    <w:rsid w:val="003D7C86"/>
    <w:rsid w:val="003D7E3B"/>
    <w:rsid w:val="003D7E96"/>
    <w:rsid w:val="003D7FFE"/>
    <w:rsid w:val="003E0ACD"/>
    <w:rsid w:val="003E10E9"/>
    <w:rsid w:val="003E1893"/>
    <w:rsid w:val="003E18D3"/>
    <w:rsid w:val="003E2250"/>
    <w:rsid w:val="003E2297"/>
    <w:rsid w:val="003E2E93"/>
    <w:rsid w:val="003E2F7F"/>
    <w:rsid w:val="003E32EB"/>
    <w:rsid w:val="003E3A06"/>
    <w:rsid w:val="003E4E90"/>
    <w:rsid w:val="003E546B"/>
    <w:rsid w:val="003E5A9B"/>
    <w:rsid w:val="003E5AB4"/>
    <w:rsid w:val="003E5AD8"/>
    <w:rsid w:val="003E63A6"/>
    <w:rsid w:val="003E6763"/>
    <w:rsid w:val="003E69A0"/>
    <w:rsid w:val="003E6A1E"/>
    <w:rsid w:val="003E6E19"/>
    <w:rsid w:val="003E7109"/>
    <w:rsid w:val="003E75C7"/>
    <w:rsid w:val="003E7EEA"/>
    <w:rsid w:val="003F0820"/>
    <w:rsid w:val="003F08F0"/>
    <w:rsid w:val="003F0DA1"/>
    <w:rsid w:val="003F3C7F"/>
    <w:rsid w:val="003F5A4A"/>
    <w:rsid w:val="003F5BEE"/>
    <w:rsid w:val="003F6A77"/>
    <w:rsid w:val="003F6DDC"/>
    <w:rsid w:val="0040049D"/>
    <w:rsid w:val="004005EB"/>
    <w:rsid w:val="00400E34"/>
    <w:rsid w:val="00401327"/>
    <w:rsid w:val="00401B3E"/>
    <w:rsid w:val="00402078"/>
    <w:rsid w:val="004020E5"/>
    <w:rsid w:val="00402307"/>
    <w:rsid w:val="00402C79"/>
    <w:rsid w:val="004039E6"/>
    <w:rsid w:val="0040406B"/>
    <w:rsid w:val="004045ED"/>
    <w:rsid w:val="004049ED"/>
    <w:rsid w:val="00405297"/>
    <w:rsid w:val="004070AE"/>
    <w:rsid w:val="0040717B"/>
    <w:rsid w:val="00407F42"/>
    <w:rsid w:val="00410469"/>
    <w:rsid w:val="0041131A"/>
    <w:rsid w:val="00413087"/>
    <w:rsid w:val="00413589"/>
    <w:rsid w:val="00413721"/>
    <w:rsid w:val="0041394C"/>
    <w:rsid w:val="00413B79"/>
    <w:rsid w:val="00415FF7"/>
    <w:rsid w:val="00416455"/>
    <w:rsid w:val="00420A21"/>
    <w:rsid w:val="004215FC"/>
    <w:rsid w:val="004218AD"/>
    <w:rsid w:val="00422A26"/>
    <w:rsid w:val="00422B6B"/>
    <w:rsid w:val="00422E0C"/>
    <w:rsid w:val="00422E34"/>
    <w:rsid w:val="00422F77"/>
    <w:rsid w:val="00422FC5"/>
    <w:rsid w:val="004233A0"/>
    <w:rsid w:val="0042357E"/>
    <w:rsid w:val="004235AB"/>
    <w:rsid w:val="0042587C"/>
    <w:rsid w:val="00425D4E"/>
    <w:rsid w:val="00425F62"/>
    <w:rsid w:val="00425FD8"/>
    <w:rsid w:val="0042659C"/>
    <w:rsid w:val="00427AA7"/>
    <w:rsid w:val="00431375"/>
    <w:rsid w:val="00431C3E"/>
    <w:rsid w:val="00431D5B"/>
    <w:rsid w:val="0043245A"/>
    <w:rsid w:val="00433825"/>
    <w:rsid w:val="00434823"/>
    <w:rsid w:val="00434FF9"/>
    <w:rsid w:val="00435015"/>
    <w:rsid w:val="00435F44"/>
    <w:rsid w:val="004360A4"/>
    <w:rsid w:val="004403FD"/>
    <w:rsid w:val="00441AE4"/>
    <w:rsid w:val="00443290"/>
    <w:rsid w:val="00443820"/>
    <w:rsid w:val="0044534E"/>
    <w:rsid w:val="00446A44"/>
    <w:rsid w:val="00446A58"/>
    <w:rsid w:val="004475AC"/>
    <w:rsid w:val="00447DA2"/>
    <w:rsid w:val="00447F5A"/>
    <w:rsid w:val="0045076B"/>
    <w:rsid w:val="004508A1"/>
    <w:rsid w:val="00450A37"/>
    <w:rsid w:val="004532C6"/>
    <w:rsid w:val="004536C5"/>
    <w:rsid w:val="004549E9"/>
    <w:rsid w:val="004559EB"/>
    <w:rsid w:val="0045711D"/>
    <w:rsid w:val="004574F4"/>
    <w:rsid w:val="00457C1E"/>
    <w:rsid w:val="00460377"/>
    <w:rsid w:val="00460A24"/>
    <w:rsid w:val="004610DE"/>
    <w:rsid w:val="00461E2F"/>
    <w:rsid w:val="004620C2"/>
    <w:rsid w:val="004638CD"/>
    <w:rsid w:val="004644E5"/>
    <w:rsid w:val="004646D2"/>
    <w:rsid w:val="00464C49"/>
    <w:rsid w:val="00464E15"/>
    <w:rsid w:val="00464E92"/>
    <w:rsid w:val="00465A8A"/>
    <w:rsid w:val="00465C93"/>
    <w:rsid w:val="0046742D"/>
    <w:rsid w:val="00467982"/>
    <w:rsid w:val="00470889"/>
    <w:rsid w:val="00470C03"/>
    <w:rsid w:val="00471C10"/>
    <w:rsid w:val="00472B4C"/>
    <w:rsid w:val="00472B9C"/>
    <w:rsid w:val="00472E70"/>
    <w:rsid w:val="004746E4"/>
    <w:rsid w:val="004760D9"/>
    <w:rsid w:val="004761C1"/>
    <w:rsid w:val="00476C08"/>
    <w:rsid w:val="00477A28"/>
    <w:rsid w:val="00480A50"/>
    <w:rsid w:val="004815D4"/>
    <w:rsid w:val="00481BEF"/>
    <w:rsid w:val="00482A5E"/>
    <w:rsid w:val="00484B75"/>
    <w:rsid w:val="00486016"/>
    <w:rsid w:val="004863DE"/>
    <w:rsid w:val="00486ACA"/>
    <w:rsid w:val="00487476"/>
    <w:rsid w:val="00487A4E"/>
    <w:rsid w:val="00487B2A"/>
    <w:rsid w:val="0049035B"/>
    <w:rsid w:val="00490DD0"/>
    <w:rsid w:val="00490F80"/>
    <w:rsid w:val="00491CD2"/>
    <w:rsid w:val="00491CFE"/>
    <w:rsid w:val="00492746"/>
    <w:rsid w:val="0049346F"/>
    <w:rsid w:val="004934F4"/>
    <w:rsid w:val="00493A0B"/>
    <w:rsid w:val="00493E7B"/>
    <w:rsid w:val="00493F8A"/>
    <w:rsid w:val="00494078"/>
    <w:rsid w:val="0049514C"/>
    <w:rsid w:val="004966FC"/>
    <w:rsid w:val="00496FB8"/>
    <w:rsid w:val="004A1800"/>
    <w:rsid w:val="004A23FD"/>
    <w:rsid w:val="004A304B"/>
    <w:rsid w:val="004A5091"/>
    <w:rsid w:val="004A59AF"/>
    <w:rsid w:val="004A5FE1"/>
    <w:rsid w:val="004A776A"/>
    <w:rsid w:val="004B0FB8"/>
    <w:rsid w:val="004B1CD2"/>
    <w:rsid w:val="004B2D7D"/>
    <w:rsid w:val="004B3237"/>
    <w:rsid w:val="004B3A28"/>
    <w:rsid w:val="004B40E4"/>
    <w:rsid w:val="004B42F5"/>
    <w:rsid w:val="004B440B"/>
    <w:rsid w:val="004B4F5D"/>
    <w:rsid w:val="004B6A50"/>
    <w:rsid w:val="004B6F23"/>
    <w:rsid w:val="004B7407"/>
    <w:rsid w:val="004C1782"/>
    <w:rsid w:val="004C385D"/>
    <w:rsid w:val="004C3FF4"/>
    <w:rsid w:val="004C40B3"/>
    <w:rsid w:val="004C460F"/>
    <w:rsid w:val="004C4968"/>
    <w:rsid w:val="004C4D8D"/>
    <w:rsid w:val="004C4F82"/>
    <w:rsid w:val="004C5ECF"/>
    <w:rsid w:val="004C6969"/>
    <w:rsid w:val="004C6DF3"/>
    <w:rsid w:val="004C74EA"/>
    <w:rsid w:val="004C7C9E"/>
    <w:rsid w:val="004D0C74"/>
    <w:rsid w:val="004D139E"/>
    <w:rsid w:val="004D3C01"/>
    <w:rsid w:val="004D3E11"/>
    <w:rsid w:val="004D49A9"/>
    <w:rsid w:val="004D5542"/>
    <w:rsid w:val="004D5D2D"/>
    <w:rsid w:val="004D6123"/>
    <w:rsid w:val="004D61FE"/>
    <w:rsid w:val="004D622B"/>
    <w:rsid w:val="004D6728"/>
    <w:rsid w:val="004D6C31"/>
    <w:rsid w:val="004D7549"/>
    <w:rsid w:val="004D7F02"/>
    <w:rsid w:val="004E2814"/>
    <w:rsid w:val="004E2F34"/>
    <w:rsid w:val="004E31E0"/>
    <w:rsid w:val="004E33A8"/>
    <w:rsid w:val="004E36C4"/>
    <w:rsid w:val="004E4D8B"/>
    <w:rsid w:val="004E5752"/>
    <w:rsid w:val="004E5B52"/>
    <w:rsid w:val="004E6AB8"/>
    <w:rsid w:val="004E760E"/>
    <w:rsid w:val="004E7A24"/>
    <w:rsid w:val="004F146B"/>
    <w:rsid w:val="004F2CDE"/>
    <w:rsid w:val="004F3475"/>
    <w:rsid w:val="004F3CAC"/>
    <w:rsid w:val="004F4A89"/>
    <w:rsid w:val="004F5F78"/>
    <w:rsid w:val="004F613A"/>
    <w:rsid w:val="004F714E"/>
    <w:rsid w:val="004F7779"/>
    <w:rsid w:val="005000B6"/>
    <w:rsid w:val="005003CF"/>
    <w:rsid w:val="005013D1"/>
    <w:rsid w:val="00501D01"/>
    <w:rsid w:val="00501D6C"/>
    <w:rsid w:val="00502198"/>
    <w:rsid w:val="0050306E"/>
    <w:rsid w:val="005037C2"/>
    <w:rsid w:val="00503D4E"/>
    <w:rsid w:val="00504B51"/>
    <w:rsid w:val="0050502B"/>
    <w:rsid w:val="0050507B"/>
    <w:rsid w:val="005053A3"/>
    <w:rsid w:val="00505927"/>
    <w:rsid w:val="005066A3"/>
    <w:rsid w:val="00506E9A"/>
    <w:rsid w:val="0050740D"/>
    <w:rsid w:val="005078B0"/>
    <w:rsid w:val="005106B3"/>
    <w:rsid w:val="00511FE3"/>
    <w:rsid w:val="0051261E"/>
    <w:rsid w:val="00512819"/>
    <w:rsid w:val="00512BFE"/>
    <w:rsid w:val="00513678"/>
    <w:rsid w:val="00513E52"/>
    <w:rsid w:val="005140C5"/>
    <w:rsid w:val="00514944"/>
    <w:rsid w:val="00514C6A"/>
    <w:rsid w:val="00515469"/>
    <w:rsid w:val="005154BC"/>
    <w:rsid w:val="00515E92"/>
    <w:rsid w:val="00516332"/>
    <w:rsid w:val="0052058E"/>
    <w:rsid w:val="00520FA6"/>
    <w:rsid w:val="00521F9C"/>
    <w:rsid w:val="0052251B"/>
    <w:rsid w:val="00522CA4"/>
    <w:rsid w:val="00523AB5"/>
    <w:rsid w:val="00523BD5"/>
    <w:rsid w:val="00524FE5"/>
    <w:rsid w:val="005259AD"/>
    <w:rsid w:val="00525DE9"/>
    <w:rsid w:val="0052611A"/>
    <w:rsid w:val="0052625F"/>
    <w:rsid w:val="00526386"/>
    <w:rsid w:val="005270F8"/>
    <w:rsid w:val="00527DEF"/>
    <w:rsid w:val="00531295"/>
    <w:rsid w:val="00531320"/>
    <w:rsid w:val="00531BE0"/>
    <w:rsid w:val="00531D0F"/>
    <w:rsid w:val="00533705"/>
    <w:rsid w:val="00536565"/>
    <w:rsid w:val="005370B6"/>
    <w:rsid w:val="00537211"/>
    <w:rsid w:val="00537367"/>
    <w:rsid w:val="00537E7A"/>
    <w:rsid w:val="00540BF7"/>
    <w:rsid w:val="005429E9"/>
    <w:rsid w:val="00542BDC"/>
    <w:rsid w:val="00542F47"/>
    <w:rsid w:val="00543487"/>
    <w:rsid w:val="00543BC2"/>
    <w:rsid w:val="00543F9C"/>
    <w:rsid w:val="00545098"/>
    <w:rsid w:val="00545124"/>
    <w:rsid w:val="00545C96"/>
    <w:rsid w:val="00545CED"/>
    <w:rsid w:val="0054640F"/>
    <w:rsid w:val="00546478"/>
    <w:rsid w:val="00546AD0"/>
    <w:rsid w:val="005470D0"/>
    <w:rsid w:val="005478C8"/>
    <w:rsid w:val="00547E1D"/>
    <w:rsid w:val="00552A72"/>
    <w:rsid w:val="00553066"/>
    <w:rsid w:val="00553881"/>
    <w:rsid w:val="00554003"/>
    <w:rsid w:val="0055472F"/>
    <w:rsid w:val="005549CF"/>
    <w:rsid w:val="00555203"/>
    <w:rsid w:val="0055532F"/>
    <w:rsid w:val="00555625"/>
    <w:rsid w:val="0055589D"/>
    <w:rsid w:val="00555C58"/>
    <w:rsid w:val="005571A8"/>
    <w:rsid w:val="005601E5"/>
    <w:rsid w:val="005602ED"/>
    <w:rsid w:val="00560EC6"/>
    <w:rsid w:val="00560F4A"/>
    <w:rsid w:val="0056186D"/>
    <w:rsid w:val="005622B7"/>
    <w:rsid w:val="0056295D"/>
    <w:rsid w:val="00562CF2"/>
    <w:rsid w:val="00564147"/>
    <w:rsid w:val="00565320"/>
    <w:rsid w:val="00565AD8"/>
    <w:rsid w:val="005661D5"/>
    <w:rsid w:val="005664D5"/>
    <w:rsid w:val="00566B31"/>
    <w:rsid w:val="00566EA3"/>
    <w:rsid w:val="00566EEF"/>
    <w:rsid w:val="005670D1"/>
    <w:rsid w:val="00567220"/>
    <w:rsid w:val="00567487"/>
    <w:rsid w:val="00567861"/>
    <w:rsid w:val="0057071B"/>
    <w:rsid w:val="00570BD4"/>
    <w:rsid w:val="00572B55"/>
    <w:rsid w:val="00572CDF"/>
    <w:rsid w:val="00574494"/>
    <w:rsid w:val="0057689B"/>
    <w:rsid w:val="00576B86"/>
    <w:rsid w:val="00576BF4"/>
    <w:rsid w:val="00576D0D"/>
    <w:rsid w:val="00577A50"/>
    <w:rsid w:val="005803D7"/>
    <w:rsid w:val="00580BE8"/>
    <w:rsid w:val="005822F2"/>
    <w:rsid w:val="00582A96"/>
    <w:rsid w:val="00582E95"/>
    <w:rsid w:val="00583163"/>
    <w:rsid w:val="005848A0"/>
    <w:rsid w:val="0058534D"/>
    <w:rsid w:val="00585652"/>
    <w:rsid w:val="00585BB4"/>
    <w:rsid w:val="005861CC"/>
    <w:rsid w:val="00586A49"/>
    <w:rsid w:val="00586E6E"/>
    <w:rsid w:val="00586F3C"/>
    <w:rsid w:val="00587E5E"/>
    <w:rsid w:val="005914A2"/>
    <w:rsid w:val="005919DD"/>
    <w:rsid w:val="00591B62"/>
    <w:rsid w:val="00591BF9"/>
    <w:rsid w:val="005920F1"/>
    <w:rsid w:val="00592AAE"/>
    <w:rsid w:val="00592C1C"/>
    <w:rsid w:val="00593559"/>
    <w:rsid w:val="0059378E"/>
    <w:rsid w:val="00593C4A"/>
    <w:rsid w:val="00593E74"/>
    <w:rsid w:val="0059462D"/>
    <w:rsid w:val="0059634F"/>
    <w:rsid w:val="005967E0"/>
    <w:rsid w:val="005977B2"/>
    <w:rsid w:val="005A1DAD"/>
    <w:rsid w:val="005A2660"/>
    <w:rsid w:val="005A3339"/>
    <w:rsid w:val="005A3752"/>
    <w:rsid w:val="005A3B44"/>
    <w:rsid w:val="005A3BD7"/>
    <w:rsid w:val="005A4BC7"/>
    <w:rsid w:val="005A4DF8"/>
    <w:rsid w:val="005A541D"/>
    <w:rsid w:val="005A68DE"/>
    <w:rsid w:val="005A70E1"/>
    <w:rsid w:val="005A71C7"/>
    <w:rsid w:val="005B06AF"/>
    <w:rsid w:val="005B11BF"/>
    <w:rsid w:val="005B177B"/>
    <w:rsid w:val="005B212E"/>
    <w:rsid w:val="005B2CC8"/>
    <w:rsid w:val="005B34CB"/>
    <w:rsid w:val="005B378A"/>
    <w:rsid w:val="005B402D"/>
    <w:rsid w:val="005B467F"/>
    <w:rsid w:val="005B5D73"/>
    <w:rsid w:val="005B624A"/>
    <w:rsid w:val="005B624F"/>
    <w:rsid w:val="005B69E1"/>
    <w:rsid w:val="005B71F2"/>
    <w:rsid w:val="005B7CDD"/>
    <w:rsid w:val="005C11D9"/>
    <w:rsid w:val="005C1E85"/>
    <w:rsid w:val="005C2243"/>
    <w:rsid w:val="005C2E51"/>
    <w:rsid w:val="005C321D"/>
    <w:rsid w:val="005C3395"/>
    <w:rsid w:val="005C429D"/>
    <w:rsid w:val="005C429F"/>
    <w:rsid w:val="005C482E"/>
    <w:rsid w:val="005C519E"/>
    <w:rsid w:val="005C54AB"/>
    <w:rsid w:val="005C553F"/>
    <w:rsid w:val="005C5D1F"/>
    <w:rsid w:val="005C5E10"/>
    <w:rsid w:val="005C617E"/>
    <w:rsid w:val="005C66DB"/>
    <w:rsid w:val="005D015B"/>
    <w:rsid w:val="005D12EB"/>
    <w:rsid w:val="005D1A4F"/>
    <w:rsid w:val="005D31B5"/>
    <w:rsid w:val="005D37BB"/>
    <w:rsid w:val="005D37E3"/>
    <w:rsid w:val="005D3E47"/>
    <w:rsid w:val="005D468B"/>
    <w:rsid w:val="005D5BBB"/>
    <w:rsid w:val="005D6141"/>
    <w:rsid w:val="005D6145"/>
    <w:rsid w:val="005D6A8D"/>
    <w:rsid w:val="005D7249"/>
    <w:rsid w:val="005D7864"/>
    <w:rsid w:val="005E1EE4"/>
    <w:rsid w:val="005E2A07"/>
    <w:rsid w:val="005E34BE"/>
    <w:rsid w:val="005E35BE"/>
    <w:rsid w:val="005E3CBC"/>
    <w:rsid w:val="005E6357"/>
    <w:rsid w:val="005E6BCD"/>
    <w:rsid w:val="005E7193"/>
    <w:rsid w:val="005E7B41"/>
    <w:rsid w:val="005E7BD8"/>
    <w:rsid w:val="005E7D88"/>
    <w:rsid w:val="005F03E0"/>
    <w:rsid w:val="005F0D90"/>
    <w:rsid w:val="005F1132"/>
    <w:rsid w:val="005F1183"/>
    <w:rsid w:val="005F2717"/>
    <w:rsid w:val="005F2ACB"/>
    <w:rsid w:val="005F2BA7"/>
    <w:rsid w:val="005F33E9"/>
    <w:rsid w:val="005F3646"/>
    <w:rsid w:val="005F3FB3"/>
    <w:rsid w:val="005F4A88"/>
    <w:rsid w:val="005F4EBA"/>
    <w:rsid w:val="005F57BC"/>
    <w:rsid w:val="005F5FE2"/>
    <w:rsid w:val="005F632D"/>
    <w:rsid w:val="005F72CB"/>
    <w:rsid w:val="005F7456"/>
    <w:rsid w:val="00600D72"/>
    <w:rsid w:val="00600FEA"/>
    <w:rsid w:val="0060232B"/>
    <w:rsid w:val="00603160"/>
    <w:rsid w:val="00604929"/>
    <w:rsid w:val="00604C17"/>
    <w:rsid w:val="0060672C"/>
    <w:rsid w:val="00607474"/>
    <w:rsid w:val="00607633"/>
    <w:rsid w:val="006076AE"/>
    <w:rsid w:val="00610165"/>
    <w:rsid w:val="006105DB"/>
    <w:rsid w:val="0061088C"/>
    <w:rsid w:val="0061113E"/>
    <w:rsid w:val="00611188"/>
    <w:rsid w:val="00611E7C"/>
    <w:rsid w:val="00612CE2"/>
    <w:rsid w:val="00612D53"/>
    <w:rsid w:val="006131E7"/>
    <w:rsid w:val="00613572"/>
    <w:rsid w:val="00613A6F"/>
    <w:rsid w:val="0061524B"/>
    <w:rsid w:val="006166C8"/>
    <w:rsid w:val="00617226"/>
    <w:rsid w:val="00621204"/>
    <w:rsid w:val="006212BE"/>
    <w:rsid w:val="00622050"/>
    <w:rsid w:val="00622209"/>
    <w:rsid w:val="00622A99"/>
    <w:rsid w:val="0062327C"/>
    <w:rsid w:val="00623CDD"/>
    <w:rsid w:val="00624BD6"/>
    <w:rsid w:val="0062527E"/>
    <w:rsid w:val="006269D5"/>
    <w:rsid w:val="00626A6B"/>
    <w:rsid w:val="00627E1D"/>
    <w:rsid w:val="0063065A"/>
    <w:rsid w:val="00630C5F"/>
    <w:rsid w:val="00631D8E"/>
    <w:rsid w:val="006329D9"/>
    <w:rsid w:val="00632CC8"/>
    <w:rsid w:val="00632FE1"/>
    <w:rsid w:val="0063379B"/>
    <w:rsid w:val="00633F72"/>
    <w:rsid w:val="00634458"/>
    <w:rsid w:val="00634BE6"/>
    <w:rsid w:val="00634CFA"/>
    <w:rsid w:val="00635592"/>
    <w:rsid w:val="00635E52"/>
    <w:rsid w:val="00636CF9"/>
    <w:rsid w:val="00637D41"/>
    <w:rsid w:val="0064001F"/>
    <w:rsid w:val="0064077A"/>
    <w:rsid w:val="00640BB4"/>
    <w:rsid w:val="006419BF"/>
    <w:rsid w:val="00641CD4"/>
    <w:rsid w:val="00641E61"/>
    <w:rsid w:val="006424AF"/>
    <w:rsid w:val="006430FF"/>
    <w:rsid w:val="00643694"/>
    <w:rsid w:val="00643E89"/>
    <w:rsid w:val="006440DF"/>
    <w:rsid w:val="00644CA8"/>
    <w:rsid w:val="00646692"/>
    <w:rsid w:val="006469FA"/>
    <w:rsid w:val="00646BC6"/>
    <w:rsid w:val="00646C85"/>
    <w:rsid w:val="006479B8"/>
    <w:rsid w:val="00647B28"/>
    <w:rsid w:val="00650074"/>
    <w:rsid w:val="00650143"/>
    <w:rsid w:val="00650896"/>
    <w:rsid w:val="00650D9A"/>
    <w:rsid w:val="006513C1"/>
    <w:rsid w:val="00651819"/>
    <w:rsid w:val="0065195B"/>
    <w:rsid w:val="00651E3D"/>
    <w:rsid w:val="00651F49"/>
    <w:rsid w:val="00652056"/>
    <w:rsid w:val="00653146"/>
    <w:rsid w:val="00653DDC"/>
    <w:rsid w:val="00653ED8"/>
    <w:rsid w:val="00654039"/>
    <w:rsid w:val="006548A7"/>
    <w:rsid w:val="0065600E"/>
    <w:rsid w:val="00656D11"/>
    <w:rsid w:val="00656E1E"/>
    <w:rsid w:val="006574FF"/>
    <w:rsid w:val="0065784B"/>
    <w:rsid w:val="00657F6B"/>
    <w:rsid w:val="006608AE"/>
    <w:rsid w:val="00660F86"/>
    <w:rsid w:val="006614D2"/>
    <w:rsid w:val="00661C7B"/>
    <w:rsid w:val="00661CA7"/>
    <w:rsid w:val="00661CC8"/>
    <w:rsid w:val="006628E8"/>
    <w:rsid w:val="00662BC2"/>
    <w:rsid w:val="006631F9"/>
    <w:rsid w:val="0066385B"/>
    <w:rsid w:val="006642CA"/>
    <w:rsid w:val="00665C9D"/>
    <w:rsid w:val="0066618C"/>
    <w:rsid w:val="00666642"/>
    <w:rsid w:val="0066692C"/>
    <w:rsid w:val="00666DC2"/>
    <w:rsid w:val="00666E9A"/>
    <w:rsid w:val="00666FA7"/>
    <w:rsid w:val="0067031D"/>
    <w:rsid w:val="00671BCF"/>
    <w:rsid w:val="00672335"/>
    <w:rsid w:val="00672374"/>
    <w:rsid w:val="0067405C"/>
    <w:rsid w:val="006759EF"/>
    <w:rsid w:val="00675AA6"/>
    <w:rsid w:val="00676432"/>
    <w:rsid w:val="00677086"/>
    <w:rsid w:val="0067737E"/>
    <w:rsid w:val="00681632"/>
    <w:rsid w:val="00681D97"/>
    <w:rsid w:val="00681E7F"/>
    <w:rsid w:val="00682870"/>
    <w:rsid w:val="006832E6"/>
    <w:rsid w:val="00683A9E"/>
    <w:rsid w:val="00683FDA"/>
    <w:rsid w:val="00684888"/>
    <w:rsid w:val="00686E51"/>
    <w:rsid w:val="00686E68"/>
    <w:rsid w:val="0068754A"/>
    <w:rsid w:val="00687738"/>
    <w:rsid w:val="00687CE9"/>
    <w:rsid w:val="00690581"/>
    <w:rsid w:val="00690AA3"/>
    <w:rsid w:val="00690CFF"/>
    <w:rsid w:val="0069179B"/>
    <w:rsid w:val="00691F22"/>
    <w:rsid w:val="00693AE4"/>
    <w:rsid w:val="00693BFF"/>
    <w:rsid w:val="00693D6F"/>
    <w:rsid w:val="00693F91"/>
    <w:rsid w:val="00694021"/>
    <w:rsid w:val="0069422F"/>
    <w:rsid w:val="006942A6"/>
    <w:rsid w:val="00694314"/>
    <w:rsid w:val="006945F5"/>
    <w:rsid w:val="0069476A"/>
    <w:rsid w:val="006953F5"/>
    <w:rsid w:val="00695499"/>
    <w:rsid w:val="00695852"/>
    <w:rsid w:val="00695ADE"/>
    <w:rsid w:val="00696370"/>
    <w:rsid w:val="00696F19"/>
    <w:rsid w:val="00696F41"/>
    <w:rsid w:val="00697196"/>
    <w:rsid w:val="0069725D"/>
    <w:rsid w:val="006A1FD2"/>
    <w:rsid w:val="006A28A5"/>
    <w:rsid w:val="006A298F"/>
    <w:rsid w:val="006A3047"/>
    <w:rsid w:val="006A322D"/>
    <w:rsid w:val="006A4084"/>
    <w:rsid w:val="006A40DF"/>
    <w:rsid w:val="006A4BF0"/>
    <w:rsid w:val="006A5338"/>
    <w:rsid w:val="006A55D7"/>
    <w:rsid w:val="006A59FC"/>
    <w:rsid w:val="006A5EFC"/>
    <w:rsid w:val="006A64D2"/>
    <w:rsid w:val="006A6C15"/>
    <w:rsid w:val="006A73C2"/>
    <w:rsid w:val="006B06FB"/>
    <w:rsid w:val="006B07F6"/>
    <w:rsid w:val="006B12D2"/>
    <w:rsid w:val="006B15C9"/>
    <w:rsid w:val="006B20AE"/>
    <w:rsid w:val="006B29DF"/>
    <w:rsid w:val="006B31D1"/>
    <w:rsid w:val="006B3619"/>
    <w:rsid w:val="006B4BA6"/>
    <w:rsid w:val="006B59E4"/>
    <w:rsid w:val="006B64FC"/>
    <w:rsid w:val="006B735C"/>
    <w:rsid w:val="006C035F"/>
    <w:rsid w:val="006C0F5A"/>
    <w:rsid w:val="006C1523"/>
    <w:rsid w:val="006C1E7C"/>
    <w:rsid w:val="006C2338"/>
    <w:rsid w:val="006C2759"/>
    <w:rsid w:val="006C2A51"/>
    <w:rsid w:val="006C32B5"/>
    <w:rsid w:val="006C32D8"/>
    <w:rsid w:val="006C35CA"/>
    <w:rsid w:val="006C4C68"/>
    <w:rsid w:val="006C5C8C"/>
    <w:rsid w:val="006C61D6"/>
    <w:rsid w:val="006C6786"/>
    <w:rsid w:val="006C6787"/>
    <w:rsid w:val="006C6E6C"/>
    <w:rsid w:val="006D036F"/>
    <w:rsid w:val="006D05D5"/>
    <w:rsid w:val="006D21EF"/>
    <w:rsid w:val="006D2E1B"/>
    <w:rsid w:val="006D384A"/>
    <w:rsid w:val="006D4CC4"/>
    <w:rsid w:val="006D5397"/>
    <w:rsid w:val="006D5643"/>
    <w:rsid w:val="006D5669"/>
    <w:rsid w:val="006D61D2"/>
    <w:rsid w:val="006D67F5"/>
    <w:rsid w:val="006D74F5"/>
    <w:rsid w:val="006E1092"/>
    <w:rsid w:val="006E2C19"/>
    <w:rsid w:val="006E33B9"/>
    <w:rsid w:val="006E36AC"/>
    <w:rsid w:val="006E442B"/>
    <w:rsid w:val="006E6379"/>
    <w:rsid w:val="006E6515"/>
    <w:rsid w:val="006F0116"/>
    <w:rsid w:val="006F0260"/>
    <w:rsid w:val="006F0287"/>
    <w:rsid w:val="006F06E6"/>
    <w:rsid w:val="006F1683"/>
    <w:rsid w:val="006F26D5"/>
    <w:rsid w:val="006F4285"/>
    <w:rsid w:val="006F5237"/>
    <w:rsid w:val="006F5539"/>
    <w:rsid w:val="006F6466"/>
    <w:rsid w:val="006F66E3"/>
    <w:rsid w:val="006F78DF"/>
    <w:rsid w:val="006F7C54"/>
    <w:rsid w:val="006F7E22"/>
    <w:rsid w:val="006F7F61"/>
    <w:rsid w:val="00700C87"/>
    <w:rsid w:val="00701E63"/>
    <w:rsid w:val="00701F98"/>
    <w:rsid w:val="0070272D"/>
    <w:rsid w:val="00702D1D"/>
    <w:rsid w:val="00703946"/>
    <w:rsid w:val="00703C77"/>
    <w:rsid w:val="00703F73"/>
    <w:rsid w:val="00705292"/>
    <w:rsid w:val="007055F5"/>
    <w:rsid w:val="00705667"/>
    <w:rsid w:val="0070596C"/>
    <w:rsid w:val="0070619E"/>
    <w:rsid w:val="00706460"/>
    <w:rsid w:val="007073F8"/>
    <w:rsid w:val="007075E7"/>
    <w:rsid w:val="007117BC"/>
    <w:rsid w:val="00711F48"/>
    <w:rsid w:val="00712398"/>
    <w:rsid w:val="00712D95"/>
    <w:rsid w:val="0071302B"/>
    <w:rsid w:val="00713592"/>
    <w:rsid w:val="00713D81"/>
    <w:rsid w:val="00714308"/>
    <w:rsid w:val="00714651"/>
    <w:rsid w:val="007147B9"/>
    <w:rsid w:val="00715062"/>
    <w:rsid w:val="00715C18"/>
    <w:rsid w:val="00716192"/>
    <w:rsid w:val="007163D1"/>
    <w:rsid w:val="00717445"/>
    <w:rsid w:val="0071747E"/>
    <w:rsid w:val="0072037D"/>
    <w:rsid w:val="00721E84"/>
    <w:rsid w:val="007221E7"/>
    <w:rsid w:val="0072285E"/>
    <w:rsid w:val="00722ACE"/>
    <w:rsid w:val="00722F8D"/>
    <w:rsid w:val="007237F8"/>
    <w:rsid w:val="0072410B"/>
    <w:rsid w:val="00725DCC"/>
    <w:rsid w:val="00726229"/>
    <w:rsid w:val="007264FC"/>
    <w:rsid w:val="00726E4D"/>
    <w:rsid w:val="0072721E"/>
    <w:rsid w:val="00727336"/>
    <w:rsid w:val="007276C4"/>
    <w:rsid w:val="00727890"/>
    <w:rsid w:val="00730EE0"/>
    <w:rsid w:val="00731292"/>
    <w:rsid w:val="0073142A"/>
    <w:rsid w:val="007314E7"/>
    <w:rsid w:val="0073193B"/>
    <w:rsid w:val="00731B4C"/>
    <w:rsid w:val="007320AB"/>
    <w:rsid w:val="0073211A"/>
    <w:rsid w:val="00733A51"/>
    <w:rsid w:val="00733C6D"/>
    <w:rsid w:val="00734856"/>
    <w:rsid w:val="0073506D"/>
    <w:rsid w:val="00735913"/>
    <w:rsid w:val="00735E14"/>
    <w:rsid w:val="00737280"/>
    <w:rsid w:val="00737605"/>
    <w:rsid w:val="0073760A"/>
    <w:rsid w:val="00737D80"/>
    <w:rsid w:val="007401E4"/>
    <w:rsid w:val="007403A2"/>
    <w:rsid w:val="007416FB"/>
    <w:rsid w:val="0074276B"/>
    <w:rsid w:val="00742973"/>
    <w:rsid w:val="00742D47"/>
    <w:rsid w:val="0074373E"/>
    <w:rsid w:val="00743962"/>
    <w:rsid w:val="00743AAF"/>
    <w:rsid w:val="00743CB8"/>
    <w:rsid w:val="007441AF"/>
    <w:rsid w:val="0074432E"/>
    <w:rsid w:val="00744FC9"/>
    <w:rsid w:val="007453B5"/>
    <w:rsid w:val="00745E09"/>
    <w:rsid w:val="00745EB7"/>
    <w:rsid w:val="007473A4"/>
    <w:rsid w:val="007478C8"/>
    <w:rsid w:val="00747955"/>
    <w:rsid w:val="00747C21"/>
    <w:rsid w:val="00750D96"/>
    <w:rsid w:val="00750DAF"/>
    <w:rsid w:val="007517D7"/>
    <w:rsid w:val="00752BD1"/>
    <w:rsid w:val="0075300F"/>
    <w:rsid w:val="007532D8"/>
    <w:rsid w:val="007533E5"/>
    <w:rsid w:val="00754A85"/>
    <w:rsid w:val="00755842"/>
    <w:rsid w:val="00755938"/>
    <w:rsid w:val="00756003"/>
    <w:rsid w:val="0075747F"/>
    <w:rsid w:val="007575CE"/>
    <w:rsid w:val="0075792F"/>
    <w:rsid w:val="00757BB8"/>
    <w:rsid w:val="00760904"/>
    <w:rsid w:val="00760FD1"/>
    <w:rsid w:val="00761A4F"/>
    <w:rsid w:val="00761ED9"/>
    <w:rsid w:val="007620CA"/>
    <w:rsid w:val="00762C6D"/>
    <w:rsid w:val="00762EFB"/>
    <w:rsid w:val="00763EE0"/>
    <w:rsid w:val="0076405D"/>
    <w:rsid w:val="00764A90"/>
    <w:rsid w:val="00765226"/>
    <w:rsid w:val="00765256"/>
    <w:rsid w:val="0076578D"/>
    <w:rsid w:val="007659E5"/>
    <w:rsid w:val="007664DC"/>
    <w:rsid w:val="0076656B"/>
    <w:rsid w:val="0076695D"/>
    <w:rsid w:val="0076768C"/>
    <w:rsid w:val="00767DD1"/>
    <w:rsid w:val="00767EE6"/>
    <w:rsid w:val="00770317"/>
    <w:rsid w:val="00770B1C"/>
    <w:rsid w:val="007721C7"/>
    <w:rsid w:val="00773137"/>
    <w:rsid w:val="00773D73"/>
    <w:rsid w:val="007746C1"/>
    <w:rsid w:val="007753EA"/>
    <w:rsid w:val="007754D3"/>
    <w:rsid w:val="007757CA"/>
    <w:rsid w:val="00775BC2"/>
    <w:rsid w:val="00777DBD"/>
    <w:rsid w:val="00780F35"/>
    <w:rsid w:val="0078118A"/>
    <w:rsid w:val="007814B8"/>
    <w:rsid w:val="007818C4"/>
    <w:rsid w:val="007826D5"/>
    <w:rsid w:val="00784556"/>
    <w:rsid w:val="00784E25"/>
    <w:rsid w:val="00786237"/>
    <w:rsid w:val="00787970"/>
    <w:rsid w:val="00787BD9"/>
    <w:rsid w:val="007903DB"/>
    <w:rsid w:val="00790DEB"/>
    <w:rsid w:val="0079389F"/>
    <w:rsid w:val="00794A1A"/>
    <w:rsid w:val="00796BDE"/>
    <w:rsid w:val="007A0030"/>
    <w:rsid w:val="007A0535"/>
    <w:rsid w:val="007A0B26"/>
    <w:rsid w:val="007A0EFD"/>
    <w:rsid w:val="007A1791"/>
    <w:rsid w:val="007A210B"/>
    <w:rsid w:val="007A367D"/>
    <w:rsid w:val="007A36E5"/>
    <w:rsid w:val="007A395A"/>
    <w:rsid w:val="007A49ED"/>
    <w:rsid w:val="007A4DE9"/>
    <w:rsid w:val="007A5239"/>
    <w:rsid w:val="007A5593"/>
    <w:rsid w:val="007A595E"/>
    <w:rsid w:val="007A60CC"/>
    <w:rsid w:val="007A6691"/>
    <w:rsid w:val="007A6A4D"/>
    <w:rsid w:val="007A6AAC"/>
    <w:rsid w:val="007A6B01"/>
    <w:rsid w:val="007A70A7"/>
    <w:rsid w:val="007B036C"/>
    <w:rsid w:val="007B1E0A"/>
    <w:rsid w:val="007B2475"/>
    <w:rsid w:val="007B3724"/>
    <w:rsid w:val="007B400D"/>
    <w:rsid w:val="007B4AFA"/>
    <w:rsid w:val="007B62C0"/>
    <w:rsid w:val="007B684E"/>
    <w:rsid w:val="007C0121"/>
    <w:rsid w:val="007C04C4"/>
    <w:rsid w:val="007C056B"/>
    <w:rsid w:val="007C1F00"/>
    <w:rsid w:val="007C20ED"/>
    <w:rsid w:val="007C2558"/>
    <w:rsid w:val="007C2E06"/>
    <w:rsid w:val="007C2E59"/>
    <w:rsid w:val="007C2F65"/>
    <w:rsid w:val="007C447C"/>
    <w:rsid w:val="007C5113"/>
    <w:rsid w:val="007C68F6"/>
    <w:rsid w:val="007C6912"/>
    <w:rsid w:val="007C6A57"/>
    <w:rsid w:val="007C6D3D"/>
    <w:rsid w:val="007D04A5"/>
    <w:rsid w:val="007D05EB"/>
    <w:rsid w:val="007D06D2"/>
    <w:rsid w:val="007D1516"/>
    <w:rsid w:val="007D27FF"/>
    <w:rsid w:val="007D3268"/>
    <w:rsid w:val="007D3E57"/>
    <w:rsid w:val="007D43F0"/>
    <w:rsid w:val="007D49AD"/>
    <w:rsid w:val="007D4F92"/>
    <w:rsid w:val="007D548D"/>
    <w:rsid w:val="007D59D1"/>
    <w:rsid w:val="007D5F33"/>
    <w:rsid w:val="007D7408"/>
    <w:rsid w:val="007E0289"/>
    <w:rsid w:val="007E038C"/>
    <w:rsid w:val="007E16A1"/>
    <w:rsid w:val="007E1811"/>
    <w:rsid w:val="007E1D29"/>
    <w:rsid w:val="007E287A"/>
    <w:rsid w:val="007E2E08"/>
    <w:rsid w:val="007E3523"/>
    <w:rsid w:val="007E4509"/>
    <w:rsid w:val="007E45B2"/>
    <w:rsid w:val="007E6BCA"/>
    <w:rsid w:val="007E706E"/>
    <w:rsid w:val="007E71BA"/>
    <w:rsid w:val="007E7420"/>
    <w:rsid w:val="007E7BF6"/>
    <w:rsid w:val="007F028A"/>
    <w:rsid w:val="007F0599"/>
    <w:rsid w:val="007F0A6F"/>
    <w:rsid w:val="007F1616"/>
    <w:rsid w:val="007F1C61"/>
    <w:rsid w:val="007F1D84"/>
    <w:rsid w:val="007F223F"/>
    <w:rsid w:val="007F3582"/>
    <w:rsid w:val="007F38CF"/>
    <w:rsid w:val="007F5654"/>
    <w:rsid w:val="007F5881"/>
    <w:rsid w:val="007F6BBB"/>
    <w:rsid w:val="007F6DEB"/>
    <w:rsid w:val="007F7303"/>
    <w:rsid w:val="007F77A9"/>
    <w:rsid w:val="00800233"/>
    <w:rsid w:val="00800331"/>
    <w:rsid w:val="008026FC"/>
    <w:rsid w:val="00802A23"/>
    <w:rsid w:val="00802B58"/>
    <w:rsid w:val="00802BB2"/>
    <w:rsid w:val="008031F6"/>
    <w:rsid w:val="0080330B"/>
    <w:rsid w:val="00803670"/>
    <w:rsid w:val="00804771"/>
    <w:rsid w:val="00805F31"/>
    <w:rsid w:val="0080624D"/>
    <w:rsid w:val="0080650E"/>
    <w:rsid w:val="00807C83"/>
    <w:rsid w:val="008104CF"/>
    <w:rsid w:val="00810BA5"/>
    <w:rsid w:val="00810FD4"/>
    <w:rsid w:val="0081143D"/>
    <w:rsid w:val="00812026"/>
    <w:rsid w:val="0081225A"/>
    <w:rsid w:val="0081236A"/>
    <w:rsid w:val="0081301D"/>
    <w:rsid w:val="00813222"/>
    <w:rsid w:val="0081345B"/>
    <w:rsid w:val="00813ECA"/>
    <w:rsid w:val="00814028"/>
    <w:rsid w:val="00814FEF"/>
    <w:rsid w:val="00815567"/>
    <w:rsid w:val="00815624"/>
    <w:rsid w:val="008156D7"/>
    <w:rsid w:val="0081590E"/>
    <w:rsid w:val="00815C5E"/>
    <w:rsid w:val="008166DE"/>
    <w:rsid w:val="00816DA5"/>
    <w:rsid w:val="008177C0"/>
    <w:rsid w:val="00817A1B"/>
    <w:rsid w:val="00820327"/>
    <w:rsid w:val="0082046E"/>
    <w:rsid w:val="00820916"/>
    <w:rsid w:val="00820AE4"/>
    <w:rsid w:val="0082100F"/>
    <w:rsid w:val="00821063"/>
    <w:rsid w:val="00821262"/>
    <w:rsid w:val="00821ABF"/>
    <w:rsid w:val="00822B18"/>
    <w:rsid w:val="00824D4B"/>
    <w:rsid w:val="0082525B"/>
    <w:rsid w:val="00825787"/>
    <w:rsid w:val="00825CF6"/>
    <w:rsid w:val="0082621B"/>
    <w:rsid w:val="00826765"/>
    <w:rsid w:val="008268EB"/>
    <w:rsid w:val="008276E8"/>
    <w:rsid w:val="00827BDD"/>
    <w:rsid w:val="00827CA4"/>
    <w:rsid w:val="00831548"/>
    <w:rsid w:val="00832C88"/>
    <w:rsid w:val="00833780"/>
    <w:rsid w:val="00833CD3"/>
    <w:rsid w:val="00834AEC"/>
    <w:rsid w:val="00835169"/>
    <w:rsid w:val="008369DA"/>
    <w:rsid w:val="00836AF0"/>
    <w:rsid w:val="00836F96"/>
    <w:rsid w:val="00837146"/>
    <w:rsid w:val="0083782C"/>
    <w:rsid w:val="00840CEB"/>
    <w:rsid w:val="00840D90"/>
    <w:rsid w:val="00841F8B"/>
    <w:rsid w:val="00842524"/>
    <w:rsid w:val="0084275D"/>
    <w:rsid w:val="00842795"/>
    <w:rsid w:val="00842A7F"/>
    <w:rsid w:val="00842CDA"/>
    <w:rsid w:val="00842F35"/>
    <w:rsid w:val="00843ADE"/>
    <w:rsid w:val="008457C4"/>
    <w:rsid w:val="0084638C"/>
    <w:rsid w:val="0084641C"/>
    <w:rsid w:val="008464D1"/>
    <w:rsid w:val="00846BD9"/>
    <w:rsid w:val="00846F78"/>
    <w:rsid w:val="0084774E"/>
    <w:rsid w:val="008507E7"/>
    <w:rsid w:val="0085132C"/>
    <w:rsid w:val="0085302C"/>
    <w:rsid w:val="00853D84"/>
    <w:rsid w:val="00853E27"/>
    <w:rsid w:val="008552C5"/>
    <w:rsid w:val="00855ABA"/>
    <w:rsid w:val="00855EB3"/>
    <w:rsid w:val="00856116"/>
    <w:rsid w:val="00856441"/>
    <w:rsid w:val="0085683E"/>
    <w:rsid w:val="008572D6"/>
    <w:rsid w:val="0085779A"/>
    <w:rsid w:val="00860505"/>
    <w:rsid w:val="00860A01"/>
    <w:rsid w:val="00860AC6"/>
    <w:rsid w:val="00860EA6"/>
    <w:rsid w:val="00861A2F"/>
    <w:rsid w:val="00861F21"/>
    <w:rsid w:val="00863081"/>
    <w:rsid w:val="00863356"/>
    <w:rsid w:val="00865288"/>
    <w:rsid w:val="008659EA"/>
    <w:rsid w:val="00865B60"/>
    <w:rsid w:val="00865E31"/>
    <w:rsid w:val="00865F8D"/>
    <w:rsid w:val="00866404"/>
    <w:rsid w:val="008666EE"/>
    <w:rsid w:val="00866930"/>
    <w:rsid w:val="00866C21"/>
    <w:rsid w:val="00867516"/>
    <w:rsid w:val="00870979"/>
    <w:rsid w:val="00871265"/>
    <w:rsid w:val="00871D14"/>
    <w:rsid w:val="00872106"/>
    <w:rsid w:val="00872AB0"/>
    <w:rsid w:val="008731EE"/>
    <w:rsid w:val="00873BD5"/>
    <w:rsid w:val="0087404B"/>
    <w:rsid w:val="00874CAC"/>
    <w:rsid w:val="00877642"/>
    <w:rsid w:val="00877F25"/>
    <w:rsid w:val="00880354"/>
    <w:rsid w:val="0088220F"/>
    <w:rsid w:val="00883A75"/>
    <w:rsid w:val="00883F23"/>
    <w:rsid w:val="00884588"/>
    <w:rsid w:val="0088556C"/>
    <w:rsid w:val="008859E8"/>
    <w:rsid w:val="00885A93"/>
    <w:rsid w:val="00885DE7"/>
    <w:rsid w:val="0088602F"/>
    <w:rsid w:val="008860AD"/>
    <w:rsid w:val="0088670D"/>
    <w:rsid w:val="00886774"/>
    <w:rsid w:val="00886AEB"/>
    <w:rsid w:val="00886FB3"/>
    <w:rsid w:val="0088727F"/>
    <w:rsid w:val="00887E5B"/>
    <w:rsid w:val="00890545"/>
    <w:rsid w:val="00890611"/>
    <w:rsid w:val="00890AAA"/>
    <w:rsid w:val="008914A4"/>
    <w:rsid w:val="00891689"/>
    <w:rsid w:val="008923B6"/>
    <w:rsid w:val="0089242D"/>
    <w:rsid w:val="00892DB4"/>
    <w:rsid w:val="008930A8"/>
    <w:rsid w:val="008930B9"/>
    <w:rsid w:val="0089329D"/>
    <w:rsid w:val="00893956"/>
    <w:rsid w:val="00893AEB"/>
    <w:rsid w:val="00893DB9"/>
    <w:rsid w:val="008958DE"/>
    <w:rsid w:val="00895DB0"/>
    <w:rsid w:val="00895DE0"/>
    <w:rsid w:val="00896273"/>
    <w:rsid w:val="0089637C"/>
    <w:rsid w:val="0089683A"/>
    <w:rsid w:val="008A133C"/>
    <w:rsid w:val="008A1EE2"/>
    <w:rsid w:val="008A3DB4"/>
    <w:rsid w:val="008A446E"/>
    <w:rsid w:val="008A46C5"/>
    <w:rsid w:val="008A5F59"/>
    <w:rsid w:val="008A6D02"/>
    <w:rsid w:val="008A726A"/>
    <w:rsid w:val="008A739C"/>
    <w:rsid w:val="008A74A9"/>
    <w:rsid w:val="008A779C"/>
    <w:rsid w:val="008A7D23"/>
    <w:rsid w:val="008B0929"/>
    <w:rsid w:val="008B1528"/>
    <w:rsid w:val="008B1B7E"/>
    <w:rsid w:val="008B1E1A"/>
    <w:rsid w:val="008B33D0"/>
    <w:rsid w:val="008B3AE2"/>
    <w:rsid w:val="008B445D"/>
    <w:rsid w:val="008B47D6"/>
    <w:rsid w:val="008B4980"/>
    <w:rsid w:val="008B4D70"/>
    <w:rsid w:val="008B4DAB"/>
    <w:rsid w:val="008B5B23"/>
    <w:rsid w:val="008B5F45"/>
    <w:rsid w:val="008B64C9"/>
    <w:rsid w:val="008B7C67"/>
    <w:rsid w:val="008B7C9B"/>
    <w:rsid w:val="008C05DD"/>
    <w:rsid w:val="008C296C"/>
    <w:rsid w:val="008C3039"/>
    <w:rsid w:val="008C3444"/>
    <w:rsid w:val="008C3960"/>
    <w:rsid w:val="008C3E92"/>
    <w:rsid w:val="008C4446"/>
    <w:rsid w:val="008C4AF6"/>
    <w:rsid w:val="008C4E7D"/>
    <w:rsid w:val="008C5475"/>
    <w:rsid w:val="008C54D9"/>
    <w:rsid w:val="008C6749"/>
    <w:rsid w:val="008C6892"/>
    <w:rsid w:val="008C6E2E"/>
    <w:rsid w:val="008C74BF"/>
    <w:rsid w:val="008C757A"/>
    <w:rsid w:val="008C7AE3"/>
    <w:rsid w:val="008C7EC2"/>
    <w:rsid w:val="008D051D"/>
    <w:rsid w:val="008D071D"/>
    <w:rsid w:val="008D0E98"/>
    <w:rsid w:val="008D0F33"/>
    <w:rsid w:val="008D0F92"/>
    <w:rsid w:val="008D1DDF"/>
    <w:rsid w:val="008D293F"/>
    <w:rsid w:val="008D3474"/>
    <w:rsid w:val="008D35A9"/>
    <w:rsid w:val="008D3E1A"/>
    <w:rsid w:val="008D3F87"/>
    <w:rsid w:val="008D438C"/>
    <w:rsid w:val="008D67E9"/>
    <w:rsid w:val="008D680E"/>
    <w:rsid w:val="008D68D5"/>
    <w:rsid w:val="008D7783"/>
    <w:rsid w:val="008D7BC1"/>
    <w:rsid w:val="008E0D26"/>
    <w:rsid w:val="008E0F54"/>
    <w:rsid w:val="008E150B"/>
    <w:rsid w:val="008E1773"/>
    <w:rsid w:val="008E2177"/>
    <w:rsid w:val="008E31C8"/>
    <w:rsid w:val="008E5546"/>
    <w:rsid w:val="008E55F3"/>
    <w:rsid w:val="008E5ED5"/>
    <w:rsid w:val="008E6A8F"/>
    <w:rsid w:val="008E7491"/>
    <w:rsid w:val="008F0E1E"/>
    <w:rsid w:val="008F0E7B"/>
    <w:rsid w:val="008F187C"/>
    <w:rsid w:val="008F193B"/>
    <w:rsid w:val="008F1A21"/>
    <w:rsid w:val="008F281A"/>
    <w:rsid w:val="008F2CEB"/>
    <w:rsid w:val="008F3655"/>
    <w:rsid w:val="008F437A"/>
    <w:rsid w:val="008F4515"/>
    <w:rsid w:val="008F4B82"/>
    <w:rsid w:val="008F5FD7"/>
    <w:rsid w:val="008F65C7"/>
    <w:rsid w:val="008F6AD6"/>
    <w:rsid w:val="0090287B"/>
    <w:rsid w:val="00902BDF"/>
    <w:rsid w:val="009039B5"/>
    <w:rsid w:val="0090617F"/>
    <w:rsid w:val="00906993"/>
    <w:rsid w:val="00906A25"/>
    <w:rsid w:val="00906A64"/>
    <w:rsid w:val="009072B5"/>
    <w:rsid w:val="00910013"/>
    <w:rsid w:val="00910780"/>
    <w:rsid w:val="00910929"/>
    <w:rsid w:val="00910A8D"/>
    <w:rsid w:val="009112BD"/>
    <w:rsid w:val="00911AEE"/>
    <w:rsid w:val="009128BF"/>
    <w:rsid w:val="00912A75"/>
    <w:rsid w:val="0091347A"/>
    <w:rsid w:val="00913ED3"/>
    <w:rsid w:val="009145AD"/>
    <w:rsid w:val="009150FC"/>
    <w:rsid w:val="00915AC9"/>
    <w:rsid w:val="00915CCF"/>
    <w:rsid w:val="009163A8"/>
    <w:rsid w:val="009164AB"/>
    <w:rsid w:val="00916664"/>
    <w:rsid w:val="00920503"/>
    <w:rsid w:val="009208B2"/>
    <w:rsid w:val="009209CA"/>
    <w:rsid w:val="00920BAB"/>
    <w:rsid w:val="00921243"/>
    <w:rsid w:val="009216B1"/>
    <w:rsid w:val="009218F5"/>
    <w:rsid w:val="00921901"/>
    <w:rsid w:val="00921952"/>
    <w:rsid w:val="009222D2"/>
    <w:rsid w:val="00922E5F"/>
    <w:rsid w:val="0092309B"/>
    <w:rsid w:val="009232A4"/>
    <w:rsid w:val="009252D2"/>
    <w:rsid w:val="009256DE"/>
    <w:rsid w:val="009267DF"/>
    <w:rsid w:val="00930615"/>
    <w:rsid w:val="00932643"/>
    <w:rsid w:val="00933DC6"/>
    <w:rsid w:val="0093497E"/>
    <w:rsid w:val="00934CDE"/>
    <w:rsid w:val="00934CE7"/>
    <w:rsid w:val="009354AD"/>
    <w:rsid w:val="00935B75"/>
    <w:rsid w:val="00936A67"/>
    <w:rsid w:val="00936F83"/>
    <w:rsid w:val="00937235"/>
    <w:rsid w:val="0093780F"/>
    <w:rsid w:val="009414DB"/>
    <w:rsid w:val="0094198E"/>
    <w:rsid w:val="0094295B"/>
    <w:rsid w:val="0094370C"/>
    <w:rsid w:val="0094511A"/>
    <w:rsid w:val="0094568E"/>
    <w:rsid w:val="00945756"/>
    <w:rsid w:val="00946FE1"/>
    <w:rsid w:val="009471A2"/>
    <w:rsid w:val="009471A4"/>
    <w:rsid w:val="0094732C"/>
    <w:rsid w:val="00947467"/>
    <w:rsid w:val="00947C06"/>
    <w:rsid w:val="00951882"/>
    <w:rsid w:val="00951E79"/>
    <w:rsid w:val="00953F81"/>
    <w:rsid w:val="00954404"/>
    <w:rsid w:val="0095456C"/>
    <w:rsid w:val="009549F7"/>
    <w:rsid w:val="00955295"/>
    <w:rsid w:val="00955859"/>
    <w:rsid w:val="0095666E"/>
    <w:rsid w:val="00956ECD"/>
    <w:rsid w:val="009575CA"/>
    <w:rsid w:val="0096044D"/>
    <w:rsid w:val="00960BBB"/>
    <w:rsid w:val="00961518"/>
    <w:rsid w:val="0096193D"/>
    <w:rsid w:val="009629BC"/>
    <w:rsid w:val="00964DE8"/>
    <w:rsid w:val="009662E5"/>
    <w:rsid w:val="0096639B"/>
    <w:rsid w:val="009668B1"/>
    <w:rsid w:val="009671DF"/>
    <w:rsid w:val="009672A1"/>
    <w:rsid w:val="00967879"/>
    <w:rsid w:val="00967C0B"/>
    <w:rsid w:val="00970527"/>
    <w:rsid w:val="0097256B"/>
    <w:rsid w:val="009739EA"/>
    <w:rsid w:val="00973FDF"/>
    <w:rsid w:val="009743BA"/>
    <w:rsid w:val="009745E5"/>
    <w:rsid w:val="009747A4"/>
    <w:rsid w:val="00976CAE"/>
    <w:rsid w:val="00977339"/>
    <w:rsid w:val="00977411"/>
    <w:rsid w:val="009775F0"/>
    <w:rsid w:val="00977C50"/>
    <w:rsid w:val="0098044F"/>
    <w:rsid w:val="009804F5"/>
    <w:rsid w:val="0098067F"/>
    <w:rsid w:val="00981691"/>
    <w:rsid w:val="00983BA4"/>
    <w:rsid w:val="00984325"/>
    <w:rsid w:val="009856B2"/>
    <w:rsid w:val="00987021"/>
    <w:rsid w:val="0098751D"/>
    <w:rsid w:val="009906D2"/>
    <w:rsid w:val="00991C69"/>
    <w:rsid w:val="0099263F"/>
    <w:rsid w:val="00992A47"/>
    <w:rsid w:val="00993463"/>
    <w:rsid w:val="00993DD1"/>
    <w:rsid w:val="009947F3"/>
    <w:rsid w:val="00994B6F"/>
    <w:rsid w:val="00994DFB"/>
    <w:rsid w:val="00994E85"/>
    <w:rsid w:val="009964D0"/>
    <w:rsid w:val="00996B42"/>
    <w:rsid w:val="00996C85"/>
    <w:rsid w:val="00997328"/>
    <w:rsid w:val="00997488"/>
    <w:rsid w:val="00997CEF"/>
    <w:rsid w:val="009A0435"/>
    <w:rsid w:val="009A043D"/>
    <w:rsid w:val="009A0691"/>
    <w:rsid w:val="009A0EBD"/>
    <w:rsid w:val="009A0F89"/>
    <w:rsid w:val="009A1218"/>
    <w:rsid w:val="009A1419"/>
    <w:rsid w:val="009A228B"/>
    <w:rsid w:val="009A2738"/>
    <w:rsid w:val="009A320B"/>
    <w:rsid w:val="009A3D88"/>
    <w:rsid w:val="009A4558"/>
    <w:rsid w:val="009A4AD5"/>
    <w:rsid w:val="009A5249"/>
    <w:rsid w:val="009A5299"/>
    <w:rsid w:val="009A58EB"/>
    <w:rsid w:val="009A610A"/>
    <w:rsid w:val="009A6843"/>
    <w:rsid w:val="009A704A"/>
    <w:rsid w:val="009A719B"/>
    <w:rsid w:val="009A72B3"/>
    <w:rsid w:val="009B0037"/>
    <w:rsid w:val="009B0334"/>
    <w:rsid w:val="009B0903"/>
    <w:rsid w:val="009B159F"/>
    <w:rsid w:val="009B1634"/>
    <w:rsid w:val="009B1F1F"/>
    <w:rsid w:val="009B1FF7"/>
    <w:rsid w:val="009B25EA"/>
    <w:rsid w:val="009B2614"/>
    <w:rsid w:val="009B2B95"/>
    <w:rsid w:val="009B3D7B"/>
    <w:rsid w:val="009B44F1"/>
    <w:rsid w:val="009B4FB7"/>
    <w:rsid w:val="009B524A"/>
    <w:rsid w:val="009B55EE"/>
    <w:rsid w:val="009B585B"/>
    <w:rsid w:val="009B6A0C"/>
    <w:rsid w:val="009B752C"/>
    <w:rsid w:val="009C0CAA"/>
    <w:rsid w:val="009C23FA"/>
    <w:rsid w:val="009C2A1F"/>
    <w:rsid w:val="009C2C8C"/>
    <w:rsid w:val="009C30B2"/>
    <w:rsid w:val="009C334C"/>
    <w:rsid w:val="009C3530"/>
    <w:rsid w:val="009C3FBC"/>
    <w:rsid w:val="009C43B1"/>
    <w:rsid w:val="009C44E0"/>
    <w:rsid w:val="009C4E2F"/>
    <w:rsid w:val="009C50A0"/>
    <w:rsid w:val="009C54A7"/>
    <w:rsid w:val="009C5CB1"/>
    <w:rsid w:val="009C666E"/>
    <w:rsid w:val="009C6D84"/>
    <w:rsid w:val="009D01E0"/>
    <w:rsid w:val="009D038B"/>
    <w:rsid w:val="009D0402"/>
    <w:rsid w:val="009D059A"/>
    <w:rsid w:val="009D05DF"/>
    <w:rsid w:val="009D0A55"/>
    <w:rsid w:val="009D0EA2"/>
    <w:rsid w:val="009D1950"/>
    <w:rsid w:val="009D1A41"/>
    <w:rsid w:val="009D1F07"/>
    <w:rsid w:val="009D26F4"/>
    <w:rsid w:val="009D390D"/>
    <w:rsid w:val="009D3D63"/>
    <w:rsid w:val="009D3E7B"/>
    <w:rsid w:val="009D427B"/>
    <w:rsid w:val="009D4343"/>
    <w:rsid w:val="009D4383"/>
    <w:rsid w:val="009D4494"/>
    <w:rsid w:val="009D46D1"/>
    <w:rsid w:val="009D4D1D"/>
    <w:rsid w:val="009D55CF"/>
    <w:rsid w:val="009D5937"/>
    <w:rsid w:val="009D5C20"/>
    <w:rsid w:val="009D6CAC"/>
    <w:rsid w:val="009D7469"/>
    <w:rsid w:val="009D7B55"/>
    <w:rsid w:val="009E1F4D"/>
    <w:rsid w:val="009E2F88"/>
    <w:rsid w:val="009E36FE"/>
    <w:rsid w:val="009E37FF"/>
    <w:rsid w:val="009E3916"/>
    <w:rsid w:val="009E404C"/>
    <w:rsid w:val="009E63A0"/>
    <w:rsid w:val="009E63A9"/>
    <w:rsid w:val="009E6F8C"/>
    <w:rsid w:val="009E7016"/>
    <w:rsid w:val="009E793D"/>
    <w:rsid w:val="009F0EC0"/>
    <w:rsid w:val="009F1DB9"/>
    <w:rsid w:val="009F2560"/>
    <w:rsid w:val="009F43F5"/>
    <w:rsid w:val="009F4C8A"/>
    <w:rsid w:val="009F4F6F"/>
    <w:rsid w:val="009F5280"/>
    <w:rsid w:val="009F5DFE"/>
    <w:rsid w:val="009F6631"/>
    <w:rsid w:val="009F6A88"/>
    <w:rsid w:val="009F6BA7"/>
    <w:rsid w:val="009F6E47"/>
    <w:rsid w:val="009F6E61"/>
    <w:rsid w:val="009F7F9C"/>
    <w:rsid w:val="00A004E6"/>
    <w:rsid w:val="00A01EE6"/>
    <w:rsid w:val="00A029C6"/>
    <w:rsid w:val="00A03E38"/>
    <w:rsid w:val="00A04413"/>
    <w:rsid w:val="00A0481D"/>
    <w:rsid w:val="00A07BE4"/>
    <w:rsid w:val="00A10451"/>
    <w:rsid w:val="00A112EC"/>
    <w:rsid w:val="00A1162D"/>
    <w:rsid w:val="00A123A3"/>
    <w:rsid w:val="00A125AF"/>
    <w:rsid w:val="00A1386E"/>
    <w:rsid w:val="00A13E89"/>
    <w:rsid w:val="00A14B82"/>
    <w:rsid w:val="00A150D6"/>
    <w:rsid w:val="00A153D2"/>
    <w:rsid w:val="00A16D8C"/>
    <w:rsid w:val="00A17A9C"/>
    <w:rsid w:val="00A17C1A"/>
    <w:rsid w:val="00A17E01"/>
    <w:rsid w:val="00A20316"/>
    <w:rsid w:val="00A20E8F"/>
    <w:rsid w:val="00A21123"/>
    <w:rsid w:val="00A2177F"/>
    <w:rsid w:val="00A21869"/>
    <w:rsid w:val="00A22010"/>
    <w:rsid w:val="00A235F7"/>
    <w:rsid w:val="00A24362"/>
    <w:rsid w:val="00A24433"/>
    <w:rsid w:val="00A24DEA"/>
    <w:rsid w:val="00A25019"/>
    <w:rsid w:val="00A256E6"/>
    <w:rsid w:val="00A25A7E"/>
    <w:rsid w:val="00A26D9B"/>
    <w:rsid w:val="00A27C52"/>
    <w:rsid w:val="00A30149"/>
    <w:rsid w:val="00A30CD3"/>
    <w:rsid w:val="00A31693"/>
    <w:rsid w:val="00A3169E"/>
    <w:rsid w:val="00A339C5"/>
    <w:rsid w:val="00A33C82"/>
    <w:rsid w:val="00A34838"/>
    <w:rsid w:val="00A34B15"/>
    <w:rsid w:val="00A3504F"/>
    <w:rsid w:val="00A35322"/>
    <w:rsid w:val="00A3699E"/>
    <w:rsid w:val="00A371E5"/>
    <w:rsid w:val="00A40C23"/>
    <w:rsid w:val="00A40CED"/>
    <w:rsid w:val="00A42808"/>
    <w:rsid w:val="00A42EA2"/>
    <w:rsid w:val="00A43368"/>
    <w:rsid w:val="00A4352F"/>
    <w:rsid w:val="00A4372F"/>
    <w:rsid w:val="00A43D01"/>
    <w:rsid w:val="00A455C4"/>
    <w:rsid w:val="00A46D2C"/>
    <w:rsid w:val="00A470C8"/>
    <w:rsid w:val="00A47836"/>
    <w:rsid w:val="00A504FC"/>
    <w:rsid w:val="00A50931"/>
    <w:rsid w:val="00A50C96"/>
    <w:rsid w:val="00A51508"/>
    <w:rsid w:val="00A52256"/>
    <w:rsid w:val="00A52676"/>
    <w:rsid w:val="00A53148"/>
    <w:rsid w:val="00A53843"/>
    <w:rsid w:val="00A53869"/>
    <w:rsid w:val="00A5403F"/>
    <w:rsid w:val="00A54103"/>
    <w:rsid w:val="00A54AB4"/>
    <w:rsid w:val="00A56050"/>
    <w:rsid w:val="00A566D0"/>
    <w:rsid w:val="00A56A5E"/>
    <w:rsid w:val="00A5703D"/>
    <w:rsid w:val="00A579D9"/>
    <w:rsid w:val="00A57CEF"/>
    <w:rsid w:val="00A57D7A"/>
    <w:rsid w:val="00A6058B"/>
    <w:rsid w:val="00A60FB2"/>
    <w:rsid w:val="00A61214"/>
    <w:rsid w:val="00A61569"/>
    <w:rsid w:val="00A628B3"/>
    <w:rsid w:val="00A62C21"/>
    <w:rsid w:val="00A632A8"/>
    <w:rsid w:val="00A63629"/>
    <w:rsid w:val="00A64723"/>
    <w:rsid w:val="00A64795"/>
    <w:rsid w:val="00A64814"/>
    <w:rsid w:val="00A64C6B"/>
    <w:rsid w:val="00A64D8E"/>
    <w:rsid w:val="00A64DD9"/>
    <w:rsid w:val="00A65B40"/>
    <w:rsid w:val="00A667FD"/>
    <w:rsid w:val="00A70910"/>
    <w:rsid w:val="00A709A6"/>
    <w:rsid w:val="00A7139C"/>
    <w:rsid w:val="00A71976"/>
    <w:rsid w:val="00A719A5"/>
    <w:rsid w:val="00A71DBD"/>
    <w:rsid w:val="00A71E24"/>
    <w:rsid w:val="00A71E2F"/>
    <w:rsid w:val="00A72457"/>
    <w:rsid w:val="00A72BD0"/>
    <w:rsid w:val="00A73361"/>
    <w:rsid w:val="00A742D8"/>
    <w:rsid w:val="00A7449A"/>
    <w:rsid w:val="00A74BF3"/>
    <w:rsid w:val="00A75527"/>
    <w:rsid w:val="00A75B27"/>
    <w:rsid w:val="00A75DCD"/>
    <w:rsid w:val="00A76846"/>
    <w:rsid w:val="00A8110A"/>
    <w:rsid w:val="00A824A5"/>
    <w:rsid w:val="00A82E2F"/>
    <w:rsid w:val="00A83CDF"/>
    <w:rsid w:val="00A84026"/>
    <w:rsid w:val="00A8440B"/>
    <w:rsid w:val="00A85167"/>
    <w:rsid w:val="00A85537"/>
    <w:rsid w:val="00A8587B"/>
    <w:rsid w:val="00A85AAA"/>
    <w:rsid w:val="00A85F83"/>
    <w:rsid w:val="00A873B8"/>
    <w:rsid w:val="00A9068D"/>
    <w:rsid w:val="00A91557"/>
    <w:rsid w:val="00A91939"/>
    <w:rsid w:val="00A925FD"/>
    <w:rsid w:val="00A926AC"/>
    <w:rsid w:val="00A92709"/>
    <w:rsid w:val="00A937C0"/>
    <w:rsid w:val="00A941E6"/>
    <w:rsid w:val="00A942A6"/>
    <w:rsid w:val="00A95586"/>
    <w:rsid w:val="00A9585C"/>
    <w:rsid w:val="00A95E02"/>
    <w:rsid w:val="00A95EE2"/>
    <w:rsid w:val="00A963E6"/>
    <w:rsid w:val="00A96DEE"/>
    <w:rsid w:val="00A97125"/>
    <w:rsid w:val="00A97507"/>
    <w:rsid w:val="00AA02FD"/>
    <w:rsid w:val="00AA12E8"/>
    <w:rsid w:val="00AA13FC"/>
    <w:rsid w:val="00AA1FEA"/>
    <w:rsid w:val="00AA3001"/>
    <w:rsid w:val="00AA441B"/>
    <w:rsid w:val="00AA45E5"/>
    <w:rsid w:val="00AA4857"/>
    <w:rsid w:val="00AA55AF"/>
    <w:rsid w:val="00AA615E"/>
    <w:rsid w:val="00AA6D6C"/>
    <w:rsid w:val="00AB0C15"/>
    <w:rsid w:val="00AB16A4"/>
    <w:rsid w:val="00AB2056"/>
    <w:rsid w:val="00AB26AA"/>
    <w:rsid w:val="00AB2A71"/>
    <w:rsid w:val="00AB2FC0"/>
    <w:rsid w:val="00AB3B5C"/>
    <w:rsid w:val="00AB5908"/>
    <w:rsid w:val="00AB5E50"/>
    <w:rsid w:val="00AB5EA6"/>
    <w:rsid w:val="00AB60E5"/>
    <w:rsid w:val="00AB69FD"/>
    <w:rsid w:val="00AB6D9E"/>
    <w:rsid w:val="00AB701A"/>
    <w:rsid w:val="00AC01BC"/>
    <w:rsid w:val="00AC0868"/>
    <w:rsid w:val="00AC0B69"/>
    <w:rsid w:val="00AC0E78"/>
    <w:rsid w:val="00AC11EA"/>
    <w:rsid w:val="00AC1312"/>
    <w:rsid w:val="00AC1E62"/>
    <w:rsid w:val="00AC223D"/>
    <w:rsid w:val="00AC2C31"/>
    <w:rsid w:val="00AC4004"/>
    <w:rsid w:val="00AC4764"/>
    <w:rsid w:val="00AC51F7"/>
    <w:rsid w:val="00AC5BAE"/>
    <w:rsid w:val="00AC6FF6"/>
    <w:rsid w:val="00AD07B9"/>
    <w:rsid w:val="00AD0D16"/>
    <w:rsid w:val="00AD0F48"/>
    <w:rsid w:val="00AD2086"/>
    <w:rsid w:val="00AD2A1E"/>
    <w:rsid w:val="00AD2BC1"/>
    <w:rsid w:val="00AD2F02"/>
    <w:rsid w:val="00AD3A86"/>
    <w:rsid w:val="00AD47C2"/>
    <w:rsid w:val="00AD47C7"/>
    <w:rsid w:val="00AD6143"/>
    <w:rsid w:val="00AD669B"/>
    <w:rsid w:val="00AD7E4C"/>
    <w:rsid w:val="00AE07F6"/>
    <w:rsid w:val="00AE2A39"/>
    <w:rsid w:val="00AE2E3A"/>
    <w:rsid w:val="00AE4D72"/>
    <w:rsid w:val="00AE5C39"/>
    <w:rsid w:val="00AE5E12"/>
    <w:rsid w:val="00AE6074"/>
    <w:rsid w:val="00AE65DF"/>
    <w:rsid w:val="00AE68F6"/>
    <w:rsid w:val="00AE7249"/>
    <w:rsid w:val="00AF017B"/>
    <w:rsid w:val="00AF10BB"/>
    <w:rsid w:val="00AF38ED"/>
    <w:rsid w:val="00AF3BFA"/>
    <w:rsid w:val="00AF4860"/>
    <w:rsid w:val="00AF664B"/>
    <w:rsid w:val="00AF67D9"/>
    <w:rsid w:val="00AF6B6D"/>
    <w:rsid w:val="00AF720B"/>
    <w:rsid w:val="00AF729F"/>
    <w:rsid w:val="00AF7567"/>
    <w:rsid w:val="00AF7B7E"/>
    <w:rsid w:val="00AF7D00"/>
    <w:rsid w:val="00B00661"/>
    <w:rsid w:val="00B00A5B"/>
    <w:rsid w:val="00B00F46"/>
    <w:rsid w:val="00B010F6"/>
    <w:rsid w:val="00B02800"/>
    <w:rsid w:val="00B0471F"/>
    <w:rsid w:val="00B05BE3"/>
    <w:rsid w:val="00B07B5C"/>
    <w:rsid w:val="00B07D0A"/>
    <w:rsid w:val="00B1050A"/>
    <w:rsid w:val="00B111EA"/>
    <w:rsid w:val="00B12179"/>
    <w:rsid w:val="00B1226F"/>
    <w:rsid w:val="00B12C0E"/>
    <w:rsid w:val="00B13921"/>
    <w:rsid w:val="00B1477D"/>
    <w:rsid w:val="00B147D3"/>
    <w:rsid w:val="00B150DF"/>
    <w:rsid w:val="00B15334"/>
    <w:rsid w:val="00B15543"/>
    <w:rsid w:val="00B16801"/>
    <w:rsid w:val="00B172F0"/>
    <w:rsid w:val="00B175AB"/>
    <w:rsid w:val="00B177EC"/>
    <w:rsid w:val="00B17F3D"/>
    <w:rsid w:val="00B20202"/>
    <w:rsid w:val="00B20698"/>
    <w:rsid w:val="00B226A7"/>
    <w:rsid w:val="00B2288D"/>
    <w:rsid w:val="00B24F6C"/>
    <w:rsid w:val="00B25633"/>
    <w:rsid w:val="00B2576A"/>
    <w:rsid w:val="00B266A1"/>
    <w:rsid w:val="00B2699A"/>
    <w:rsid w:val="00B269CD"/>
    <w:rsid w:val="00B27ED6"/>
    <w:rsid w:val="00B27FFA"/>
    <w:rsid w:val="00B3045A"/>
    <w:rsid w:val="00B31600"/>
    <w:rsid w:val="00B31628"/>
    <w:rsid w:val="00B3245A"/>
    <w:rsid w:val="00B326F6"/>
    <w:rsid w:val="00B334AE"/>
    <w:rsid w:val="00B3375B"/>
    <w:rsid w:val="00B33881"/>
    <w:rsid w:val="00B34080"/>
    <w:rsid w:val="00B341C4"/>
    <w:rsid w:val="00B35418"/>
    <w:rsid w:val="00B356CF"/>
    <w:rsid w:val="00B35929"/>
    <w:rsid w:val="00B35CCD"/>
    <w:rsid w:val="00B371BC"/>
    <w:rsid w:val="00B372B8"/>
    <w:rsid w:val="00B379F0"/>
    <w:rsid w:val="00B403ED"/>
    <w:rsid w:val="00B4088E"/>
    <w:rsid w:val="00B40CFE"/>
    <w:rsid w:val="00B40FA5"/>
    <w:rsid w:val="00B4104C"/>
    <w:rsid w:val="00B4147B"/>
    <w:rsid w:val="00B4175D"/>
    <w:rsid w:val="00B42AFC"/>
    <w:rsid w:val="00B4533F"/>
    <w:rsid w:val="00B45C36"/>
    <w:rsid w:val="00B46167"/>
    <w:rsid w:val="00B47F7F"/>
    <w:rsid w:val="00B47FCC"/>
    <w:rsid w:val="00B5199F"/>
    <w:rsid w:val="00B51DBB"/>
    <w:rsid w:val="00B525B1"/>
    <w:rsid w:val="00B528FA"/>
    <w:rsid w:val="00B52C3C"/>
    <w:rsid w:val="00B5340A"/>
    <w:rsid w:val="00B53BE2"/>
    <w:rsid w:val="00B5475D"/>
    <w:rsid w:val="00B54A46"/>
    <w:rsid w:val="00B550CC"/>
    <w:rsid w:val="00B56131"/>
    <w:rsid w:val="00B5675C"/>
    <w:rsid w:val="00B575F0"/>
    <w:rsid w:val="00B57A20"/>
    <w:rsid w:val="00B60673"/>
    <w:rsid w:val="00B608E0"/>
    <w:rsid w:val="00B60BCF"/>
    <w:rsid w:val="00B61050"/>
    <w:rsid w:val="00B6186A"/>
    <w:rsid w:val="00B61D7F"/>
    <w:rsid w:val="00B61EB4"/>
    <w:rsid w:val="00B61F99"/>
    <w:rsid w:val="00B62B67"/>
    <w:rsid w:val="00B62D11"/>
    <w:rsid w:val="00B6333C"/>
    <w:rsid w:val="00B635A7"/>
    <w:rsid w:val="00B6415F"/>
    <w:rsid w:val="00B64AC8"/>
    <w:rsid w:val="00B64FAC"/>
    <w:rsid w:val="00B6641B"/>
    <w:rsid w:val="00B66DCA"/>
    <w:rsid w:val="00B6773E"/>
    <w:rsid w:val="00B70260"/>
    <w:rsid w:val="00B71815"/>
    <w:rsid w:val="00B71E4B"/>
    <w:rsid w:val="00B72DF2"/>
    <w:rsid w:val="00B7359C"/>
    <w:rsid w:val="00B74447"/>
    <w:rsid w:val="00B750B6"/>
    <w:rsid w:val="00B7514F"/>
    <w:rsid w:val="00B7545C"/>
    <w:rsid w:val="00B754DF"/>
    <w:rsid w:val="00B76E60"/>
    <w:rsid w:val="00B77BBC"/>
    <w:rsid w:val="00B801C7"/>
    <w:rsid w:val="00B80578"/>
    <w:rsid w:val="00B80597"/>
    <w:rsid w:val="00B81F03"/>
    <w:rsid w:val="00B827F5"/>
    <w:rsid w:val="00B82B70"/>
    <w:rsid w:val="00B83938"/>
    <w:rsid w:val="00B84C06"/>
    <w:rsid w:val="00B87DCB"/>
    <w:rsid w:val="00B90CEB"/>
    <w:rsid w:val="00B9105B"/>
    <w:rsid w:val="00B913F9"/>
    <w:rsid w:val="00B91D03"/>
    <w:rsid w:val="00B91E3B"/>
    <w:rsid w:val="00B9239A"/>
    <w:rsid w:val="00B92566"/>
    <w:rsid w:val="00B93EFF"/>
    <w:rsid w:val="00B9427D"/>
    <w:rsid w:val="00B94836"/>
    <w:rsid w:val="00B94E3B"/>
    <w:rsid w:val="00B94EDA"/>
    <w:rsid w:val="00B950FB"/>
    <w:rsid w:val="00B9579B"/>
    <w:rsid w:val="00B95EFE"/>
    <w:rsid w:val="00B9627C"/>
    <w:rsid w:val="00B965DA"/>
    <w:rsid w:val="00B96D92"/>
    <w:rsid w:val="00B9727F"/>
    <w:rsid w:val="00B9736D"/>
    <w:rsid w:val="00B97BE2"/>
    <w:rsid w:val="00BA02A9"/>
    <w:rsid w:val="00BA111F"/>
    <w:rsid w:val="00BA19B9"/>
    <w:rsid w:val="00BA1AAF"/>
    <w:rsid w:val="00BA24AD"/>
    <w:rsid w:val="00BA281D"/>
    <w:rsid w:val="00BA34B1"/>
    <w:rsid w:val="00BA34B2"/>
    <w:rsid w:val="00BA41F5"/>
    <w:rsid w:val="00BA44E7"/>
    <w:rsid w:val="00BA49F7"/>
    <w:rsid w:val="00BA4A8C"/>
    <w:rsid w:val="00BA6601"/>
    <w:rsid w:val="00BA6EAD"/>
    <w:rsid w:val="00BA6F77"/>
    <w:rsid w:val="00BA741B"/>
    <w:rsid w:val="00BA79D2"/>
    <w:rsid w:val="00BB29F8"/>
    <w:rsid w:val="00BB2A17"/>
    <w:rsid w:val="00BB2E5D"/>
    <w:rsid w:val="00BB3106"/>
    <w:rsid w:val="00BB366E"/>
    <w:rsid w:val="00BB3774"/>
    <w:rsid w:val="00BB448F"/>
    <w:rsid w:val="00BB5A1F"/>
    <w:rsid w:val="00BB5EA2"/>
    <w:rsid w:val="00BB62D5"/>
    <w:rsid w:val="00BB749D"/>
    <w:rsid w:val="00BC06E7"/>
    <w:rsid w:val="00BC070E"/>
    <w:rsid w:val="00BC087E"/>
    <w:rsid w:val="00BC114E"/>
    <w:rsid w:val="00BC17BB"/>
    <w:rsid w:val="00BC1C2B"/>
    <w:rsid w:val="00BC1F7F"/>
    <w:rsid w:val="00BC4565"/>
    <w:rsid w:val="00BC702C"/>
    <w:rsid w:val="00BC779E"/>
    <w:rsid w:val="00BD0844"/>
    <w:rsid w:val="00BD084D"/>
    <w:rsid w:val="00BD2186"/>
    <w:rsid w:val="00BD2293"/>
    <w:rsid w:val="00BD4190"/>
    <w:rsid w:val="00BD5863"/>
    <w:rsid w:val="00BD686F"/>
    <w:rsid w:val="00BD7632"/>
    <w:rsid w:val="00BD7C63"/>
    <w:rsid w:val="00BE021B"/>
    <w:rsid w:val="00BE02D2"/>
    <w:rsid w:val="00BE04BA"/>
    <w:rsid w:val="00BE07EF"/>
    <w:rsid w:val="00BE0B08"/>
    <w:rsid w:val="00BE1A4C"/>
    <w:rsid w:val="00BE2B27"/>
    <w:rsid w:val="00BE3304"/>
    <w:rsid w:val="00BE334F"/>
    <w:rsid w:val="00BE34D4"/>
    <w:rsid w:val="00BE37D7"/>
    <w:rsid w:val="00BE494A"/>
    <w:rsid w:val="00BE4AA8"/>
    <w:rsid w:val="00BE686F"/>
    <w:rsid w:val="00BE6980"/>
    <w:rsid w:val="00BF1F0F"/>
    <w:rsid w:val="00BF27BE"/>
    <w:rsid w:val="00BF31BE"/>
    <w:rsid w:val="00BF474A"/>
    <w:rsid w:val="00BF4C67"/>
    <w:rsid w:val="00BF5052"/>
    <w:rsid w:val="00BF68B9"/>
    <w:rsid w:val="00BF78D9"/>
    <w:rsid w:val="00BF7BD4"/>
    <w:rsid w:val="00BF7DD1"/>
    <w:rsid w:val="00C0027A"/>
    <w:rsid w:val="00C00CC4"/>
    <w:rsid w:val="00C00DE0"/>
    <w:rsid w:val="00C016BF"/>
    <w:rsid w:val="00C0200E"/>
    <w:rsid w:val="00C026A7"/>
    <w:rsid w:val="00C02E38"/>
    <w:rsid w:val="00C048B0"/>
    <w:rsid w:val="00C05A4C"/>
    <w:rsid w:val="00C06272"/>
    <w:rsid w:val="00C06982"/>
    <w:rsid w:val="00C06B44"/>
    <w:rsid w:val="00C07644"/>
    <w:rsid w:val="00C10D33"/>
    <w:rsid w:val="00C1138D"/>
    <w:rsid w:val="00C11A94"/>
    <w:rsid w:val="00C13DBC"/>
    <w:rsid w:val="00C14113"/>
    <w:rsid w:val="00C14710"/>
    <w:rsid w:val="00C1477C"/>
    <w:rsid w:val="00C15946"/>
    <w:rsid w:val="00C15F71"/>
    <w:rsid w:val="00C16E1A"/>
    <w:rsid w:val="00C16EED"/>
    <w:rsid w:val="00C1741F"/>
    <w:rsid w:val="00C17840"/>
    <w:rsid w:val="00C20932"/>
    <w:rsid w:val="00C21187"/>
    <w:rsid w:val="00C218D8"/>
    <w:rsid w:val="00C2286C"/>
    <w:rsid w:val="00C23776"/>
    <w:rsid w:val="00C237D3"/>
    <w:rsid w:val="00C25BA5"/>
    <w:rsid w:val="00C25C76"/>
    <w:rsid w:val="00C25D9E"/>
    <w:rsid w:val="00C279F1"/>
    <w:rsid w:val="00C302A2"/>
    <w:rsid w:val="00C30456"/>
    <w:rsid w:val="00C313D0"/>
    <w:rsid w:val="00C31BE3"/>
    <w:rsid w:val="00C33915"/>
    <w:rsid w:val="00C33F4A"/>
    <w:rsid w:val="00C34CA0"/>
    <w:rsid w:val="00C3534D"/>
    <w:rsid w:val="00C3689B"/>
    <w:rsid w:val="00C37935"/>
    <w:rsid w:val="00C37FEA"/>
    <w:rsid w:val="00C40188"/>
    <w:rsid w:val="00C40329"/>
    <w:rsid w:val="00C407E7"/>
    <w:rsid w:val="00C40C89"/>
    <w:rsid w:val="00C41388"/>
    <w:rsid w:val="00C414E0"/>
    <w:rsid w:val="00C42239"/>
    <w:rsid w:val="00C435FD"/>
    <w:rsid w:val="00C437F6"/>
    <w:rsid w:val="00C43BFD"/>
    <w:rsid w:val="00C442A5"/>
    <w:rsid w:val="00C4466C"/>
    <w:rsid w:val="00C44836"/>
    <w:rsid w:val="00C45C96"/>
    <w:rsid w:val="00C46988"/>
    <w:rsid w:val="00C46F69"/>
    <w:rsid w:val="00C509FD"/>
    <w:rsid w:val="00C5227E"/>
    <w:rsid w:val="00C525F0"/>
    <w:rsid w:val="00C53BF2"/>
    <w:rsid w:val="00C5473D"/>
    <w:rsid w:val="00C56313"/>
    <w:rsid w:val="00C568C2"/>
    <w:rsid w:val="00C57625"/>
    <w:rsid w:val="00C60B43"/>
    <w:rsid w:val="00C60C12"/>
    <w:rsid w:val="00C61942"/>
    <w:rsid w:val="00C6214F"/>
    <w:rsid w:val="00C6298B"/>
    <w:rsid w:val="00C67831"/>
    <w:rsid w:val="00C717E1"/>
    <w:rsid w:val="00C71EF6"/>
    <w:rsid w:val="00C7277C"/>
    <w:rsid w:val="00C73001"/>
    <w:rsid w:val="00C7314D"/>
    <w:rsid w:val="00C74593"/>
    <w:rsid w:val="00C77181"/>
    <w:rsid w:val="00C7751B"/>
    <w:rsid w:val="00C80D6F"/>
    <w:rsid w:val="00C8108F"/>
    <w:rsid w:val="00C811FF"/>
    <w:rsid w:val="00C81277"/>
    <w:rsid w:val="00C81E88"/>
    <w:rsid w:val="00C820F6"/>
    <w:rsid w:val="00C82206"/>
    <w:rsid w:val="00C82278"/>
    <w:rsid w:val="00C82E37"/>
    <w:rsid w:val="00C832E7"/>
    <w:rsid w:val="00C83866"/>
    <w:rsid w:val="00C839A5"/>
    <w:rsid w:val="00C84A64"/>
    <w:rsid w:val="00C85121"/>
    <w:rsid w:val="00C8583B"/>
    <w:rsid w:val="00C872AB"/>
    <w:rsid w:val="00C87E82"/>
    <w:rsid w:val="00C90F29"/>
    <w:rsid w:val="00C91506"/>
    <w:rsid w:val="00C92F94"/>
    <w:rsid w:val="00C9330B"/>
    <w:rsid w:val="00C95656"/>
    <w:rsid w:val="00C964E6"/>
    <w:rsid w:val="00C97624"/>
    <w:rsid w:val="00C97727"/>
    <w:rsid w:val="00C97792"/>
    <w:rsid w:val="00CA09EE"/>
    <w:rsid w:val="00CA18B6"/>
    <w:rsid w:val="00CA343F"/>
    <w:rsid w:val="00CA3934"/>
    <w:rsid w:val="00CA4C44"/>
    <w:rsid w:val="00CA4C81"/>
    <w:rsid w:val="00CA515B"/>
    <w:rsid w:val="00CA57B6"/>
    <w:rsid w:val="00CA635A"/>
    <w:rsid w:val="00CA6DEB"/>
    <w:rsid w:val="00CA7459"/>
    <w:rsid w:val="00CA77E9"/>
    <w:rsid w:val="00CA7EC5"/>
    <w:rsid w:val="00CB0F62"/>
    <w:rsid w:val="00CB25AE"/>
    <w:rsid w:val="00CB288F"/>
    <w:rsid w:val="00CB2D46"/>
    <w:rsid w:val="00CB2DBE"/>
    <w:rsid w:val="00CB30C7"/>
    <w:rsid w:val="00CB328F"/>
    <w:rsid w:val="00CB44F5"/>
    <w:rsid w:val="00CB5580"/>
    <w:rsid w:val="00CB5CF5"/>
    <w:rsid w:val="00CB6F9D"/>
    <w:rsid w:val="00CB7253"/>
    <w:rsid w:val="00CB7625"/>
    <w:rsid w:val="00CB777C"/>
    <w:rsid w:val="00CC1254"/>
    <w:rsid w:val="00CC1311"/>
    <w:rsid w:val="00CC1440"/>
    <w:rsid w:val="00CC1E24"/>
    <w:rsid w:val="00CC1E3B"/>
    <w:rsid w:val="00CC5D81"/>
    <w:rsid w:val="00CC64E2"/>
    <w:rsid w:val="00CC6C4F"/>
    <w:rsid w:val="00CC712C"/>
    <w:rsid w:val="00CC7D77"/>
    <w:rsid w:val="00CD020E"/>
    <w:rsid w:val="00CD1F96"/>
    <w:rsid w:val="00CD284B"/>
    <w:rsid w:val="00CD34C2"/>
    <w:rsid w:val="00CD3A31"/>
    <w:rsid w:val="00CD3B38"/>
    <w:rsid w:val="00CD4279"/>
    <w:rsid w:val="00CD43F7"/>
    <w:rsid w:val="00CD4CF7"/>
    <w:rsid w:val="00CD5872"/>
    <w:rsid w:val="00CD623D"/>
    <w:rsid w:val="00CE09FA"/>
    <w:rsid w:val="00CE14FC"/>
    <w:rsid w:val="00CE185D"/>
    <w:rsid w:val="00CE1BDA"/>
    <w:rsid w:val="00CE1BF3"/>
    <w:rsid w:val="00CE207D"/>
    <w:rsid w:val="00CE25FF"/>
    <w:rsid w:val="00CE305A"/>
    <w:rsid w:val="00CE385B"/>
    <w:rsid w:val="00CE3910"/>
    <w:rsid w:val="00CE41D2"/>
    <w:rsid w:val="00CE4982"/>
    <w:rsid w:val="00CE621E"/>
    <w:rsid w:val="00CE718A"/>
    <w:rsid w:val="00CE7BB5"/>
    <w:rsid w:val="00CE7C39"/>
    <w:rsid w:val="00CE7D19"/>
    <w:rsid w:val="00CF052E"/>
    <w:rsid w:val="00CF2EEB"/>
    <w:rsid w:val="00CF2FEA"/>
    <w:rsid w:val="00CF3156"/>
    <w:rsid w:val="00CF342F"/>
    <w:rsid w:val="00CF3592"/>
    <w:rsid w:val="00CF5207"/>
    <w:rsid w:val="00CF662E"/>
    <w:rsid w:val="00CF6A43"/>
    <w:rsid w:val="00CF6C4D"/>
    <w:rsid w:val="00CF74C5"/>
    <w:rsid w:val="00CF7763"/>
    <w:rsid w:val="00CF781A"/>
    <w:rsid w:val="00D0019F"/>
    <w:rsid w:val="00D00527"/>
    <w:rsid w:val="00D00A69"/>
    <w:rsid w:val="00D00B1A"/>
    <w:rsid w:val="00D00F32"/>
    <w:rsid w:val="00D0175B"/>
    <w:rsid w:val="00D03AD0"/>
    <w:rsid w:val="00D03EB2"/>
    <w:rsid w:val="00D04280"/>
    <w:rsid w:val="00D0446F"/>
    <w:rsid w:val="00D04542"/>
    <w:rsid w:val="00D05BAB"/>
    <w:rsid w:val="00D05DE3"/>
    <w:rsid w:val="00D05E80"/>
    <w:rsid w:val="00D06874"/>
    <w:rsid w:val="00D101F0"/>
    <w:rsid w:val="00D103F3"/>
    <w:rsid w:val="00D1168B"/>
    <w:rsid w:val="00D11B30"/>
    <w:rsid w:val="00D11CE9"/>
    <w:rsid w:val="00D12731"/>
    <w:rsid w:val="00D13401"/>
    <w:rsid w:val="00D13C83"/>
    <w:rsid w:val="00D141EB"/>
    <w:rsid w:val="00D143B3"/>
    <w:rsid w:val="00D1556E"/>
    <w:rsid w:val="00D1752C"/>
    <w:rsid w:val="00D17691"/>
    <w:rsid w:val="00D20124"/>
    <w:rsid w:val="00D20210"/>
    <w:rsid w:val="00D21002"/>
    <w:rsid w:val="00D229C8"/>
    <w:rsid w:val="00D22BC5"/>
    <w:rsid w:val="00D2339B"/>
    <w:rsid w:val="00D252BF"/>
    <w:rsid w:val="00D25536"/>
    <w:rsid w:val="00D25D5C"/>
    <w:rsid w:val="00D261D2"/>
    <w:rsid w:val="00D2648C"/>
    <w:rsid w:val="00D26670"/>
    <w:rsid w:val="00D26AF6"/>
    <w:rsid w:val="00D270E6"/>
    <w:rsid w:val="00D27CE5"/>
    <w:rsid w:val="00D30EE7"/>
    <w:rsid w:val="00D3198A"/>
    <w:rsid w:val="00D3252C"/>
    <w:rsid w:val="00D32CB3"/>
    <w:rsid w:val="00D3341D"/>
    <w:rsid w:val="00D338DB"/>
    <w:rsid w:val="00D34536"/>
    <w:rsid w:val="00D34705"/>
    <w:rsid w:val="00D34CF6"/>
    <w:rsid w:val="00D35417"/>
    <w:rsid w:val="00D35A45"/>
    <w:rsid w:val="00D36306"/>
    <w:rsid w:val="00D36E72"/>
    <w:rsid w:val="00D374C3"/>
    <w:rsid w:val="00D37568"/>
    <w:rsid w:val="00D378EA"/>
    <w:rsid w:val="00D37DA6"/>
    <w:rsid w:val="00D37E52"/>
    <w:rsid w:val="00D409EE"/>
    <w:rsid w:val="00D4127B"/>
    <w:rsid w:val="00D4196C"/>
    <w:rsid w:val="00D429BF"/>
    <w:rsid w:val="00D43EF8"/>
    <w:rsid w:val="00D4500B"/>
    <w:rsid w:val="00D451ED"/>
    <w:rsid w:val="00D45687"/>
    <w:rsid w:val="00D47371"/>
    <w:rsid w:val="00D47B21"/>
    <w:rsid w:val="00D47BAE"/>
    <w:rsid w:val="00D47E24"/>
    <w:rsid w:val="00D5040B"/>
    <w:rsid w:val="00D51239"/>
    <w:rsid w:val="00D513F0"/>
    <w:rsid w:val="00D520EA"/>
    <w:rsid w:val="00D52814"/>
    <w:rsid w:val="00D530AE"/>
    <w:rsid w:val="00D54151"/>
    <w:rsid w:val="00D5452D"/>
    <w:rsid w:val="00D54585"/>
    <w:rsid w:val="00D54638"/>
    <w:rsid w:val="00D54C88"/>
    <w:rsid w:val="00D556A0"/>
    <w:rsid w:val="00D565F0"/>
    <w:rsid w:val="00D572EC"/>
    <w:rsid w:val="00D611A7"/>
    <w:rsid w:val="00D61AA2"/>
    <w:rsid w:val="00D624C9"/>
    <w:rsid w:val="00D629B4"/>
    <w:rsid w:val="00D63030"/>
    <w:rsid w:val="00D64211"/>
    <w:rsid w:val="00D645CB"/>
    <w:rsid w:val="00D65947"/>
    <w:rsid w:val="00D66AF4"/>
    <w:rsid w:val="00D66BA4"/>
    <w:rsid w:val="00D676FA"/>
    <w:rsid w:val="00D67A7A"/>
    <w:rsid w:val="00D67CE9"/>
    <w:rsid w:val="00D70F07"/>
    <w:rsid w:val="00D717CF"/>
    <w:rsid w:val="00D71ADB"/>
    <w:rsid w:val="00D71E83"/>
    <w:rsid w:val="00D71EFB"/>
    <w:rsid w:val="00D72059"/>
    <w:rsid w:val="00D72146"/>
    <w:rsid w:val="00D72D37"/>
    <w:rsid w:val="00D73102"/>
    <w:rsid w:val="00D736C8"/>
    <w:rsid w:val="00D737BE"/>
    <w:rsid w:val="00D75170"/>
    <w:rsid w:val="00D75933"/>
    <w:rsid w:val="00D76126"/>
    <w:rsid w:val="00D76B4B"/>
    <w:rsid w:val="00D80086"/>
    <w:rsid w:val="00D80289"/>
    <w:rsid w:val="00D81864"/>
    <w:rsid w:val="00D837AC"/>
    <w:rsid w:val="00D83CD3"/>
    <w:rsid w:val="00D84539"/>
    <w:rsid w:val="00D8490E"/>
    <w:rsid w:val="00D85A3E"/>
    <w:rsid w:val="00D87A51"/>
    <w:rsid w:val="00D903AA"/>
    <w:rsid w:val="00D90748"/>
    <w:rsid w:val="00D912E6"/>
    <w:rsid w:val="00D9319C"/>
    <w:rsid w:val="00D93A1C"/>
    <w:rsid w:val="00D93F75"/>
    <w:rsid w:val="00D94339"/>
    <w:rsid w:val="00D94E1C"/>
    <w:rsid w:val="00D95FA3"/>
    <w:rsid w:val="00DA12F6"/>
    <w:rsid w:val="00DA2864"/>
    <w:rsid w:val="00DA2AAC"/>
    <w:rsid w:val="00DA3261"/>
    <w:rsid w:val="00DA332F"/>
    <w:rsid w:val="00DA3769"/>
    <w:rsid w:val="00DA38F4"/>
    <w:rsid w:val="00DA43C3"/>
    <w:rsid w:val="00DA43C7"/>
    <w:rsid w:val="00DA4A78"/>
    <w:rsid w:val="00DA5045"/>
    <w:rsid w:val="00DA585D"/>
    <w:rsid w:val="00DA63DA"/>
    <w:rsid w:val="00DA7F92"/>
    <w:rsid w:val="00DB00BC"/>
    <w:rsid w:val="00DB06C6"/>
    <w:rsid w:val="00DB07CB"/>
    <w:rsid w:val="00DB10DF"/>
    <w:rsid w:val="00DB1753"/>
    <w:rsid w:val="00DB1C55"/>
    <w:rsid w:val="00DB2A56"/>
    <w:rsid w:val="00DB3FDD"/>
    <w:rsid w:val="00DB40B8"/>
    <w:rsid w:val="00DB44B5"/>
    <w:rsid w:val="00DB4A59"/>
    <w:rsid w:val="00DB4B55"/>
    <w:rsid w:val="00DB5E50"/>
    <w:rsid w:val="00DB75E1"/>
    <w:rsid w:val="00DC0515"/>
    <w:rsid w:val="00DC1300"/>
    <w:rsid w:val="00DC31AE"/>
    <w:rsid w:val="00DC3529"/>
    <w:rsid w:val="00DC3597"/>
    <w:rsid w:val="00DC4624"/>
    <w:rsid w:val="00DC4A3D"/>
    <w:rsid w:val="00DC4B90"/>
    <w:rsid w:val="00DC7909"/>
    <w:rsid w:val="00DD007F"/>
    <w:rsid w:val="00DD0E48"/>
    <w:rsid w:val="00DD0F41"/>
    <w:rsid w:val="00DD1E53"/>
    <w:rsid w:val="00DD2D0C"/>
    <w:rsid w:val="00DD3130"/>
    <w:rsid w:val="00DD4F31"/>
    <w:rsid w:val="00DD51E4"/>
    <w:rsid w:val="00DD62C7"/>
    <w:rsid w:val="00DD77A5"/>
    <w:rsid w:val="00DD7F50"/>
    <w:rsid w:val="00DE022D"/>
    <w:rsid w:val="00DE04D7"/>
    <w:rsid w:val="00DE09AB"/>
    <w:rsid w:val="00DE0C53"/>
    <w:rsid w:val="00DE19C8"/>
    <w:rsid w:val="00DE2724"/>
    <w:rsid w:val="00DE299C"/>
    <w:rsid w:val="00DE29F7"/>
    <w:rsid w:val="00DE3246"/>
    <w:rsid w:val="00DE365B"/>
    <w:rsid w:val="00DE403F"/>
    <w:rsid w:val="00DE462E"/>
    <w:rsid w:val="00DE4C13"/>
    <w:rsid w:val="00DE552B"/>
    <w:rsid w:val="00DE58B7"/>
    <w:rsid w:val="00DE5A14"/>
    <w:rsid w:val="00DE62E4"/>
    <w:rsid w:val="00DE656C"/>
    <w:rsid w:val="00DF061A"/>
    <w:rsid w:val="00DF0BA3"/>
    <w:rsid w:val="00DF0CF7"/>
    <w:rsid w:val="00DF0E37"/>
    <w:rsid w:val="00DF0F92"/>
    <w:rsid w:val="00DF1450"/>
    <w:rsid w:val="00DF1EC0"/>
    <w:rsid w:val="00DF3615"/>
    <w:rsid w:val="00DF37E5"/>
    <w:rsid w:val="00DF3872"/>
    <w:rsid w:val="00DF4B8D"/>
    <w:rsid w:val="00DF4D9C"/>
    <w:rsid w:val="00DF539E"/>
    <w:rsid w:val="00DF6CD0"/>
    <w:rsid w:val="00DF6F61"/>
    <w:rsid w:val="00DF72E0"/>
    <w:rsid w:val="00DF7F20"/>
    <w:rsid w:val="00E002AF"/>
    <w:rsid w:val="00E01D99"/>
    <w:rsid w:val="00E02A55"/>
    <w:rsid w:val="00E02B8F"/>
    <w:rsid w:val="00E03C86"/>
    <w:rsid w:val="00E0418F"/>
    <w:rsid w:val="00E041CE"/>
    <w:rsid w:val="00E042E2"/>
    <w:rsid w:val="00E04514"/>
    <w:rsid w:val="00E04D4F"/>
    <w:rsid w:val="00E065BC"/>
    <w:rsid w:val="00E06F33"/>
    <w:rsid w:val="00E07D5C"/>
    <w:rsid w:val="00E11B2D"/>
    <w:rsid w:val="00E1222E"/>
    <w:rsid w:val="00E13156"/>
    <w:rsid w:val="00E14F7B"/>
    <w:rsid w:val="00E1528B"/>
    <w:rsid w:val="00E15571"/>
    <w:rsid w:val="00E15E44"/>
    <w:rsid w:val="00E16C40"/>
    <w:rsid w:val="00E170D9"/>
    <w:rsid w:val="00E17245"/>
    <w:rsid w:val="00E17452"/>
    <w:rsid w:val="00E176B0"/>
    <w:rsid w:val="00E177D8"/>
    <w:rsid w:val="00E178D9"/>
    <w:rsid w:val="00E17F9C"/>
    <w:rsid w:val="00E20D6B"/>
    <w:rsid w:val="00E21E78"/>
    <w:rsid w:val="00E22B0C"/>
    <w:rsid w:val="00E230C5"/>
    <w:rsid w:val="00E23E32"/>
    <w:rsid w:val="00E24819"/>
    <w:rsid w:val="00E2551E"/>
    <w:rsid w:val="00E26B51"/>
    <w:rsid w:val="00E3132D"/>
    <w:rsid w:val="00E31853"/>
    <w:rsid w:val="00E31976"/>
    <w:rsid w:val="00E3284A"/>
    <w:rsid w:val="00E32ED9"/>
    <w:rsid w:val="00E33E16"/>
    <w:rsid w:val="00E34F10"/>
    <w:rsid w:val="00E37343"/>
    <w:rsid w:val="00E4025E"/>
    <w:rsid w:val="00E405BD"/>
    <w:rsid w:val="00E407DC"/>
    <w:rsid w:val="00E4111B"/>
    <w:rsid w:val="00E412AE"/>
    <w:rsid w:val="00E44483"/>
    <w:rsid w:val="00E449E9"/>
    <w:rsid w:val="00E44ACD"/>
    <w:rsid w:val="00E44EAB"/>
    <w:rsid w:val="00E45BC5"/>
    <w:rsid w:val="00E46FCD"/>
    <w:rsid w:val="00E47F06"/>
    <w:rsid w:val="00E522F4"/>
    <w:rsid w:val="00E52D78"/>
    <w:rsid w:val="00E53460"/>
    <w:rsid w:val="00E537DF"/>
    <w:rsid w:val="00E54A83"/>
    <w:rsid w:val="00E5574D"/>
    <w:rsid w:val="00E55A1D"/>
    <w:rsid w:val="00E55D3E"/>
    <w:rsid w:val="00E55D71"/>
    <w:rsid w:val="00E56949"/>
    <w:rsid w:val="00E56B0E"/>
    <w:rsid w:val="00E57906"/>
    <w:rsid w:val="00E6033E"/>
    <w:rsid w:val="00E6091A"/>
    <w:rsid w:val="00E61255"/>
    <w:rsid w:val="00E6172C"/>
    <w:rsid w:val="00E61921"/>
    <w:rsid w:val="00E6226B"/>
    <w:rsid w:val="00E62686"/>
    <w:rsid w:val="00E628F5"/>
    <w:rsid w:val="00E635CE"/>
    <w:rsid w:val="00E638AF"/>
    <w:rsid w:val="00E63AF1"/>
    <w:rsid w:val="00E64099"/>
    <w:rsid w:val="00E65B53"/>
    <w:rsid w:val="00E65C37"/>
    <w:rsid w:val="00E65D92"/>
    <w:rsid w:val="00E67144"/>
    <w:rsid w:val="00E67597"/>
    <w:rsid w:val="00E67E0B"/>
    <w:rsid w:val="00E7079C"/>
    <w:rsid w:val="00E71393"/>
    <w:rsid w:val="00E71685"/>
    <w:rsid w:val="00E719A6"/>
    <w:rsid w:val="00E71CBF"/>
    <w:rsid w:val="00E72796"/>
    <w:rsid w:val="00E72E20"/>
    <w:rsid w:val="00E73886"/>
    <w:rsid w:val="00E73ECE"/>
    <w:rsid w:val="00E74EA5"/>
    <w:rsid w:val="00E75732"/>
    <w:rsid w:val="00E75EB4"/>
    <w:rsid w:val="00E7686A"/>
    <w:rsid w:val="00E76EE2"/>
    <w:rsid w:val="00E77BD2"/>
    <w:rsid w:val="00E80021"/>
    <w:rsid w:val="00E801B4"/>
    <w:rsid w:val="00E8069D"/>
    <w:rsid w:val="00E808DE"/>
    <w:rsid w:val="00E80F46"/>
    <w:rsid w:val="00E82353"/>
    <w:rsid w:val="00E83028"/>
    <w:rsid w:val="00E8371D"/>
    <w:rsid w:val="00E83EAC"/>
    <w:rsid w:val="00E856DD"/>
    <w:rsid w:val="00E85F7F"/>
    <w:rsid w:val="00E87F77"/>
    <w:rsid w:val="00E9119D"/>
    <w:rsid w:val="00E91639"/>
    <w:rsid w:val="00E916B8"/>
    <w:rsid w:val="00E91BF1"/>
    <w:rsid w:val="00E91D31"/>
    <w:rsid w:val="00E93A9D"/>
    <w:rsid w:val="00E941F8"/>
    <w:rsid w:val="00E96F6E"/>
    <w:rsid w:val="00E971CB"/>
    <w:rsid w:val="00E97CDB"/>
    <w:rsid w:val="00EA0002"/>
    <w:rsid w:val="00EA1EC5"/>
    <w:rsid w:val="00EA301C"/>
    <w:rsid w:val="00EA3122"/>
    <w:rsid w:val="00EA3DB0"/>
    <w:rsid w:val="00EA41EE"/>
    <w:rsid w:val="00EA56C1"/>
    <w:rsid w:val="00EA6692"/>
    <w:rsid w:val="00EA695F"/>
    <w:rsid w:val="00EA6A50"/>
    <w:rsid w:val="00EA6BD9"/>
    <w:rsid w:val="00EA7B24"/>
    <w:rsid w:val="00EA7F9C"/>
    <w:rsid w:val="00EB1309"/>
    <w:rsid w:val="00EB16A5"/>
    <w:rsid w:val="00EB1900"/>
    <w:rsid w:val="00EB2D74"/>
    <w:rsid w:val="00EB4769"/>
    <w:rsid w:val="00EB4810"/>
    <w:rsid w:val="00EB4E54"/>
    <w:rsid w:val="00EB4F48"/>
    <w:rsid w:val="00EB5EE7"/>
    <w:rsid w:val="00EB7107"/>
    <w:rsid w:val="00EB783A"/>
    <w:rsid w:val="00EC0C1E"/>
    <w:rsid w:val="00EC0F39"/>
    <w:rsid w:val="00EC1648"/>
    <w:rsid w:val="00EC19B4"/>
    <w:rsid w:val="00EC3411"/>
    <w:rsid w:val="00EC39E9"/>
    <w:rsid w:val="00EC4469"/>
    <w:rsid w:val="00EC48B3"/>
    <w:rsid w:val="00EC5CA3"/>
    <w:rsid w:val="00EC5CC9"/>
    <w:rsid w:val="00EC6933"/>
    <w:rsid w:val="00EC6CDC"/>
    <w:rsid w:val="00ED018F"/>
    <w:rsid w:val="00ED0927"/>
    <w:rsid w:val="00ED0E53"/>
    <w:rsid w:val="00ED1732"/>
    <w:rsid w:val="00ED1EC1"/>
    <w:rsid w:val="00ED38A5"/>
    <w:rsid w:val="00ED3C12"/>
    <w:rsid w:val="00ED4194"/>
    <w:rsid w:val="00ED4302"/>
    <w:rsid w:val="00ED52D6"/>
    <w:rsid w:val="00ED5762"/>
    <w:rsid w:val="00ED6325"/>
    <w:rsid w:val="00ED77B5"/>
    <w:rsid w:val="00ED7978"/>
    <w:rsid w:val="00EE1144"/>
    <w:rsid w:val="00EE24B4"/>
    <w:rsid w:val="00EE3157"/>
    <w:rsid w:val="00EE3243"/>
    <w:rsid w:val="00EE5DB6"/>
    <w:rsid w:val="00EE64E6"/>
    <w:rsid w:val="00EE6D0C"/>
    <w:rsid w:val="00EE6EF1"/>
    <w:rsid w:val="00EE79B2"/>
    <w:rsid w:val="00EF0FE8"/>
    <w:rsid w:val="00EF1099"/>
    <w:rsid w:val="00EF19C6"/>
    <w:rsid w:val="00EF35FA"/>
    <w:rsid w:val="00EF499A"/>
    <w:rsid w:val="00EF4EA6"/>
    <w:rsid w:val="00EF5333"/>
    <w:rsid w:val="00EF558C"/>
    <w:rsid w:val="00EF569A"/>
    <w:rsid w:val="00F00014"/>
    <w:rsid w:val="00F013DA"/>
    <w:rsid w:val="00F017EC"/>
    <w:rsid w:val="00F01F33"/>
    <w:rsid w:val="00F01F3E"/>
    <w:rsid w:val="00F02AA2"/>
    <w:rsid w:val="00F02E11"/>
    <w:rsid w:val="00F054D0"/>
    <w:rsid w:val="00F06D53"/>
    <w:rsid w:val="00F11D2C"/>
    <w:rsid w:val="00F12D89"/>
    <w:rsid w:val="00F13413"/>
    <w:rsid w:val="00F13687"/>
    <w:rsid w:val="00F136DC"/>
    <w:rsid w:val="00F145E3"/>
    <w:rsid w:val="00F15084"/>
    <w:rsid w:val="00F15CDD"/>
    <w:rsid w:val="00F15E3C"/>
    <w:rsid w:val="00F16A07"/>
    <w:rsid w:val="00F1794D"/>
    <w:rsid w:val="00F209BC"/>
    <w:rsid w:val="00F20F07"/>
    <w:rsid w:val="00F211A7"/>
    <w:rsid w:val="00F21D80"/>
    <w:rsid w:val="00F221E7"/>
    <w:rsid w:val="00F230A7"/>
    <w:rsid w:val="00F2375E"/>
    <w:rsid w:val="00F23AB7"/>
    <w:rsid w:val="00F23F84"/>
    <w:rsid w:val="00F24279"/>
    <w:rsid w:val="00F26F5B"/>
    <w:rsid w:val="00F27BE6"/>
    <w:rsid w:val="00F3044A"/>
    <w:rsid w:val="00F31C33"/>
    <w:rsid w:val="00F32109"/>
    <w:rsid w:val="00F3298A"/>
    <w:rsid w:val="00F34655"/>
    <w:rsid w:val="00F35DC1"/>
    <w:rsid w:val="00F36119"/>
    <w:rsid w:val="00F36974"/>
    <w:rsid w:val="00F36E92"/>
    <w:rsid w:val="00F37486"/>
    <w:rsid w:val="00F4004C"/>
    <w:rsid w:val="00F40E09"/>
    <w:rsid w:val="00F41067"/>
    <w:rsid w:val="00F4122E"/>
    <w:rsid w:val="00F43308"/>
    <w:rsid w:val="00F43E16"/>
    <w:rsid w:val="00F44139"/>
    <w:rsid w:val="00F45C7F"/>
    <w:rsid w:val="00F46CA7"/>
    <w:rsid w:val="00F477AB"/>
    <w:rsid w:val="00F479F5"/>
    <w:rsid w:val="00F51C61"/>
    <w:rsid w:val="00F52DFF"/>
    <w:rsid w:val="00F52F86"/>
    <w:rsid w:val="00F539EC"/>
    <w:rsid w:val="00F562B2"/>
    <w:rsid w:val="00F57135"/>
    <w:rsid w:val="00F5794B"/>
    <w:rsid w:val="00F57C64"/>
    <w:rsid w:val="00F6082A"/>
    <w:rsid w:val="00F6086A"/>
    <w:rsid w:val="00F60D63"/>
    <w:rsid w:val="00F613F5"/>
    <w:rsid w:val="00F617C3"/>
    <w:rsid w:val="00F61E45"/>
    <w:rsid w:val="00F622B5"/>
    <w:rsid w:val="00F6489B"/>
    <w:rsid w:val="00F64E2B"/>
    <w:rsid w:val="00F66544"/>
    <w:rsid w:val="00F70715"/>
    <w:rsid w:val="00F719E5"/>
    <w:rsid w:val="00F723C4"/>
    <w:rsid w:val="00F730B9"/>
    <w:rsid w:val="00F7348F"/>
    <w:rsid w:val="00F745CE"/>
    <w:rsid w:val="00F74779"/>
    <w:rsid w:val="00F75339"/>
    <w:rsid w:val="00F758C5"/>
    <w:rsid w:val="00F75939"/>
    <w:rsid w:val="00F765D0"/>
    <w:rsid w:val="00F76AF5"/>
    <w:rsid w:val="00F773C7"/>
    <w:rsid w:val="00F77EB7"/>
    <w:rsid w:val="00F80E08"/>
    <w:rsid w:val="00F820AF"/>
    <w:rsid w:val="00F82FF8"/>
    <w:rsid w:val="00F84515"/>
    <w:rsid w:val="00F84610"/>
    <w:rsid w:val="00F84B65"/>
    <w:rsid w:val="00F85758"/>
    <w:rsid w:val="00F87070"/>
    <w:rsid w:val="00F87811"/>
    <w:rsid w:val="00F87F9F"/>
    <w:rsid w:val="00F90489"/>
    <w:rsid w:val="00F90914"/>
    <w:rsid w:val="00F90984"/>
    <w:rsid w:val="00F9161D"/>
    <w:rsid w:val="00F919D1"/>
    <w:rsid w:val="00F92620"/>
    <w:rsid w:val="00F92806"/>
    <w:rsid w:val="00F92F8F"/>
    <w:rsid w:val="00F94C25"/>
    <w:rsid w:val="00F9572C"/>
    <w:rsid w:val="00F957FD"/>
    <w:rsid w:val="00F96340"/>
    <w:rsid w:val="00F96A7F"/>
    <w:rsid w:val="00F96D7C"/>
    <w:rsid w:val="00F9771D"/>
    <w:rsid w:val="00F97FAC"/>
    <w:rsid w:val="00F97FE3"/>
    <w:rsid w:val="00FA0651"/>
    <w:rsid w:val="00FA0B1B"/>
    <w:rsid w:val="00FA1B8A"/>
    <w:rsid w:val="00FA28D4"/>
    <w:rsid w:val="00FA3D09"/>
    <w:rsid w:val="00FA3D9B"/>
    <w:rsid w:val="00FA52AC"/>
    <w:rsid w:val="00FA68FF"/>
    <w:rsid w:val="00FA6D32"/>
    <w:rsid w:val="00FA7425"/>
    <w:rsid w:val="00FA7DB9"/>
    <w:rsid w:val="00FB0C50"/>
    <w:rsid w:val="00FB1BE8"/>
    <w:rsid w:val="00FB346C"/>
    <w:rsid w:val="00FB38DC"/>
    <w:rsid w:val="00FB4203"/>
    <w:rsid w:val="00FB4B0D"/>
    <w:rsid w:val="00FB5E31"/>
    <w:rsid w:val="00FB5EF1"/>
    <w:rsid w:val="00FB651F"/>
    <w:rsid w:val="00FB7249"/>
    <w:rsid w:val="00FB72CB"/>
    <w:rsid w:val="00FB79A7"/>
    <w:rsid w:val="00FC0F0C"/>
    <w:rsid w:val="00FC1282"/>
    <w:rsid w:val="00FC1D29"/>
    <w:rsid w:val="00FC1E68"/>
    <w:rsid w:val="00FC1EBC"/>
    <w:rsid w:val="00FC3666"/>
    <w:rsid w:val="00FC5B84"/>
    <w:rsid w:val="00FC5DE3"/>
    <w:rsid w:val="00FC60C4"/>
    <w:rsid w:val="00FC6574"/>
    <w:rsid w:val="00FC74C6"/>
    <w:rsid w:val="00FC7E8E"/>
    <w:rsid w:val="00FD01BE"/>
    <w:rsid w:val="00FD095F"/>
    <w:rsid w:val="00FD1372"/>
    <w:rsid w:val="00FD1601"/>
    <w:rsid w:val="00FD2367"/>
    <w:rsid w:val="00FD275E"/>
    <w:rsid w:val="00FD2ABA"/>
    <w:rsid w:val="00FD2D31"/>
    <w:rsid w:val="00FD2F90"/>
    <w:rsid w:val="00FD3570"/>
    <w:rsid w:val="00FD37C3"/>
    <w:rsid w:val="00FD456E"/>
    <w:rsid w:val="00FD51B3"/>
    <w:rsid w:val="00FD6E38"/>
    <w:rsid w:val="00FD6FE8"/>
    <w:rsid w:val="00FE03FB"/>
    <w:rsid w:val="00FE0FAF"/>
    <w:rsid w:val="00FE1661"/>
    <w:rsid w:val="00FE17C5"/>
    <w:rsid w:val="00FE1866"/>
    <w:rsid w:val="00FE1B3E"/>
    <w:rsid w:val="00FE2061"/>
    <w:rsid w:val="00FE29B6"/>
    <w:rsid w:val="00FE2F84"/>
    <w:rsid w:val="00FE3204"/>
    <w:rsid w:val="00FE4334"/>
    <w:rsid w:val="00FE4E86"/>
    <w:rsid w:val="00FE51DC"/>
    <w:rsid w:val="00FE552A"/>
    <w:rsid w:val="00FE5CE4"/>
    <w:rsid w:val="00FE6938"/>
    <w:rsid w:val="00FE7C55"/>
    <w:rsid w:val="00FE7E79"/>
    <w:rsid w:val="00FF02E5"/>
    <w:rsid w:val="00FF0BD0"/>
    <w:rsid w:val="00FF1611"/>
    <w:rsid w:val="00FF1C93"/>
    <w:rsid w:val="00FF1ECA"/>
    <w:rsid w:val="00FF1F68"/>
    <w:rsid w:val="00FF2667"/>
    <w:rsid w:val="00FF3219"/>
    <w:rsid w:val="00FF337D"/>
    <w:rsid w:val="00FF3F0F"/>
    <w:rsid w:val="00FF421A"/>
    <w:rsid w:val="00FF4D27"/>
    <w:rsid w:val="00FF5565"/>
    <w:rsid w:val="00FF66AA"/>
    <w:rsid w:val="00FF6E26"/>
    <w:rsid w:val="00FF724A"/>
    <w:rsid w:val="097F3873"/>
    <w:rsid w:val="53F25391"/>
    <w:rsid w:val="58890366"/>
    <w:rsid w:val="6AB734C3"/>
    <w:rsid w:val="7D4134DF"/>
    <w:rsid w:val="7F7A4B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qFormat="1" w:unhideWhenUsed="0" w:uiPriority="0" w:semiHidden="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before="120" w:beforeLines="50" w:line="300" w:lineRule="auto"/>
      <w:ind w:firstLine="480" w:firstLineChars="200"/>
      <w:jc w:val="both"/>
      <w:textAlignment w:val="baseline"/>
    </w:pPr>
    <w:rPr>
      <w:rFonts w:ascii="Times" w:hAnsi="Times" w:eastAsia="宋体" w:cs="Times New Roman"/>
      <w:sz w:val="24"/>
      <w:lang w:val="en-GB" w:eastAsia="zh-CN" w:bidi="ar-SA"/>
    </w:rPr>
  </w:style>
  <w:style w:type="paragraph" w:styleId="2">
    <w:name w:val="heading 1"/>
    <w:basedOn w:val="1"/>
    <w:next w:val="1"/>
    <w:link w:val="85"/>
    <w:qFormat/>
    <w:uiPriority w:val="0"/>
    <w:pPr>
      <w:keepNext/>
      <w:keepLines/>
      <w:spacing w:after="200"/>
      <w:ind w:firstLine="0" w:firstLineChars="0"/>
      <w:jc w:val="center"/>
      <w:outlineLvl w:val="0"/>
    </w:pPr>
    <w:rPr>
      <w:b/>
      <w:bCs/>
      <w:kern w:val="44"/>
      <w:sz w:val="32"/>
      <w:szCs w:val="32"/>
    </w:rPr>
  </w:style>
  <w:style w:type="paragraph" w:styleId="3">
    <w:name w:val="heading 2"/>
    <w:basedOn w:val="1"/>
    <w:next w:val="1"/>
    <w:link w:val="87"/>
    <w:qFormat/>
    <w:uiPriority w:val="0"/>
    <w:pPr>
      <w:keepLines/>
      <w:spacing w:line="360" w:lineRule="auto"/>
      <w:ind w:firstLine="0" w:firstLineChars="0"/>
      <w:jc w:val="left"/>
      <w:outlineLvl w:val="1"/>
    </w:pPr>
    <w:rPr>
      <w:rFonts w:ascii="宋体" w:hAnsi="宋体"/>
      <w:b/>
      <w:bCs/>
      <w:kern w:val="28"/>
      <w:szCs w:val="28"/>
    </w:rPr>
  </w:style>
  <w:style w:type="paragraph" w:styleId="4">
    <w:name w:val="heading 3"/>
    <w:basedOn w:val="1"/>
    <w:next w:val="1"/>
    <w:link w:val="88"/>
    <w:uiPriority w:val="0"/>
    <w:pPr>
      <w:keepNext/>
      <w:keepLines/>
      <w:widowControl/>
      <w:tabs>
        <w:tab w:val="left" w:pos="851"/>
      </w:tabs>
      <w:suppressAutoHyphens/>
      <w:adjustRightInd/>
      <w:spacing w:before="240" w:beforeLines="0" w:after="12" w:afterLines="5" w:line="240" w:lineRule="auto"/>
      <w:ind w:firstLine="0" w:firstLineChars="0"/>
      <w:jc w:val="left"/>
      <w:textAlignment w:val="auto"/>
      <w:outlineLvl w:val="2"/>
    </w:pPr>
    <w:rPr>
      <w:rFonts w:ascii="Times New Roman" w:hAnsi="Times New Roman"/>
      <w:b/>
      <w:kern w:val="28"/>
      <w:szCs w:val="24"/>
      <w:lang w:val="en-US"/>
    </w:rPr>
  </w:style>
  <w:style w:type="paragraph" w:styleId="5">
    <w:name w:val="heading 4"/>
    <w:basedOn w:val="1"/>
    <w:next w:val="1"/>
    <w:qFormat/>
    <w:uiPriority w:val="0"/>
    <w:pPr>
      <w:numPr>
        <w:ilvl w:val="3"/>
        <w:numId w:val="1"/>
      </w:numPr>
      <w:spacing w:line="360" w:lineRule="auto"/>
      <w:ind w:firstLineChars="0"/>
      <w:jc w:val="left"/>
      <w:outlineLvl w:val="3"/>
    </w:pPr>
    <w:rPr>
      <w:kern w:val="28"/>
    </w:rPr>
  </w:style>
  <w:style w:type="paragraph" w:styleId="6">
    <w:name w:val="heading 5"/>
    <w:basedOn w:val="1"/>
    <w:next w:val="1"/>
    <w:qFormat/>
    <w:uiPriority w:val="0"/>
    <w:pPr>
      <w:numPr>
        <w:ilvl w:val="4"/>
        <w:numId w:val="1"/>
      </w:numPr>
      <w:spacing w:before="50" w:line="360" w:lineRule="auto"/>
      <w:ind w:firstLineChars="0"/>
      <w:jc w:val="left"/>
      <w:outlineLvl w:val="4"/>
    </w:pPr>
    <w:rPr>
      <w:kern w:val="28"/>
    </w:rPr>
  </w:style>
  <w:style w:type="paragraph" w:styleId="7">
    <w:name w:val="heading 6"/>
    <w:basedOn w:val="6"/>
    <w:next w:val="1"/>
    <w:qFormat/>
    <w:uiPriority w:val="0"/>
    <w:pPr>
      <w:numPr>
        <w:ilvl w:val="5"/>
      </w:numPr>
      <w:outlineLvl w:val="5"/>
    </w:pPr>
    <w:rPr>
      <w:snapToGrid w:val="0"/>
      <w:kern w:val="0"/>
    </w:rPr>
  </w:style>
  <w:style w:type="paragraph" w:styleId="8">
    <w:name w:val="heading 7"/>
    <w:basedOn w:val="1"/>
    <w:next w:val="1"/>
    <w:qFormat/>
    <w:uiPriority w:val="0"/>
    <w:pPr>
      <w:keepNext/>
      <w:keepLines/>
      <w:numPr>
        <w:ilvl w:val="6"/>
        <w:numId w:val="1"/>
      </w:numPr>
      <w:spacing w:line="360" w:lineRule="auto"/>
      <w:ind w:firstLineChars="0"/>
      <w:outlineLvl w:val="6"/>
    </w:pPr>
  </w:style>
  <w:style w:type="paragraph" w:styleId="9">
    <w:name w:val="heading 8"/>
    <w:basedOn w:val="1"/>
    <w:next w:val="1"/>
    <w:qFormat/>
    <w:uiPriority w:val="0"/>
    <w:pPr>
      <w:keepNext/>
      <w:keepLines/>
      <w:numPr>
        <w:ilvl w:val="7"/>
        <w:numId w:val="1"/>
      </w:numPr>
      <w:ind w:firstLineChars="0"/>
      <w:jc w:val="center"/>
      <w:outlineLvl w:val="7"/>
    </w:pPr>
    <w:rPr>
      <w:rFonts w:ascii="Arial" w:hAnsi="Arial"/>
      <w:szCs w:val="28"/>
    </w:rPr>
  </w:style>
  <w:style w:type="paragraph" w:styleId="10">
    <w:name w:val="heading 9"/>
    <w:basedOn w:val="1"/>
    <w:next w:val="1"/>
    <w:qFormat/>
    <w:uiPriority w:val="0"/>
    <w:pPr>
      <w:keepNext/>
      <w:keepLines/>
      <w:numPr>
        <w:ilvl w:val="0"/>
        <w:numId w:val="2"/>
      </w:numPr>
      <w:ind w:firstLine="0" w:firstLineChars="0"/>
      <w:jc w:val="center"/>
      <w:outlineLvl w:val="8"/>
    </w:pPr>
    <w:rPr>
      <w:rFonts w:ascii="Arial" w:hAnsi="Arial"/>
      <w:szCs w:val="28"/>
    </w:rPr>
  </w:style>
  <w:style w:type="character" w:default="1" w:styleId="38">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spacing w:before="0"/>
      <w:ind w:left="1440"/>
      <w:jc w:val="left"/>
    </w:pPr>
    <w:rPr>
      <w:rFonts w:ascii="Times New Roman" w:hAnsi="Times New Roman"/>
      <w:sz w:val="18"/>
      <w:szCs w:val="21"/>
    </w:rPr>
  </w:style>
  <w:style w:type="paragraph" w:styleId="12">
    <w:name w:val="Normal Indent"/>
    <w:basedOn w:val="1"/>
    <w:link w:val="62"/>
    <w:qFormat/>
    <w:uiPriority w:val="0"/>
    <w:pPr>
      <w:ind w:firstLine="420"/>
    </w:pPr>
  </w:style>
  <w:style w:type="paragraph" w:styleId="13">
    <w:name w:val="caption"/>
    <w:basedOn w:val="1"/>
    <w:next w:val="1"/>
    <w:link w:val="63"/>
    <w:qFormat/>
    <w:uiPriority w:val="0"/>
    <w:pPr>
      <w:spacing w:before="0" w:beforeLines="0" w:line="240" w:lineRule="auto"/>
      <w:ind w:firstLine="0" w:firstLineChars="0"/>
      <w:jc w:val="center"/>
    </w:pPr>
    <w:rPr>
      <w:rFonts w:ascii="仿宋体" w:hAnsi="Arial" w:eastAsia="仿宋体"/>
      <w:sz w:val="28"/>
      <w:lang w:val="en-US"/>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pPr>
      <w:jc w:val="left"/>
    </w:pPr>
  </w:style>
  <w:style w:type="paragraph" w:styleId="16">
    <w:name w:val="Body Text"/>
    <w:basedOn w:val="1"/>
    <w:qFormat/>
    <w:uiPriority w:val="0"/>
    <w:pPr>
      <w:spacing w:after="120"/>
    </w:pPr>
  </w:style>
  <w:style w:type="paragraph" w:styleId="17">
    <w:name w:val="Body Text Indent"/>
    <w:basedOn w:val="1"/>
    <w:qFormat/>
    <w:uiPriority w:val="0"/>
  </w:style>
  <w:style w:type="paragraph" w:styleId="18">
    <w:name w:val="toc 5"/>
    <w:basedOn w:val="1"/>
    <w:next w:val="1"/>
    <w:semiHidden/>
    <w:qFormat/>
    <w:uiPriority w:val="0"/>
    <w:pPr>
      <w:spacing w:before="0"/>
      <w:ind w:left="960"/>
      <w:jc w:val="left"/>
    </w:pPr>
    <w:rPr>
      <w:rFonts w:ascii="Times New Roman" w:hAnsi="Times New Roman"/>
      <w:sz w:val="18"/>
      <w:szCs w:val="21"/>
    </w:rPr>
  </w:style>
  <w:style w:type="paragraph" w:styleId="19">
    <w:name w:val="toc 3"/>
    <w:basedOn w:val="1"/>
    <w:next w:val="1"/>
    <w:qFormat/>
    <w:uiPriority w:val="39"/>
    <w:pPr>
      <w:spacing w:before="0"/>
      <w:ind w:left="480"/>
      <w:jc w:val="left"/>
    </w:pPr>
    <w:rPr>
      <w:rFonts w:ascii="Times New Roman" w:hAnsi="Times New Roman"/>
      <w:i/>
      <w:iCs/>
      <w:sz w:val="20"/>
      <w:szCs w:val="24"/>
    </w:rPr>
  </w:style>
  <w:style w:type="paragraph" w:styleId="20">
    <w:name w:val="Plain Text"/>
    <w:basedOn w:val="1"/>
    <w:qFormat/>
    <w:uiPriority w:val="0"/>
    <w:pPr>
      <w:adjustRightInd/>
      <w:spacing w:before="0" w:beforeLines="0" w:line="240" w:lineRule="auto"/>
      <w:ind w:firstLine="0" w:firstLineChars="0"/>
      <w:textAlignment w:val="auto"/>
    </w:pPr>
    <w:rPr>
      <w:rFonts w:ascii="宋体" w:hAnsi="Courier New"/>
      <w:kern w:val="2"/>
      <w:sz w:val="21"/>
      <w:lang w:val="en-US"/>
    </w:rPr>
  </w:style>
  <w:style w:type="paragraph" w:styleId="21">
    <w:name w:val="toc 8"/>
    <w:basedOn w:val="1"/>
    <w:next w:val="1"/>
    <w:semiHidden/>
    <w:qFormat/>
    <w:uiPriority w:val="0"/>
    <w:pPr>
      <w:spacing w:before="0"/>
      <w:ind w:left="1680"/>
      <w:jc w:val="left"/>
    </w:pPr>
    <w:rPr>
      <w:rFonts w:ascii="Times New Roman" w:hAnsi="Times New Roman"/>
      <w:sz w:val="18"/>
      <w:szCs w:val="21"/>
    </w:rPr>
  </w:style>
  <w:style w:type="paragraph" w:styleId="22">
    <w:name w:val="Date"/>
    <w:basedOn w:val="1"/>
    <w:next w:val="1"/>
    <w:qFormat/>
    <w:uiPriority w:val="0"/>
    <w:pPr>
      <w:ind w:left="100" w:leftChars="2500"/>
    </w:pPr>
  </w:style>
  <w:style w:type="paragraph" w:styleId="23">
    <w:name w:val="Body Text Indent 2"/>
    <w:basedOn w:val="1"/>
    <w:qFormat/>
    <w:uiPriority w:val="0"/>
    <w:rPr>
      <w:rFonts w:ascii="宋体" w:hAnsi="宋体"/>
      <w:color w:val="000000"/>
    </w:rPr>
  </w:style>
  <w:style w:type="paragraph" w:styleId="24">
    <w:name w:val="Balloon Text"/>
    <w:basedOn w:val="1"/>
    <w:semiHidden/>
    <w:qFormat/>
    <w:uiPriority w:val="0"/>
    <w:rPr>
      <w:sz w:val="18"/>
      <w:szCs w:val="18"/>
    </w:rPr>
  </w:style>
  <w:style w:type="paragraph" w:styleId="25">
    <w:name w:val="footer"/>
    <w:basedOn w:val="1"/>
    <w:link w:val="83"/>
    <w:qFormat/>
    <w:uiPriority w:val="99"/>
    <w:pPr>
      <w:tabs>
        <w:tab w:val="center" w:pos="4153"/>
        <w:tab w:val="right" w:pos="8306"/>
      </w:tabs>
      <w:spacing w:line="240" w:lineRule="auto"/>
      <w:ind w:firstLine="0"/>
      <w:jc w:val="center"/>
    </w:pPr>
    <w:rPr>
      <w:b/>
    </w:rPr>
  </w:style>
  <w:style w:type="paragraph" w:styleId="26">
    <w:name w:val="header"/>
    <w:basedOn w:val="1"/>
    <w:qFormat/>
    <w:uiPriority w:val="0"/>
    <w:pPr>
      <w:pBdr>
        <w:bottom w:val="single" w:color="auto" w:sz="6" w:space="1"/>
      </w:pBdr>
      <w:spacing w:line="240" w:lineRule="auto"/>
      <w:ind w:firstLine="0" w:firstLineChars="0"/>
      <w:jc w:val="right"/>
    </w:pPr>
    <w:rPr>
      <w:rFonts w:ascii="宋体" w:hAnsi="宋体"/>
      <w:sz w:val="18"/>
      <w:szCs w:val="18"/>
      <w:lang w:val="en-US"/>
    </w:rPr>
  </w:style>
  <w:style w:type="paragraph" w:styleId="27">
    <w:name w:val="toc 1"/>
    <w:basedOn w:val="1"/>
    <w:next w:val="1"/>
    <w:qFormat/>
    <w:uiPriority w:val="39"/>
    <w:pPr>
      <w:tabs>
        <w:tab w:val="right" w:leader="dot" w:pos="8494"/>
      </w:tabs>
      <w:spacing w:after="120"/>
      <w:ind w:firstLine="562"/>
      <w:jc w:val="center"/>
    </w:pPr>
    <w:rPr>
      <w:rFonts w:ascii="Times New Roman" w:hAnsi="Times New Roman"/>
      <w:b/>
      <w:bCs/>
      <w:caps/>
      <w:sz w:val="28"/>
      <w:szCs w:val="28"/>
    </w:rPr>
  </w:style>
  <w:style w:type="paragraph" w:styleId="28">
    <w:name w:val="toc 4"/>
    <w:basedOn w:val="1"/>
    <w:next w:val="1"/>
    <w:semiHidden/>
    <w:qFormat/>
    <w:uiPriority w:val="0"/>
    <w:pPr>
      <w:spacing w:before="0"/>
      <w:ind w:left="720"/>
      <w:jc w:val="left"/>
    </w:pPr>
    <w:rPr>
      <w:rFonts w:ascii="Times New Roman" w:hAnsi="Times New Roman"/>
      <w:sz w:val="18"/>
      <w:szCs w:val="21"/>
    </w:rPr>
  </w:style>
  <w:style w:type="paragraph" w:styleId="29">
    <w:name w:val="toc 6"/>
    <w:basedOn w:val="1"/>
    <w:next w:val="1"/>
    <w:semiHidden/>
    <w:qFormat/>
    <w:uiPriority w:val="0"/>
    <w:pPr>
      <w:spacing w:before="0"/>
      <w:ind w:left="1200"/>
      <w:jc w:val="left"/>
    </w:pPr>
    <w:rPr>
      <w:rFonts w:ascii="Times New Roman" w:hAnsi="Times New Roman"/>
      <w:sz w:val="18"/>
      <w:szCs w:val="21"/>
    </w:rPr>
  </w:style>
  <w:style w:type="paragraph" w:styleId="30">
    <w:name w:val="Body Text Indent 3"/>
    <w:basedOn w:val="1"/>
    <w:qFormat/>
    <w:uiPriority w:val="0"/>
    <w:rPr>
      <w:color w:val="00FF00"/>
    </w:rPr>
  </w:style>
  <w:style w:type="paragraph" w:styleId="31">
    <w:name w:val="table of figures"/>
    <w:basedOn w:val="1"/>
    <w:next w:val="1"/>
    <w:semiHidden/>
    <w:unhideWhenUsed/>
    <w:qFormat/>
    <w:uiPriority w:val="0"/>
    <w:pPr>
      <w:ind w:left="200" w:leftChars="200" w:hanging="200" w:hangingChars="200"/>
    </w:pPr>
  </w:style>
  <w:style w:type="paragraph" w:styleId="32">
    <w:name w:val="toc 2"/>
    <w:basedOn w:val="1"/>
    <w:next w:val="1"/>
    <w:qFormat/>
    <w:uiPriority w:val="39"/>
    <w:pPr>
      <w:spacing w:before="0"/>
      <w:ind w:left="240"/>
      <w:jc w:val="left"/>
    </w:pPr>
    <w:rPr>
      <w:rFonts w:ascii="Times New Roman" w:hAnsi="Times New Roman"/>
      <w:smallCaps/>
      <w:sz w:val="20"/>
      <w:szCs w:val="24"/>
    </w:rPr>
  </w:style>
  <w:style w:type="paragraph" w:styleId="33">
    <w:name w:val="toc 9"/>
    <w:basedOn w:val="1"/>
    <w:next w:val="1"/>
    <w:semiHidden/>
    <w:qFormat/>
    <w:uiPriority w:val="0"/>
    <w:pPr>
      <w:spacing w:before="0"/>
      <w:ind w:left="1920"/>
      <w:jc w:val="left"/>
    </w:pPr>
    <w:rPr>
      <w:rFonts w:ascii="Times New Roman" w:hAnsi="Times New Roman"/>
      <w:sz w:val="18"/>
      <w:szCs w:val="21"/>
    </w:rPr>
  </w:style>
  <w:style w:type="paragraph" w:styleId="34">
    <w:name w:val="annotation subject"/>
    <w:basedOn w:val="15"/>
    <w:next w:val="15"/>
    <w:semiHidden/>
    <w:qFormat/>
    <w:uiPriority w:val="0"/>
    <w:rPr>
      <w:b/>
      <w:bCs/>
    </w:rPr>
  </w:style>
  <w:style w:type="table" w:styleId="36">
    <w:name w:val="Table Grid"/>
    <w:basedOn w:val="35"/>
    <w:qFormat/>
    <w:uiPriority w:val="0"/>
    <w:pPr>
      <w:widowControl w:val="0"/>
      <w:snapToGrid w:val="0"/>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7">
    <w:name w:val="Table Professional"/>
    <w:basedOn w:val="35"/>
    <w:qFormat/>
    <w:uiPriority w:val="0"/>
    <w:pPr>
      <w:widowControl w:val="0"/>
      <w:adjustRightInd w:val="0"/>
      <w:spacing w:before="120" w:beforeLines="50" w:line="300" w:lineRule="auto"/>
      <w:ind w:firstLine="480" w:firstLineChars="200"/>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character" w:styleId="39">
    <w:name w:val="page number"/>
    <w:qFormat/>
    <w:uiPriority w:val="0"/>
    <w:rPr>
      <w:rFonts w:eastAsia="仿宋_GB2312"/>
      <w:spacing w:val="0"/>
      <w:sz w:val="21"/>
    </w:rPr>
  </w:style>
  <w:style w:type="character" w:styleId="40">
    <w:name w:val="FollowedHyperlink"/>
    <w:qFormat/>
    <w:uiPriority w:val="0"/>
    <w:rPr>
      <w:color w:val="800080"/>
      <w:u w:val="single"/>
    </w:rPr>
  </w:style>
  <w:style w:type="character" w:styleId="41">
    <w:name w:val="Hyperlink"/>
    <w:qFormat/>
    <w:uiPriority w:val="99"/>
    <w:rPr>
      <w:rFonts w:ascii="Times New Roman" w:hAnsi="Times New Roman" w:eastAsia="宋体"/>
      <w:color w:val="0000FF"/>
      <w:sz w:val="24"/>
      <w:szCs w:val="24"/>
      <w:u w:val="single"/>
    </w:rPr>
  </w:style>
  <w:style w:type="character" w:styleId="42">
    <w:name w:val="annotation reference"/>
    <w:semiHidden/>
    <w:qFormat/>
    <w:uiPriority w:val="0"/>
    <w:rPr>
      <w:sz w:val="21"/>
      <w:szCs w:val="21"/>
    </w:rPr>
  </w:style>
  <w:style w:type="paragraph" w:customStyle="1" w:styleId="43">
    <w:name w:val="目录"/>
    <w:basedOn w:val="1"/>
    <w:next w:val="1"/>
    <w:semiHidden/>
    <w:qFormat/>
    <w:uiPriority w:val="0"/>
    <w:pPr>
      <w:spacing w:before="360" w:after="360" w:line="500" w:lineRule="atLeast"/>
      <w:ind w:firstLine="0" w:firstLineChars="0"/>
      <w:jc w:val="center"/>
    </w:pPr>
    <w:rPr>
      <w:rFonts w:ascii="仿宋_GB2312"/>
      <w:spacing w:val="20"/>
      <w:szCs w:val="24"/>
    </w:rPr>
  </w:style>
  <w:style w:type="paragraph" w:customStyle="1" w:styleId="44">
    <w:name w:val="样式 标题 8插图名 + 段前: 0.5 行"/>
    <w:basedOn w:val="9"/>
    <w:qFormat/>
    <w:uiPriority w:val="0"/>
    <w:pPr>
      <w:numPr>
        <w:ilvl w:val="0"/>
        <w:numId w:val="0"/>
      </w:numPr>
    </w:pPr>
    <w:rPr>
      <w:rFonts w:cs="宋体"/>
      <w:szCs w:val="20"/>
    </w:rPr>
  </w:style>
  <w:style w:type="paragraph" w:customStyle="1" w:styleId="45">
    <w:name w:val="表格（小四号字）"/>
    <w:basedOn w:val="1"/>
    <w:qFormat/>
    <w:uiPriority w:val="0"/>
    <w:pPr>
      <w:keepNext/>
      <w:spacing w:before="40" w:after="40" w:line="240" w:lineRule="auto"/>
      <w:ind w:firstLine="0" w:firstLineChars="0"/>
      <w:jc w:val="center"/>
    </w:pPr>
  </w:style>
  <w:style w:type="paragraph" w:customStyle="1" w:styleId="46">
    <w:name w:val="标准"/>
    <w:basedOn w:val="26"/>
    <w:qFormat/>
    <w:uiPriority w:val="0"/>
    <w:pPr>
      <w:pBdr>
        <w:bottom w:val="none" w:color="auto" w:sz="0" w:space="0"/>
      </w:pBdr>
      <w:tabs>
        <w:tab w:val="center" w:pos="4153"/>
        <w:tab w:val="right" w:pos="8306"/>
      </w:tabs>
      <w:autoSpaceDE w:val="0"/>
      <w:autoSpaceDN w:val="0"/>
      <w:spacing w:after="120" w:line="360" w:lineRule="auto"/>
      <w:jc w:val="center"/>
    </w:pPr>
    <w:rPr>
      <w:rFonts w:hAnsi="Tms Rmn"/>
      <w:b/>
      <w:color w:val="000000"/>
      <w:spacing w:val="20"/>
      <w:sz w:val="32"/>
    </w:rPr>
  </w:style>
  <w:style w:type="paragraph" w:customStyle="1" w:styleId="47">
    <w:name w:val="样式 标题 1 + 段前: 0.5 行"/>
    <w:basedOn w:val="2"/>
    <w:qFormat/>
    <w:uiPriority w:val="0"/>
    <w:pPr>
      <w:spacing w:before="50"/>
      <w:ind w:left="198"/>
    </w:pPr>
    <w:rPr>
      <w:rFonts w:cs="宋体"/>
      <w:szCs w:val="20"/>
    </w:rPr>
  </w:style>
  <w:style w:type="paragraph" w:customStyle="1" w:styleId="48">
    <w:name w:val="可研正文"/>
    <w:basedOn w:val="16"/>
    <w:qFormat/>
    <w:uiPriority w:val="0"/>
    <w:pPr>
      <w:adjustRightInd/>
      <w:spacing w:before="0" w:beforeLines="0" w:after="0" w:line="440" w:lineRule="exact"/>
      <w:ind w:firstLine="567" w:firstLineChars="0"/>
      <w:textAlignment w:val="auto"/>
    </w:pPr>
    <w:rPr>
      <w:rFonts w:ascii="仿宋_GB2312" w:hAnsi="Times New Roman" w:eastAsia="仿宋_GB2312"/>
      <w:kern w:val="2"/>
      <w:sz w:val="28"/>
      <w:lang w:val="en-US"/>
    </w:rPr>
  </w:style>
  <w:style w:type="paragraph" w:customStyle="1" w:styleId="49">
    <w:name w:val="样式 标题 1H1PIM 1h111. heading 1标准章Huvudrubrikh11h12h13h..."/>
    <w:basedOn w:val="2"/>
    <w:qFormat/>
    <w:uiPriority w:val="0"/>
    <w:pPr>
      <w:spacing w:before="50"/>
      <w:ind w:left="198"/>
    </w:pPr>
    <w:rPr>
      <w:rFonts w:cs="宋体"/>
      <w:szCs w:val="20"/>
    </w:rPr>
  </w:style>
  <w:style w:type="paragraph" w:customStyle="1" w:styleId="50">
    <w:name w:val="表正文"/>
    <w:basedOn w:val="1"/>
    <w:next w:val="12"/>
    <w:qFormat/>
    <w:uiPriority w:val="0"/>
    <w:pPr>
      <w:adjustRightInd/>
      <w:spacing w:before="0" w:beforeLines="0" w:line="240" w:lineRule="auto"/>
      <w:ind w:firstLine="0" w:firstLineChars="0"/>
      <w:textAlignment w:val="auto"/>
    </w:pPr>
    <w:rPr>
      <w:rFonts w:ascii="宋体" w:hAnsi="宋体"/>
      <w:kern w:val="2"/>
      <w:lang w:val="en-US"/>
    </w:rPr>
  </w:style>
  <w:style w:type="paragraph" w:customStyle="1" w:styleId="51">
    <w:name w:val="Char Char Char Char Char Char Char Char Char Char Char Char Char Char Char Char 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paragraph" w:customStyle="1" w:styleId="52">
    <w:name w:val="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paragraph" w:customStyle="1" w:styleId="53">
    <w:name w:val="Char Char Char 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paragraph" w:customStyle="1" w:styleId="54">
    <w:name w:val="Char Char Char Char 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character" w:customStyle="1" w:styleId="55">
    <w:name w:val="样式 (西文) 仿宋_GB2312 黑色"/>
    <w:qFormat/>
    <w:uiPriority w:val="0"/>
    <w:rPr>
      <w:rFonts w:ascii="宋体" w:eastAsia="宋体"/>
      <w:color w:val="000000"/>
    </w:rPr>
  </w:style>
  <w:style w:type="paragraph" w:customStyle="1" w:styleId="56">
    <w:name w:val="段"/>
    <w:link w:val="57"/>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57">
    <w:name w:val="段 Char"/>
    <w:link w:val="56"/>
    <w:qFormat/>
    <w:uiPriority w:val="0"/>
    <w:rPr>
      <w:rFonts w:ascii="宋体"/>
      <w:sz w:val="21"/>
      <w:lang w:val="en-US" w:eastAsia="zh-CN" w:bidi="ar-SA"/>
    </w:rPr>
  </w:style>
  <w:style w:type="paragraph" w:customStyle="1" w:styleId="58">
    <w:name w:val="默认段落字体 Para Char Char Char Char Char Char Char Char Char Char"/>
    <w:basedOn w:val="1"/>
    <w:qFormat/>
    <w:uiPriority w:val="0"/>
    <w:pPr>
      <w:adjustRightInd/>
      <w:spacing w:before="0" w:beforeLines="0" w:line="240" w:lineRule="auto"/>
      <w:ind w:firstLine="0" w:firstLineChars="0"/>
      <w:textAlignment w:val="auto"/>
    </w:pPr>
    <w:rPr>
      <w:rFonts w:ascii="Tahoma" w:hAnsi="Tahoma"/>
      <w:kern w:val="2"/>
      <w:lang w:val="en-US"/>
    </w:rPr>
  </w:style>
  <w:style w:type="paragraph" w:customStyle="1" w:styleId="59">
    <w:name w:val="test"/>
    <w:basedOn w:val="4"/>
    <w:qFormat/>
    <w:uiPriority w:val="0"/>
    <w:pPr>
      <w:tabs>
        <w:tab w:val="left" w:pos="720"/>
      </w:tabs>
      <w:spacing w:after="120"/>
      <w:ind w:left="720" w:right="100" w:rightChars="100" w:hanging="720"/>
    </w:pPr>
    <w:rPr>
      <w:rFonts w:ascii="Arial" w:cs="Arial"/>
      <w:kern w:val="2"/>
    </w:rPr>
  </w:style>
  <w:style w:type="paragraph" w:customStyle="1" w:styleId="60">
    <w:name w:val="样式 宋体 左  2.25 字符"/>
    <w:basedOn w:val="1"/>
    <w:qFormat/>
    <w:uiPriority w:val="0"/>
    <w:pPr>
      <w:spacing w:before="50"/>
      <w:ind w:firstLine="200"/>
    </w:pPr>
    <w:rPr>
      <w:rFonts w:ascii="宋体" w:hAnsi="宋体" w:cs="宋体"/>
      <w:szCs w:val="24"/>
    </w:rPr>
  </w:style>
  <w:style w:type="paragraph" w:customStyle="1" w:styleId="61">
    <w:name w:val="Char Char Char Char Char Char Char Char Char Char 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character" w:customStyle="1" w:styleId="62">
    <w:name w:val="正文缩进 字符"/>
    <w:link w:val="12"/>
    <w:qFormat/>
    <w:uiPriority w:val="0"/>
    <w:rPr>
      <w:rFonts w:ascii="Times" w:hAnsi="Times" w:eastAsia="宋体"/>
      <w:sz w:val="24"/>
      <w:lang w:val="en-GB" w:eastAsia="zh-CN" w:bidi="ar-SA"/>
    </w:rPr>
  </w:style>
  <w:style w:type="character" w:customStyle="1" w:styleId="63">
    <w:name w:val="题注 字符"/>
    <w:link w:val="13"/>
    <w:qFormat/>
    <w:uiPriority w:val="0"/>
    <w:rPr>
      <w:rFonts w:ascii="仿宋体" w:hAnsi="Arial" w:eastAsia="仿宋体"/>
      <w:sz w:val="28"/>
      <w:lang w:val="en-US" w:eastAsia="zh-CN" w:bidi="ar-SA"/>
    </w:rPr>
  </w:style>
  <w:style w:type="paragraph" w:customStyle="1" w:styleId="64">
    <w:name w:val="文档正文"/>
    <w:basedOn w:val="1"/>
    <w:link w:val="79"/>
    <w:qFormat/>
    <w:uiPriority w:val="0"/>
    <w:pPr>
      <w:spacing w:before="0" w:beforeLines="0" w:line="480" w:lineRule="atLeast"/>
      <w:ind w:firstLine="567" w:firstLineChars="0"/>
    </w:pPr>
    <w:rPr>
      <w:rFonts w:ascii="长城仿宋" w:hAnsi="Times New Roman"/>
      <w:lang w:val="en-US"/>
    </w:rPr>
  </w:style>
  <w:style w:type="paragraph" w:customStyle="1" w:styleId="65">
    <w:name w:val="Char Char Char Char Char Char"/>
    <w:basedOn w:val="1"/>
    <w:qFormat/>
    <w:uiPriority w:val="0"/>
    <w:pPr>
      <w:adjustRightInd/>
      <w:snapToGrid w:val="0"/>
      <w:spacing w:before="0" w:beforeLines="0" w:line="360" w:lineRule="auto"/>
      <w:ind w:firstLine="0" w:firstLineChars="0"/>
      <w:textAlignment w:val="auto"/>
    </w:pPr>
    <w:rPr>
      <w:rFonts w:ascii="Tahoma" w:hAnsi="Tahoma" w:eastAsia="仿宋_GB2312"/>
      <w:b/>
      <w:kern w:val="2"/>
      <w:lang w:val="en-US"/>
    </w:rPr>
  </w:style>
  <w:style w:type="paragraph" w:customStyle="1" w:styleId="66">
    <w:name w:val="Block Label"/>
    <w:basedOn w:val="1"/>
    <w:next w:val="1"/>
    <w:qFormat/>
    <w:uiPriority w:val="0"/>
    <w:pPr>
      <w:keepNext/>
      <w:keepLines/>
      <w:widowControl/>
      <w:topLinePunct/>
      <w:snapToGrid w:val="0"/>
      <w:spacing w:before="300" w:beforeLines="0" w:after="80" w:line="240" w:lineRule="atLeast"/>
      <w:ind w:firstLine="0" w:firstLineChars="0"/>
      <w:jc w:val="left"/>
      <w:textAlignment w:val="auto"/>
      <w:outlineLvl w:val="3"/>
    </w:pPr>
    <w:rPr>
      <w:rFonts w:ascii="Book Antiqua" w:hAnsi="Book Antiqua" w:eastAsia="黑体" w:cs="Book Antiqua"/>
      <w:bCs/>
      <w:sz w:val="26"/>
      <w:szCs w:val="26"/>
      <w:lang w:val="en-US"/>
    </w:rPr>
  </w:style>
  <w:style w:type="paragraph" w:customStyle="1" w:styleId="67">
    <w:name w:val="Figure Description"/>
    <w:next w:val="1"/>
    <w:qFormat/>
    <w:uiPriority w:val="0"/>
    <w:pPr>
      <w:keepNext/>
      <w:adjustRightInd w:val="0"/>
      <w:snapToGrid w:val="0"/>
      <w:spacing w:before="320" w:after="80" w:line="240" w:lineRule="atLeast"/>
      <w:ind w:left="1701"/>
      <w:outlineLvl w:val="7"/>
    </w:pPr>
    <w:rPr>
      <w:rFonts w:ascii="Times New Roman" w:hAnsi="Times New Roman" w:eastAsia="黑体" w:cs="Arial"/>
      <w:spacing w:val="-4"/>
      <w:kern w:val="2"/>
      <w:sz w:val="21"/>
      <w:szCs w:val="21"/>
      <w:lang w:val="en-US" w:eastAsia="zh-CN" w:bidi="ar-SA"/>
    </w:rPr>
  </w:style>
  <w:style w:type="paragraph" w:customStyle="1" w:styleId="68">
    <w:name w:val="Item Step"/>
    <w:qFormat/>
    <w:uiPriority w:val="0"/>
    <w:pPr>
      <w:tabs>
        <w:tab w:val="left" w:pos="2126"/>
      </w:tabs>
      <w:adjustRightInd w:val="0"/>
      <w:snapToGrid w:val="0"/>
      <w:spacing w:before="80" w:after="80" w:line="240" w:lineRule="atLeast"/>
      <w:ind w:left="2126" w:hanging="425"/>
      <w:jc w:val="both"/>
      <w:outlineLvl w:val="6"/>
    </w:pPr>
    <w:rPr>
      <w:rFonts w:ascii="Times New Roman" w:hAnsi="Times New Roman" w:eastAsia="宋体" w:cs="Arial"/>
      <w:sz w:val="21"/>
      <w:szCs w:val="21"/>
      <w:lang w:val="en-US" w:eastAsia="zh-CN" w:bidi="ar-SA"/>
    </w:rPr>
  </w:style>
  <w:style w:type="paragraph" w:customStyle="1" w:styleId="69">
    <w:name w:val="Step"/>
    <w:basedOn w:val="1"/>
    <w:qFormat/>
    <w:uiPriority w:val="0"/>
    <w:pPr>
      <w:widowControl/>
      <w:tabs>
        <w:tab w:val="left" w:pos="1701"/>
      </w:tabs>
      <w:topLinePunct/>
      <w:snapToGrid w:val="0"/>
      <w:spacing w:before="160" w:beforeLines="0" w:after="160" w:line="240" w:lineRule="atLeast"/>
      <w:ind w:left="1701" w:hanging="159" w:firstLineChars="0"/>
      <w:jc w:val="left"/>
      <w:textAlignment w:val="auto"/>
      <w:outlineLvl w:val="5"/>
    </w:pPr>
    <w:rPr>
      <w:rFonts w:ascii="Times New Roman" w:hAnsi="Times New Roman" w:cs="Arial"/>
      <w:snapToGrid w:val="0"/>
      <w:sz w:val="21"/>
      <w:szCs w:val="21"/>
      <w:lang w:val="en-US"/>
    </w:rPr>
  </w:style>
  <w:style w:type="paragraph" w:customStyle="1" w:styleId="70">
    <w:name w:val="Table Description"/>
    <w:basedOn w:val="1"/>
    <w:next w:val="1"/>
    <w:qFormat/>
    <w:uiPriority w:val="0"/>
    <w:pPr>
      <w:keepNext/>
      <w:widowControl/>
      <w:topLinePunct/>
      <w:snapToGrid w:val="0"/>
      <w:spacing w:before="320" w:beforeLines="0" w:after="80" w:line="240" w:lineRule="atLeast"/>
      <w:ind w:left="1701" w:firstLine="0" w:firstLineChars="0"/>
      <w:jc w:val="left"/>
      <w:textAlignment w:val="auto"/>
      <w:outlineLvl w:val="7"/>
    </w:pPr>
    <w:rPr>
      <w:rFonts w:ascii="Times New Roman" w:hAnsi="Times New Roman" w:eastAsia="黑体" w:cs="Arial"/>
      <w:spacing w:val="-4"/>
      <w:kern w:val="2"/>
      <w:sz w:val="21"/>
      <w:szCs w:val="21"/>
      <w:lang w:val="en-US"/>
    </w:rPr>
  </w:style>
  <w:style w:type="paragraph" w:customStyle="1" w:styleId="71">
    <w:name w:val="默认段落字体 Para Char Char Char Char Char Char Char Char Char"/>
    <w:basedOn w:val="1"/>
    <w:qFormat/>
    <w:uiPriority w:val="0"/>
    <w:pPr>
      <w:widowControl/>
      <w:topLinePunct/>
      <w:snapToGrid w:val="0"/>
      <w:spacing w:before="80" w:beforeLines="0" w:after="80" w:line="240" w:lineRule="atLeast"/>
      <w:ind w:left="567" w:firstLine="0" w:firstLineChars="0"/>
      <w:jc w:val="left"/>
      <w:textAlignment w:val="auto"/>
    </w:pPr>
    <w:rPr>
      <w:rFonts w:ascii="Tahoma" w:hAnsi="Tahoma" w:cs="Arial"/>
      <w:kern w:val="2"/>
      <w:lang w:val="en-US"/>
    </w:rPr>
  </w:style>
  <w:style w:type="table" w:customStyle="1" w:styleId="72">
    <w:name w:val="Table"/>
    <w:basedOn w:val="37"/>
    <w:qFormat/>
    <w:uiPriority w:val="0"/>
    <w:pPr>
      <w:adjustRightInd/>
      <w:spacing w:before="0" w:beforeLines="0" w:line="240" w:lineRule="auto"/>
      <w:ind w:firstLine="0" w:firstLineChars="0"/>
      <w:jc w:val="left"/>
      <w:textAlignment w:val="auto"/>
    </w:pPr>
    <w:rPr>
      <w:rFonts w:cs="Arial"/>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paragraph" w:customStyle="1" w:styleId="73">
    <w:name w:val="Table Text"/>
    <w:basedOn w:val="1"/>
    <w:link w:val="74"/>
    <w:qFormat/>
    <w:uiPriority w:val="0"/>
    <w:pPr>
      <w:topLinePunct/>
      <w:snapToGrid w:val="0"/>
      <w:spacing w:before="80" w:beforeLines="0" w:after="80" w:line="240" w:lineRule="atLeast"/>
      <w:ind w:firstLine="0" w:firstLineChars="0"/>
      <w:jc w:val="left"/>
      <w:textAlignment w:val="auto"/>
    </w:pPr>
    <w:rPr>
      <w:rFonts w:ascii="Times New Roman" w:hAnsi="Times New Roman" w:cs="Arial"/>
      <w:snapToGrid w:val="0"/>
      <w:sz w:val="21"/>
      <w:szCs w:val="21"/>
      <w:lang w:val="en-US"/>
    </w:rPr>
  </w:style>
  <w:style w:type="character" w:customStyle="1" w:styleId="74">
    <w:name w:val="Table Text Char1"/>
    <w:link w:val="73"/>
    <w:qFormat/>
    <w:uiPriority w:val="0"/>
    <w:rPr>
      <w:rFonts w:eastAsia="宋体" w:cs="Arial"/>
      <w:snapToGrid w:val="0"/>
      <w:sz w:val="21"/>
      <w:szCs w:val="21"/>
      <w:lang w:val="en-US" w:eastAsia="zh-CN" w:bidi="ar-SA"/>
    </w:rPr>
  </w:style>
  <w:style w:type="character" w:customStyle="1" w:styleId="75">
    <w:name w:val="SJ-标题2 Char"/>
    <w:link w:val="76"/>
    <w:qFormat/>
    <w:uiPriority w:val="0"/>
    <w:rPr>
      <w:rFonts w:ascii="宋体" w:hAnsi="宋体" w:eastAsia="黑体"/>
      <w:kern w:val="2"/>
      <w:sz w:val="24"/>
      <w:lang w:val="en-US" w:eastAsia="zh-CN" w:bidi="ar-SA"/>
    </w:rPr>
  </w:style>
  <w:style w:type="paragraph" w:customStyle="1" w:styleId="76">
    <w:name w:val="SJ-标题2"/>
    <w:link w:val="75"/>
    <w:qFormat/>
    <w:uiPriority w:val="0"/>
    <w:pPr>
      <w:keepLines/>
      <w:widowControl w:val="0"/>
      <w:spacing w:before="200" w:after="200"/>
      <w:ind w:left="198" w:firstLine="454"/>
      <w:outlineLvl w:val="1"/>
    </w:pPr>
    <w:rPr>
      <w:rFonts w:ascii="宋体" w:hAnsi="宋体" w:eastAsia="黑体" w:cs="Times New Roman"/>
      <w:kern w:val="2"/>
      <w:sz w:val="24"/>
      <w:lang w:val="en-US" w:eastAsia="zh-CN" w:bidi="ar-SA"/>
    </w:rPr>
  </w:style>
  <w:style w:type="paragraph" w:customStyle="1" w:styleId="77">
    <w:name w:val="SJ-标题4"/>
    <w:basedOn w:val="1"/>
    <w:qFormat/>
    <w:uiPriority w:val="0"/>
    <w:pPr>
      <w:keepLines/>
      <w:numPr>
        <w:ilvl w:val="3"/>
        <w:numId w:val="3"/>
      </w:numPr>
      <w:adjustRightInd/>
      <w:spacing w:beforeLines="0" w:after="120" w:line="240" w:lineRule="auto"/>
      <w:ind w:firstLine="0" w:firstLineChars="0"/>
      <w:jc w:val="left"/>
      <w:textAlignment w:val="auto"/>
      <w:outlineLvl w:val="3"/>
    </w:pPr>
    <w:rPr>
      <w:rFonts w:ascii="宋体" w:hAnsi="宋体" w:eastAsia="黑体"/>
      <w:sz w:val="20"/>
      <w:lang w:val="en-US"/>
    </w:rPr>
  </w:style>
  <w:style w:type="paragraph" w:customStyle="1" w:styleId="78">
    <w:name w:val="SJ-标题6"/>
    <w:basedOn w:val="1"/>
    <w:qFormat/>
    <w:uiPriority w:val="0"/>
    <w:pPr>
      <w:widowControl/>
      <w:tabs>
        <w:tab w:val="left" w:pos="360"/>
      </w:tabs>
      <w:adjustRightInd/>
      <w:spacing w:before="0" w:beforeLines="0" w:line="240" w:lineRule="auto"/>
      <w:ind w:firstLine="360" w:firstLineChars="0"/>
      <w:textAlignment w:val="auto"/>
    </w:pPr>
    <w:rPr>
      <w:rFonts w:ascii="Times New Roman" w:hAnsi="Times New Roman"/>
      <w:kern w:val="2"/>
      <w:lang w:val="en-US"/>
    </w:rPr>
  </w:style>
  <w:style w:type="character" w:customStyle="1" w:styleId="79">
    <w:name w:val="文档正文 Char1"/>
    <w:link w:val="64"/>
    <w:qFormat/>
    <w:uiPriority w:val="0"/>
    <w:rPr>
      <w:rFonts w:ascii="长城仿宋" w:eastAsia="宋体"/>
      <w:sz w:val="24"/>
      <w:lang w:val="en-US" w:eastAsia="zh-CN" w:bidi="ar-SA"/>
    </w:rPr>
  </w:style>
  <w:style w:type="paragraph" w:customStyle="1" w:styleId="80">
    <w:name w:val="Char Char Char Char1"/>
    <w:basedOn w:val="1"/>
    <w:uiPriority w:val="0"/>
    <w:pPr>
      <w:adjustRightInd/>
      <w:spacing w:before="0" w:beforeLines="0" w:line="240" w:lineRule="auto"/>
      <w:ind w:firstLine="0" w:firstLineChars="0"/>
      <w:textAlignment w:val="auto"/>
    </w:pPr>
    <w:rPr>
      <w:rFonts w:ascii="Tahoma" w:hAnsi="Tahoma"/>
      <w:kern w:val="2"/>
      <w:lang w:val="en-US"/>
    </w:rPr>
  </w:style>
  <w:style w:type="paragraph" w:customStyle="1" w:styleId="81">
    <w:name w:val="封面上部"/>
    <w:basedOn w:val="1"/>
    <w:qFormat/>
    <w:uiPriority w:val="0"/>
    <w:pPr>
      <w:spacing w:before="0" w:beforeLines="0" w:line="360" w:lineRule="auto"/>
      <w:ind w:firstLine="0" w:firstLineChars="0"/>
      <w:jc w:val="center"/>
    </w:pPr>
    <w:rPr>
      <w:rFonts w:ascii="Arial" w:hAnsi="Times New Roman" w:eastAsia="黑体"/>
      <w:sz w:val="32"/>
      <w:lang w:val="en-US"/>
    </w:rPr>
  </w:style>
  <w:style w:type="paragraph" w:styleId="82">
    <w:name w:val="List Paragraph"/>
    <w:basedOn w:val="1"/>
    <w:qFormat/>
    <w:uiPriority w:val="34"/>
    <w:pPr>
      <w:ind w:firstLine="420"/>
    </w:pPr>
  </w:style>
  <w:style w:type="character" w:customStyle="1" w:styleId="83">
    <w:name w:val="页脚 字符"/>
    <w:link w:val="25"/>
    <w:uiPriority w:val="99"/>
    <w:rPr>
      <w:rFonts w:ascii="Times" w:hAnsi="Times"/>
      <w:b/>
      <w:sz w:val="24"/>
      <w:lang w:val="en-GB"/>
    </w:rPr>
  </w:style>
  <w:style w:type="paragraph" w:customStyle="1" w:styleId="84">
    <w:name w:val="正文1"/>
    <w:uiPriority w:val="0"/>
    <w:pPr>
      <w:widowControl w:val="0"/>
      <w:adjustRightInd w:val="0"/>
      <w:spacing w:line="0" w:lineRule="atLeast"/>
      <w:textAlignment w:val="baseline"/>
    </w:pPr>
    <w:rPr>
      <w:rFonts w:ascii="宋体" w:hAnsi="Times New Roman" w:eastAsia="宋体" w:cs="Times New Roman"/>
      <w:sz w:val="34"/>
      <w:lang w:val="en-US" w:eastAsia="zh-CN" w:bidi="ar-SA"/>
    </w:rPr>
  </w:style>
  <w:style w:type="character" w:customStyle="1" w:styleId="85">
    <w:name w:val="标题 1 字符"/>
    <w:link w:val="2"/>
    <w:uiPriority w:val="0"/>
    <w:rPr>
      <w:rFonts w:ascii="Times" w:hAnsi="Times"/>
      <w:b/>
      <w:bCs/>
      <w:kern w:val="44"/>
      <w:sz w:val="32"/>
      <w:szCs w:val="32"/>
      <w:lang w:val="en-GB"/>
    </w:rPr>
  </w:style>
  <w:style w:type="character" w:customStyle="1" w:styleId="86">
    <w:name w:val="发布"/>
    <w:uiPriority w:val="0"/>
    <w:rPr>
      <w:rFonts w:ascii="黑体" w:eastAsia="黑体"/>
      <w:spacing w:val="85"/>
      <w:w w:val="100"/>
      <w:position w:val="3"/>
      <w:sz w:val="28"/>
      <w:szCs w:val="28"/>
    </w:rPr>
  </w:style>
  <w:style w:type="character" w:customStyle="1" w:styleId="87">
    <w:name w:val="标题 2 字符"/>
    <w:link w:val="3"/>
    <w:uiPriority w:val="0"/>
    <w:rPr>
      <w:rFonts w:ascii="宋体" w:hAnsi="宋体"/>
      <w:b/>
      <w:bCs/>
      <w:kern w:val="28"/>
      <w:sz w:val="24"/>
      <w:szCs w:val="28"/>
      <w:lang w:val="en-GB"/>
    </w:rPr>
  </w:style>
  <w:style w:type="character" w:customStyle="1" w:styleId="88">
    <w:name w:val="标题 3 字符"/>
    <w:link w:val="4"/>
    <w:uiPriority w:val="0"/>
    <w:rPr>
      <w:b/>
      <w:kern w:val="28"/>
      <w:sz w:val="24"/>
      <w:szCs w:val="24"/>
    </w:rPr>
  </w:style>
  <w:style w:type="paragraph" w:customStyle="1" w:styleId="89">
    <w:name w:val="表1"/>
    <w:next w:val="56"/>
    <w:qFormat/>
    <w:uiPriority w:val="0"/>
    <w:pPr>
      <w:autoSpaceDE w:val="0"/>
      <w:autoSpaceDN w:val="0"/>
      <w:spacing w:before="120" w:beforeLines="50" w:after="120" w:afterLines="50" w:line="276" w:lineRule="auto"/>
      <w:jc w:val="center"/>
      <w:textAlignment w:val="bottom"/>
    </w:pPr>
    <w:rPr>
      <w:rFonts w:ascii="宋体_GB2312" w:hAnsi="宋体_GB2312" w:eastAsia="宋体_GB2312" w:cs="Times New Roman"/>
      <w:sz w:val="21"/>
      <w:lang w:val="en-US" w:eastAsia="zh-CN" w:bidi="ar-SA"/>
    </w:rPr>
  </w:style>
  <w:style w:type="paragraph" w:customStyle="1" w:styleId="90">
    <w:name w:val="TOC 标题1"/>
    <w:basedOn w:val="2"/>
    <w:next w:val="1"/>
    <w:unhideWhenUsed/>
    <w:qFormat/>
    <w:uiPriority w:val="39"/>
    <w:pPr>
      <w:widowControl/>
      <w:adjustRightInd/>
      <w:spacing w:before="240" w:beforeLines="0" w:after="0" w:line="259" w:lineRule="auto"/>
      <w:jc w:val="left"/>
      <w:textAlignment w:val="auto"/>
      <w:outlineLvl w:val="9"/>
    </w:pPr>
    <w:rPr>
      <w:rFonts w:asciiTheme="majorHAnsi" w:hAnsiTheme="majorHAnsi" w:eastAsiaTheme="majorEastAsia" w:cstheme="majorBidi"/>
      <w:b w:val="0"/>
      <w:bCs w:val="0"/>
      <w:color w:val="2E75B6" w:themeColor="accent1" w:themeShade="BF"/>
      <w:kern w:val="0"/>
      <w:lang w:val="en-US"/>
    </w:rPr>
  </w:style>
  <w:style w:type="character" w:customStyle="1" w:styleId="91">
    <w:name w:val="apple-converted-space"/>
    <w:basedOn w:val="38"/>
    <w:uiPriority w:val="0"/>
  </w:style>
  <w:style w:type="paragraph" w:customStyle="1" w:styleId="92">
    <w:name w:val="_Style 91"/>
    <w:basedOn w:val="1"/>
    <w:next w:val="82"/>
    <w:qFormat/>
    <w:uiPriority w:val="34"/>
    <w:pPr>
      <w:adjustRightInd/>
      <w:spacing w:before="0" w:beforeLines="0" w:line="240" w:lineRule="auto"/>
      <w:ind w:firstLine="420"/>
      <w:textAlignment w:val="auto"/>
    </w:pPr>
    <w:rPr>
      <w:rFonts w:ascii="Calibri" w:hAnsi="Calibri"/>
      <w:kern w:val="2"/>
      <w:sz w:val="21"/>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006&#24180;&#24037;&#20316;\2006&#24180;&#20843;&#21306;AD&#25509;&#20837;&#20108;&#26399;\2006&#24180;&#20843;&#21306;AD&#20108;&#26399;&#31532;&#20108;&#25209;&#24037;&#31243;\&#21487;&#30740;\&#21487;&#30740;&#35828;&#26126;.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411E5A-693E-459A-9E65-F489A0FA5AF7}">
  <ds:schemaRefs/>
</ds:datastoreItem>
</file>

<file path=docProps/app.xml><?xml version="1.0" encoding="utf-8"?>
<Properties xmlns="http://schemas.openxmlformats.org/officeDocument/2006/extended-properties" xmlns:vt="http://schemas.openxmlformats.org/officeDocument/2006/docPropsVTypes">
  <Template>可研说明.doc.dot</Template>
  <Pages>21</Pages>
  <Words>2119</Words>
  <Characters>12082</Characters>
  <Lines>100</Lines>
  <Paragraphs>28</Paragraphs>
  <TotalTime>1</TotalTime>
  <ScaleCrop>false</ScaleCrop>
  <LinksUpToDate>false</LinksUpToDate>
  <CharactersWithSpaces>14173</CharactersWithSpaces>
  <Application>WPS Office_11.1.0.10168_F1E327BC-269C-435d-A152-05C5408002CA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2020-11-18T02:55:00Z</dcterms:created>
  <dc:creator>unicom67</dc:creator>
  <cp:lastModifiedBy>李洪栋-网研院</cp:lastModifiedBy>
  <cp:lastPrinted>2010-09-01T00:56:00Z</cp:lastPrinted>
  <dcterms:modified xsi:type="dcterms:W3CDTF">2021-03-12T07:55:14Z</dcterms:modified>
  <dc:title>光分路器技术规范书</dc:title>
  <cp:revision>147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2052-11.1.0.10168</vt:lpwstr>
  </property>
</Properties>
</file>