
<file path=[Content_Types].xml><?xml version="1.0" encoding="utf-8"?>
<Types xmlns="http://schemas.openxmlformats.org/package/2006/content-types">
  <Default Extension="xml" ContentType="application/xml"/>
  <Default Extension="wmf" ContentType="image/x-wmf"/>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pacing w:line="360" w:lineRule="auto"/>
        <w:textAlignment w:val="baseline"/>
        <w:rPr>
          <w:rFonts w:ascii="宋体_GB2312" w:hAnsi="宋体_GB2312" w:eastAsia="宋体_GB2312" w:cs="宋体"/>
          <w:b/>
          <w:bCs/>
          <w:kern w:val="0"/>
          <w:sz w:val="44"/>
          <w:szCs w:val="44"/>
        </w:rPr>
      </w:pPr>
    </w:p>
    <w:p>
      <w:pPr>
        <w:adjustRightInd w:val="0"/>
        <w:spacing w:line="360" w:lineRule="auto"/>
        <w:jc w:val="center"/>
        <w:textAlignment w:val="baseline"/>
        <w:rPr>
          <w:rFonts w:ascii="宋体_GB2312" w:hAnsi="宋体_GB2312" w:eastAsia="宋体_GB2312" w:cs="宋体"/>
          <w:b/>
          <w:bCs/>
          <w:kern w:val="0"/>
          <w:sz w:val="44"/>
          <w:szCs w:val="44"/>
        </w:rPr>
      </w:pPr>
      <w:r>
        <w:rPr>
          <w:rFonts w:hint="eastAsia" w:ascii="宋体_GB2312" w:hAnsi="宋体_GB2312" w:eastAsia="宋体_GB2312" w:cs="宋体"/>
          <w:b/>
          <w:bCs/>
          <w:kern w:val="0"/>
          <w:sz w:val="44"/>
          <w:szCs w:val="44"/>
        </w:rPr>
        <w:t>中国联通传统光缆交接箱技术规范书（2020版）</w:t>
      </w:r>
    </w:p>
    <w:p>
      <w:pPr>
        <w:pStyle w:val="44"/>
        <w:rPr>
          <w:rFonts w:ascii="宋体_GB2312" w:hAnsi="宋体_GB2312" w:eastAsia="宋体_GB2312"/>
        </w:rPr>
      </w:pPr>
    </w:p>
    <w:p>
      <w:pPr>
        <w:pStyle w:val="44"/>
        <w:rPr>
          <w:rFonts w:ascii="宋体_GB2312" w:hAnsi="宋体_GB2312" w:eastAsia="宋体_GB2312"/>
        </w:rPr>
      </w:pPr>
    </w:p>
    <w:p>
      <w:pPr>
        <w:pStyle w:val="44"/>
        <w:rPr>
          <w:rFonts w:ascii="宋体_GB2312" w:hAnsi="宋体_GB2312" w:eastAsia="宋体_GB2312"/>
        </w:rPr>
      </w:pPr>
    </w:p>
    <w:p>
      <w:pPr>
        <w:pStyle w:val="44"/>
        <w:rPr>
          <w:rFonts w:ascii="宋体_GB2312" w:hAnsi="宋体_GB2312" w:eastAsia="宋体_GB2312"/>
        </w:rPr>
      </w:pPr>
    </w:p>
    <w:p>
      <w:pPr>
        <w:pStyle w:val="44"/>
        <w:rPr>
          <w:rFonts w:ascii="宋体_GB2312" w:hAnsi="宋体_GB2312" w:eastAsia="宋体_GB2312"/>
        </w:rPr>
      </w:pPr>
    </w:p>
    <w:p>
      <w:pPr>
        <w:pStyle w:val="44"/>
        <w:rPr>
          <w:rFonts w:ascii="宋体_GB2312" w:hAnsi="宋体_GB2312" w:eastAsia="宋体_GB2312"/>
        </w:rPr>
      </w:pPr>
    </w:p>
    <w:p>
      <w:pPr>
        <w:jc w:val="center"/>
        <w:rPr>
          <w:rFonts w:ascii="宋体_GB2312" w:hAnsi="宋体_GB2312" w:eastAsia="宋体_GB2312" w:cs="宋体"/>
          <w:b/>
          <w:bCs/>
          <w:kern w:val="0"/>
          <w:sz w:val="44"/>
          <w:szCs w:val="44"/>
        </w:rPr>
      </w:pPr>
    </w:p>
    <w:p>
      <w:pPr>
        <w:pStyle w:val="42"/>
        <w:spacing w:line="460" w:lineRule="exact"/>
        <w:ind w:firstLine="1040" w:firstLineChars="200"/>
        <w:rPr>
          <w:rFonts w:ascii="宋体_GB2312" w:hAnsi="宋体_GB2312" w:eastAsia="宋体_GB2312"/>
          <w:sz w:val="52"/>
          <w:szCs w:val="52"/>
        </w:rPr>
      </w:pPr>
    </w:p>
    <w:p>
      <w:pPr>
        <w:pStyle w:val="42"/>
        <w:spacing w:line="460" w:lineRule="exact"/>
        <w:ind w:firstLine="480" w:firstLineChars="200"/>
        <w:rPr>
          <w:rFonts w:ascii="宋体_GB2312" w:hAnsi="宋体_GB2312" w:eastAsia="宋体_GB2312"/>
          <w:sz w:val="24"/>
          <w:szCs w:val="24"/>
        </w:rPr>
      </w:pPr>
    </w:p>
    <w:p>
      <w:pPr>
        <w:pStyle w:val="42"/>
        <w:spacing w:line="460" w:lineRule="exact"/>
        <w:ind w:firstLine="480" w:firstLineChars="200"/>
        <w:rPr>
          <w:rFonts w:ascii="宋体_GB2312" w:hAnsi="宋体_GB2312" w:eastAsia="宋体_GB2312"/>
          <w:sz w:val="24"/>
          <w:szCs w:val="24"/>
        </w:rPr>
      </w:pPr>
    </w:p>
    <w:p>
      <w:pPr>
        <w:pStyle w:val="42"/>
        <w:spacing w:line="460" w:lineRule="exact"/>
        <w:ind w:firstLine="480" w:firstLineChars="200"/>
        <w:rPr>
          <w:rFonts w:ascii="宋体_GB2312" w:hAnsi="宋体_GB2312" w:eastAsia="宋体_GB2312"/>
          <w:sz w:val="24"/>
          <w:szCs w:val="24"/>
        </w:rPr>
      </w:pPr>
    </w:p>
    <w:p>
      <w:pPr>
        <w:pStyle w:val="42"/>
        <w:spacing w:line="460" w:lineRule="exact"/>
        <w:ind w:firstLine="480" w:firstLineChars="200"/>
        <w:rPr>
          <w:rFonts w:ascii="宋体_GB2312" w:hAnsi="宋体_GB2312" w:eastAsia="宋体_GB2312"/>
          <w:sz w:val="24"/>
          <w:szCs w:val="24"/>
        </w:rPr>
      </w:pPr>
    </w:p>
    <w:p>
      <w:pPr>
        <w:pStyle w:val="42"/>
        <w:spacing w:line="460" w:lineRule="exact"/>
        <w:ind w:firstLine="480" w:firstLineChars="200"/>
        <w:rPr>
          <w:rFonts w:ascii="宋体_GB2312" w:hAnsi="宋体_GB2312" w:eastAsia="宋体_GB2312"/>
          <w:sz w:val="24"/>
          <w:szCs w:val="24"/>
        </w:rPr>
      </w:pPr>
    </w:p>
    <w:p>
      <w:pPr>
        <w:pStyle w:val="42"/>
        <w:spacing w:line="460" w:lineRule="exact"/>
        <w:ind w:firstLine="480" w:firstLineChars="200"/>
        <w:rPr>
          <w:rFonts w:ascii="宋体_GB2312" w:hAnsi="宋体_GB2312" w:eastAsia="宋体_GB2312"/>
          <w:sz w:val="24"/>
          <w:szCs w:val="24"/>
        </w:rPr>
      </w:pPr>
    </w:p>
    <w:p>
      <w:pPr>
        <w:pStyle w:val="42"/>
        <w:spacing w:line="460" w:lineRule="exact"/>
        <w:ind w:firstLine="640" w:firstLineChars="200"/>
        <w:rPr>
          <w:rFonts w:ascii="宋体_GB2312" w:hAnsi="宋体_GB2312" w:eastAsia="宋体_GB2312"/>
          <w:sz w:val="32"/>
          <w:szCs w:val="32"/>
        </w:rPr>
      </w:pPr>
      <w:r>
        <w:rPr>
          <w:rFonts w:hint="eastAsia" w:ascii="宋体_GB2312" w:hAnsi="宋体_GB2312" w:eastAsia="宋体_GB2312"/>
          <w:sz w:val="32"/>
          <w:szCs w:val="32"/>
        </w:rPr>
        <w:t xml:space="preserve"> </w:t>
      </w:r>
    </w:p>
    <w:p>
      <w:pPr>
        <w:pStyle w:val="42"/>
        <w:spacing w:line="460" w:lineRule="exact"/>
        <w:ind w:firstLine="420" w:firstLineChars="200"/>
        <w:rPr>
          <w:rFonts w:ascii="宋体_GB2312" w:hAnsi="宋体_GB2312" w:eastAsia="宋体_GB2312"/>
        </w:rPr>
      </w:pPr>
    </w:p>
    <w:p>
      <w:pPr>
        <w:pStyle w:val="42"/>
        <w:spacing w:line="460" w:lineRule="exact"/>
        <w:ind w:firstLine="420" w:firstLineChars="200"/>
        <w:rPr>
          <w:rFonts w:ascii="宋体_GB2312" w:hAnsi="宋体_GB2312" w:eastAsia="宋体_GB2312"/>
        </w:rPr>
      </w:pPr>
    </w:p>
    <w:p>
      <w:pPr>
        <w:spacing w:line="240" w:lineRule="atLeast"/>
        <w:rPr>
          <w:rFonts w:ascii="宋体_GB2312" w:hAnsi="宋体_GB2312" w:eastAsia="宋体_GB2312"/>
        </w:rPr>
      </w:pPr>
    </w:p>
    <w:p>
      <w:pPr>
        <w:spacing w:line="240" w:lineRule="atLeast"/>
        <w:rPr>
          <w:rFonts w:ascii="宋体_GB2312" w:hAnsi="宋体_GB2312" w:eastAsia="宋体_GB2312"/>
        </w:rPr>
      </w:pPr>
    </w:p>
    <w:p>
      <w:pPr>
        <w:spacing w:line="240" w:lineRule="atLeast"/>
        <w:rPr>
          <w:rFonts w:ascii="宋体_GB2312" w:hAnsi="宋体_GB2312" w:eastAsia="宋体_GB2312"/>
        </w:rPr>
      </w:pPr>
    </w:p>
    <w:p>
      <w:pPr>
        <w:spacing w:line="240" w:lineRule="atLeast"/>
        <w:rPr>
          <w:rFonts w:ascii="宋体_GB2312" w:hAnsi="宋体_GB2312" w:eastAsia="宋体_GB2312"/>
        </w:rPr>
      </w:pPr>
    </w:p>
    <w:p>
      <w:pPr>
        <w:spacing w:line="360" w:lineRule="auto"/>
        <w:jc w:val="center"/>
        <w:rPr>
          <w:rFonts w:ascii="宋体_GB2312" w:hAnsi="宋体_GB2312" w:eastAsia="宋体_GB2312" w:cs="宋体"/>
          <w:b/>
          <w:bCs/>
          <w:sz w:val="44"/>
          <w:szCs w:val="44"/>
        </w:rPr>
      </w:pPr>
      <w:r>
        <w:rPr>
          <w:rFonts w:hint="eastAsia" w:ascii="宋体_GB2312" w:hAnsi="宋体_GB2312" w:eastAsia="宋体_GB2312" w:cs="宋体"/>
          <w:b/>
          <w:bCs/>
          <w:sz w:val="44"/>
          <w:szCs w:val="44"/>
        </w:rPr>
        <w:t>中国联合网络通信有限公司</w:t>
      </w:r>
    </w:p>
    <w:p>
      <w:pPr>
        <w:spacing w:line="360" w:lineRule="auto"/>
        <w:jc w:val="center"/>
        <w:rPr>
          <w:rFonts w:ascii="宋体_GB2312" w:hAnsi="宋体_GB2312" w:eastAsia="宋体_GB2312"/>
          <w:sz w:val="32"/>
          <w:szCs w:val="32"/>
        </w:rPr>
        <w:sectPr>
          <w:footerReference r:id="rId5" w:type="first"/>
          <w:headerReference r:id="rId3" w:type="default"/>
          <w:footerReference r:id="rId4" w:type="default"/>
          <w:pgSz w:w="11906" w:h="16838"/>
          <w:pgMar w:top="1440" w:right="1287" w:bottom="1440" w:left="1797" w:header="720" w:footer="720" w:gutter="0"/>
          <w:pgNumType w:start="0"/>
          <w:cols w:space="720" w:num="1"/>
          <w:docGrid w:type="lines" w:linePitch="326" w:charSpace="-4916"/>
        </w:sectPr>
      </w:pPr>
      <w:r>
        <w:rPr>
          <w:rFonts w:hint="eastAsia" w:ascii="宋体_GB2312" w:hAnsi="宋体_GB2312" w:eastAsia="宋体_GB2312" w:cs="宋体"/>
          <w:b/>
          <w:bCs/>
          <w:sz w:val="44"/>
          <w:szCs w:val="44"/>
        </w:rPr>
        <w:t>20</w:t>
      </w:r>
      <w:r>
        <w:rPr>
          <w:rFonts w:ascii="宋体_GB2312" w:hAnsi="宋体_GB2312" w:eastAsia="宋体_GB2312" w:cs="宋体"/>
          <w:b/>
          <w:bCs/>
          <w:sz w:val="44"/>
          <w:szCs w:val="44"/>
        </w:rPr>
        <w:t>2</w:t>
      </w:r>
      <w:r>
        <w:rPr>
          <w:rFonts w:hint="eastAsia" w:ascii="宋体_GB2312" w:hAnsi="宋体_GB2312" w:eastAsia="宋体_GB2312" w:cs="宋体"/>
          <w:b/>
          <w:bCs/>
          <w:sz w:val="44"/>
          <w:szCs w:val="44"/>
          <w:lang w:val="en-US" w:eastAsia="zh-CN"/>
        </w:rPr>
        <w:t>1</w:t>
      </w:r>
      <w:r>
        <w:rPr>
          <w:rFonts w:hint="eastAsia" w:ascii="宋体_GB2312" w:hAnsi="宋体_GB2312" w:eastAsia="宋体_GB2312" w:cs="宋体"/>
          <w:b/>
          <w:bCs/>
          <w:sz w:val="44"/>
          <w:szCs w:val="44"/>
        </w:rPr>
        <w:t>年</w:t>
      </w:r>
      <w:r>
        <w:rPr>
          <w:rFonts w:hint="eastAsia" w:ascii="宋体_GB2312" w:hAnsi="宋体_GB2312" w:eastAsia="宋体_GB2312" w:cs="宋体"/>
          <w:b/>
          <w:bCs/>
          <w:sz w:val="44"/>
          <w:szCs w:val="44"/>
          <w:lang w:val="en-US" w:eastAsia="zh-CN"/>
        </w:rPr>
        <w:t>2</w:t>
      </w:r>
      <w:r>
        <w:rPr>
          <w:rFonts w:hint="eastAsia" w:ascii="宋体_GB2312" w:hAnsi="宋体_GB2312" w:eastAsia="宋体_GB2312" w:cs="宋体"/>
          <w:b/>
          <w:bCs/>
          <w:sz w:val="44"/>
          <w:szCs w:val="44"/>
        </w:rPr>
        <w:t>月</w:t>
      </w:r>
    </w:p>
    <w:p>
      <w:pPr>
        <w:jc w:val="center"/>
        <w:rPr>
          <w:rFonts w:ascii="宋体_GB2312" w:hAnsi="宋体_GB2312" w:eastAsia="宋体_GB2312"/>
          <w:sz w:val="32"/>
          <w:szCs w:val="32"/>
        </w:rPr>
      </w:pPr>
      <w:r>
        <w:rPr>
          <w:rFonts w:hint="eastAsia" w:ascii="宋体_GB2312" w:hAnsi="宋体_GB2312" w:eastAsia="宋体_GB2312"/>
          <w:sz w:val="32"/>
          <w:szCs w:val="32"/>
        </w:rPr>
        <w:t xml:space="preserve">目  </w:t>
      </w:r>
      <w:bookmarkStart w:id="229" w:name="_GoBack"/>
      <w:bookmarkEnd w:id="229"/>
      <w:r>
        <w:rPr>
          <w:rFonts w:hint="eastAsia" w:ascii="宋体_GB2312" w:hAnsi="宋体_GB2312" w:eastAsia="宋体_GB2312"/>
          <w:sz w:val="32"/>
          <w:szCs w:val="32"/>
        </w:rPr>
        <w:t xml:space="preserve"> 录</w:t>
      </w:r>
    </w:p>
    <w:p>
      <w:pPr>
        <w:pStyle w:val="20"/>
        <w:tabs>
          <w:tab w:val="right" w:leader="dot" w:pos="8822"/>
        </w:tabs>
      </w:pPr>
      <w:r>
        <w:rPr>
          <w:rFonts w:ascii="宋体_GB2312" w:hAnsi="宋体_GB2312" w:eastAsia="宋体_GB2312"/>
          <w:sz w:val="24"/>
        </w:rPr>
        <w:fldChar w:fldCharType="begin"/>
      </w:r>
      <w:r>
        <w:rPr>
          <w:rFonts w:ascii="宋体_GB2312" w:hAnsi="宋体_GB2312" w:eastAsia="宋体_GB2312"/>
          <w:sz w:val="24"/>
        </w:rPr>
        <w:instrText xml:space="preserve"> TOC \o "1-2" \h \z \u </w:instrText>
      </w:r>
      <w:r>
        <w:rPr>
          <w:rFonts w:ascii="宋体_GB2312" w:hAnsi="宋体_GB2312" w:eastAsia="宋体_GB2312"/>
          <w:sz w:val="24"/>
        </w:rPr>
        <w:fldChar w:fldCharType="separate"/>
      </w:r>
      <w:r>
        <w:rPr>
          <w:rFonts w:ascii="宋体_GB2312" w:hAnsi="宋体_GB2312" w:eastAsia="宋体_GB2312"/>
        </w:rPr>
        <w:fldChar w:fldCharType="begin"/>
      </w:r>
      <w:r>
        <w:rPr>
          <w:rFonts w:ascii="宋体_GB2312" w:hAnsi="宋体_GB2312" w:eastAsia="宋体_GB2312"/>
        </w:rPr>
        <w:instrText xml:space="preserve"> HYPERLINK \l _Toc31196 </w:instrText>
      </w:r>
      <w:r>
        <w:rPr>
          <w:rFonts w:ascii="宋体_GB2312" w:hAnsi="宋体_GB2312" w:eastAsia="宋体_GB2312"/>
        </w:rPr>
        <w:fldChar w:fldCharType="separate"/>
      </w:r>
      <w:r>
        <w:rPr>
          <w:rFonts w:hint="eastAsia" w:ascii="宋体_GB2312" w:hAnsi="宋体_GB2312" w:eastAsia="宋体_GB2312"/>
          <w:szCs w:val="24"/>
          <w:lang w:val="en-US"/>
        </w:rPr>
        <w:t>1 概述</w:t>
      </w:r>
      <w:r>
        <w:tab/>
      </w:r>
      <w:r>
        <w:fldChar w:fldCharType="begin"/>
      </w:r>
      <w:r>
        <w:instrText xml:space="preserve"> PAGEREF _Toc31196 </w:instrText>
      </w:r>
      <w:r>
        <w:fldChar w:fldCharType="separate"/>
      </w:r>
      <w:r>
        <w:t>1</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_Toc26839 </w:instrText>
      </w:r>
      <w:r>
        <w:rPr>
          <w:rFonts w:ascii="宋体_GB2312" w:hAnsi="宋体_GB2312" w:eastAsia="宋体_GB2312"/>
        </w:rPr>
        <w:fldChar w:fldCharType="separate"/>
      </w:r>
      <w:r>
        <w:rPr>
          <w:rFonts w:hint="eastAsia" w:ascii="宋体_GB2312" w:hAnsi="宋体_GB2312" w:eastAsia="宋体_GB2312"/>
          <w:szCs w:val="24"/>
          <w:lang w:val="en-US"/>
        </w:rPr>
        <w:t>2 总体要求</w:t>
      </w:r>
      <w:r>
        <w:tab/>
      </w:r>
      <w:r>
        <w:fldChar w:fldCharType="begin"/>
      </w:r>
      <w:r>
        <w:instrText xml:space="preserve"> PAGEREF _Toc26839 </w:instrText>
      </w:r>
      <w:r>
        <w:fldChar w:fldCharType="separate"/>
      </w:r>
      <w:r>
        <w:t>2</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_Toc6305 </w:instrText>
      </w:r>
      <w:r>
        <w:rPr>
          <w:rFonts w:ascii="宋体_GB2312" w:hAnsi="宋体_GB2312" w:eastAsia="宋体_GB2312"/>
        </w:rPr>
        <w:fldChar w:fldCharType="separate"/>
      </w:r>
      <w:r>
        <w:rPr>
          <w:rFonts w:hint="eastAsia" w:ascii="宋体_GB2312" w:hAnsi="宋体_GB2312" w:eastAsia="宋体_GB2312"/>
          <w:szCs w:val="24"/>
          <w:lang w:val="en-US"/>
        </w:rPr>
        <w:t>2.1总体描述</w:t>
      </w:r>
      <w:r>
        <w:tab/>
      </w:r>
      <w:r>
        <w:fldChar w:fldCharType="begin"/>
      </w:r>
      <w:r>
        <w:instrText xml:space="preserve"> PAGEREF _Toc6305 </w:instrText>
      </w:r>
      <w:r>
        <w:fldChar w:fldCharType="separate"/>
      </w:r>
      <w:r>
        <w:t>2</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_Toc8130 </w:instrText>
      </w:r>
      <w:r>
        <w:rPr>
          <w:rFonts w:ascii="宋体_GB2312" w:hAnsi="宋体_GB2312" w:eastAsia="宋体_GB2312"/>
        </w:rPr>
        <w:fldChar w:fldCharType="separate"/>
      </w:r>
      <w:r>
        <w:rPr>
          <w:rFonts w:hint="eastAsia" w:ascii="宋体_GB2312" w:hAnsi="宋体_GB2312" w:eastAsia="宋体_GB2312"/>
          <w:szCs w:val="24"/>
          <w:lang w:val="en-US"/>
        </w:rPr>
        <w:t>2.2外观与结构</w:t>
      </w:r>
      <w:r>
        <w:tab/>
      </w:r>
      <w:r>
        <w:fldChar w:fldCharType="begin"/>
      </w:r>
      <w:r>
        <w:instrText xml:space="preserve"> PAGEREF _Toc8130 </w:instrText>
      </w:r>
      <w:r>
        <w:fldChar w:fldCharType="separate"/>
      </w:r>
      <w:r>
        <w:t>2</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_Toc24790 </w:instrText>
      </w:r>
      <w:r>
        <w:rPr>
          <w:rFonts w:ascii="宋体_GB2312" w:hAnsi="宋体_GB2312" w:eastAsia="宋体_GB2312"/>
        </w:rPr>
        <w:fldChar w:fldCharType="separate"/>
      </w:r>
      <w:r>
        <w:rPr>
          <w:rFonts w:hint="eastAsia" w:ascii="宋体_GB2312" w:hAnsi="宋体_GB2312" w:eastAsia="宋体_GB2312"/>
          <w:szCs w:val="24"/>
          <w:lang w:val="en-US"/>
        </w:rPr>
        <w:t>2.3</w:t>
      </w:r>
      <w:r>
        <w:rPr>
          <w:rFonts w:ascii="宋体_GB2312" w:hAnsi="宋体_GB2312" w:eastAsia="宋体_GB2312"/>
          <w:szCs w:val="24"/>
          <w:lang w:val="en-US"/>
        </w:rPr>
        <w:t>产品规格</w:t>
      </w:r>
      <w:r>
        <w:tab/>
      </w:r>
      <w:r>
        <w:fldChar w:fldCharType="begin"/>
      </w:r>
      <w:r>
        <w:instrText xml:space="preserve"> PAGEREF _Toc24790 </w:instrText>
      </w:r>
      <w:r>
        <w:fldChar w:fldCharType="separate"/>
      </w:r>
      <w:r>
        <w:t>3</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_Toc3172 </w:instrText>
      </w:r>
      <w:r>
        <w:rPr>
          <w:rFonts w:ascii="宋体_GB2312" w:hAnsi="宋体_GB2312" w:eastAsia="宋体_GB2312"/>
        </w:rPr>
        <w:fldChar w:fldCharType="separate"/>
      </w:r>
      <w:r>
        <w:rPr>
          <w:rFonts w:hint="eastAsia" w:ascii="宋体_GB2312" w:hAnsi="宋体_GB2312" w:eastAsia="宋体_GB2312"/>
          <w:szCs w:val="24"/>
          <w:lang w:val="en-US"/>
        </w:rPr>
        <w:t>3 技术要求</w:t>
      </w:r>
      <w:r>
        <w:tab/>
      </w:r>
      <w:r>
        <w:fldChar w:fldCharType="begin"/>
      </w:r>
      <w:r>
        <w:instrText xml:space="preserve"> PAGEREF _Toc3172 </w:instrText>
      </w:r>
      <w:r>
        <w:fldChar w:fldCharType="separate"/>
      </w:r>
      <w:r>
        <w:t>16</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_Toc9928 </w:instrText>
      </w:r>
      <w:r>
        <w:rPr>
          <w:rFonts w:ascii="宋体_GB2312" w:hAnsi="宋体_GB2312" w:eastAsia="宋体_GB2312"/>
        </w:rPr>
        <w:fldChar w:fldCharType="separate"/>
      </w:r>
      <w:r>
        <w:rPr>
          <w:rFonts w:hint="eastAsia" w:ascii="宋体_GB2312" w:hAnsi="宋体_GB2312" w:eastAsia="宋体_GB2312"/>
          <w:szCs w:val="24"/>
          <w:lang w:val="en-US"/>
        </w:rPr>
        <w:t>3</w:t>
      </w:r>
      <w:r>
        <w:rPr>
          <w:rFonts w:ascii="宋体_GB2312" w:hAnsi="宋体_GB2312" w:eastAsia="宋体_GB2312"/>
          <w:szCs w:val="24"/>
          <w:lang w:val="en-US"/>
        </w:rPr>
        <w:t>.</w:t>
      </w:r>
      <w:r>
        <w:rPr>
          <w:rFonts w:hint="eastAsia" w:ascii="宋体_GB2312" w:hAnsi="宋体_GB2312" w:eastAsia="宋体_GB2312"/>
          <w:szCs w:val="24"/>
          <w:lang w:val="en-US"/>
        </w:rPr>
        <w:t xml:space="preserve">1 </w:t>
      </w:r>
      <w:r>
        <w:rPr>
          <w:rFonts w:ascii="宋体_GB2312" w:hAnsi="宋体_GB2312" w:eastAsia="宋体_GB2312"/>
          <w:szCs w:val="24"/>
          <w:lang w:val="en-US"/>
        </w:rPr>
        <w:t>外观与结构</w:t>
      </w:r>
      <w:r>
        <w:tab/>
      </w:r>
      <w:r>
        <w:fldChar w:fldCharType="begin"/>
      </w:r>
      <w:r>
        <w:instrText xml:space="preserve"> PAGEREF _Toc9928 </w:instrText>
      </w:r>
      <w:r>
        <w:fldChar w:fldCharType="separate"/>
      </w:r>
      <w:r>
        <w:t>16</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_Toc1060 </w:instrText>
      </w:r>
      <w:r>
        <w:rPr>
          <w:rFonts w:ascii="宋体_GB2312" w:hAnsi="宋体_GB2312" w:eastAsia="宋体_GB2312"/>
        </w:rPr>
        <w:fldChar w:fldCharType="separate"/>
      </w:r>
      <w:r>
        <w:rPr>
          <w:rFonts w:hint="eastAsia" w:ascii="宋体_GB2312" w:hAnsi="宋体_GB2312" w:eastAsia="宋体_GB2312"/>
          <w:szCs w:val="24"/>
          <w:lang w:val="en-US"/>
        </w:rPr>
        <w:t xml:space="preserve">3.2 </w:t>
      </w:r>
      <w:r>
        <w:rPr>
          <w:rFonts w:ascii="宋体_GB2312" w:hAnsi="宋体_GB2312" w:eastAsia="宋体_GB2312"/>
          <w:szCs w:val="24"/>
          <w:lang w:val="en-US"/>
        </w:rPr>
        <w:t>机械性能</w:t>
      </w:r>
      <w:r>
        <w:tab/>
      </w:r>
      <w:r>
        <w:fldChar w:fldCharType="begin"/>
      </w:r>
      <w:r>
        <w:instrText xml:space="preserve"> PAGEREF _Toc1060 </w:instrText>
      </w:r>
      <w:r>
        <w:fldChar w:fldCharType="separate"/>
      </w:r>
      <w:r>
        <w:t>17</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_Toc7015 </w:instrText>
      </w:r>
      <w:r>
        <w:rPr>
          <w:rFonts w:ascii="宋体_GB2312" w:hAnsi="宋体_GB2312" w:eastAsia="宋体_GB2312"/>
        </w:rPr>
        <w:fldChar w:fldCharType="separate"/>
      </w:r>
      <w:r>
        <w:rPr>
          <w:rFonts w:hint="eastAsia" w:ascii="宋体_GB2312" w:hAnsi="宋体_GB2312" w:eastAsia="宋体_GB2312"/>
          <w:szCs w:val="24"/>
          <w:lang w:val="en-US"/>
        </w:rPr>
        <w:t>★3.3密封性能</w:t>
      </w:r>
      <w:r>
        <w:tab/>
      </w:r>
      <w:r>
        <w:fldChar w:fldCharType="begin"/>
      </w:r>
      <w:r>
        <w:instrText xml:space="preserve"> PAGEREF _Toc7015 </w:instrText>
      </w:r>
      <w:r>
        <w:fldChar w:fldCharType="separate"/>
      </w:r>
      <w:r>
        <w:t>17</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_Toc26827 </w:instrText>
      </w:r>
      <w:r>
        <w:rPr>
          <w:rFonts w:ascii="宋体_GB2312" w:hAnsi="宋体_GB2312" w:eastAsia="宋体_GB2312"/>
        </w:rPr>
        <w:fldChar w:fldCharType="separate"/>
      </w:r>
      <w:r>
        <w:rPr>
          <w:rFonts w:hint="eastAsia" w:ascii="宋体_GB2312" w:hAnsi="宋体_GB2312" w:eastAsia="宋体_GB2312"/>
          <w:szCs w:val="24"/>
          <w:lang w:val="en-US"/>
        </w:rPr>
        <w:t xml:space="preserve">3.4 </w:t>
      </w:r>
      <w:r>
        <w:rPr>
          <w:rFonts w:ascii="宋体_GB2312" w:hAnsi="宋体_GB2312" w:eastAsia="宋体_GB2312"/>
          <w:szCs w:val="24"/>
          <w:lang w:val="en-US"/>
        </w:rPr>
        <w:t>功能要求</w:t>
      </w:r>
      <w:r>
        <w:tab/>
      </w:r>
      <w:r>
        <w:fldChar w:fldCharType="begin"/>
      </w:r>
      <w:r>
        <w:instrText xml:space="preserve"> PAGEREF _Toc26827 </w:instrText>
      </w:r>
      <w:r>
        <w:fldChar w:fldCharType="separate"/>
      </w:r>
      <w:r>
        <w:t>17</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_Toc9098 </w:instrText>
      </w:r>
      <w:r>
        <w:rPr>
          <w:rFonts w:ascii="宋体_GB2312" w:hAnsi="宋体_GB2312" w:eastAsia="宋体_GB2312"/>
        </w:rPr>
        <w:fldChar w:fldCharType="separate"/>
      </w:r>
      <w:r>
        <w:rPr>
          <w:rFonts w:hint="eastAsia" w:ascii="宋体_GB2312" w:hAnsi="宋体_GB2312" w:eastAsia="宋体_GB2312"/>
          <w:szCs w:val="24"/>
          <w:lang w:val="en-US"/>
        </w:rPr>
        <w:t>3.5  光纤活动连接器技术指标</w:t>
      </w:r>
      <w:r>
        <w:tab/>
      </w:r>
      <w:r>
        <w:fldChar w:fldCharType="begin"/>
      </w:r>
      <w:r>
        <w:instrText xml:space="preserve"> PAGEREF _Toc9098 </w:instrText>
      </w:r>
      <w:r>
        <w:fldChar w:fldCharType="separate"/>
      </w:r>
      <w:r>
        <w:t>18</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_Toc13628 </w:instrText>
      </w:r>
      <w:r>
        <w:rPr>
          <w:rFonts w:ascii="宋体_GB2312" w:hAnsi="宋体_GB2312" w:eastAsia="宋体_GB2312"/>
        </w:rPr>
        <w:fldChar w:fldCharType="separate"/>
      </w:r>
      <w:r>
        <w:rPr>
          <w:rFonts w:hint="eastAsia" w:ascii="宋体_GB2312" w:hAnsi="宋体_GB2312" w:eastAsia="宋体_GB2312"/>
        </w:rPr>
        <w:t>★</w:t>
      </w:r>
      <w:r>
        <w:rPr>
          <w:rFonts w:hint="eastAsia" w:ascii="宋体_GB2312" w:hAnsi="宋体_GB2312" w:eastAsia="宋体_GB2312"/>
          <w:szCs w:val="24"/>
          <w:lang w:val="en-US"/>
        </w:rPr>
        <w:t>3.6 高压防护接地装置</w:t>
      </w:r>
      <w:r>
        <w:tab/>
      </w:r>
      <w:r>
        <w:fldChar w:fldCharType="begin"/>
      </w:r>
      <w:r>
        <w:instrText xml:space="preserve"> PAGEREF _Toc13628 </w:instrText>
      </w:r>
      <w:r>
        <w:fldChar w:fldCharType="separate"/>
      </w:r>
      <w:r>
        <w:t>20</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_Toc31303 </w:instrText>
      </w:r>
      <w:r>
        <w:rPr>
          <w:rFonts w:ascii="宋体_GB2312" w:hAnsi="宋体_GB2312" w:eastAsia="宋体_GB2312"/>
        </w:rPr>
        <w:fldChar w:fldCharType="separate"/>
      </w:r>
      <w:r>
        <w:rPr>
          <w:rFonts w:hint="eastAsia" w:ascii="宋体_GB2312" w:hAnsi="宋体_GB2312" w:eastAsia="宋体_GB2312"/>
          <w:szCs w:val="24"/>
          <w:highlight w:val="none"/>
          <w:lang w:val="en-US"/>
        </w:rPr>
        <w:t>4 材料要求</w:t>
      </w:r>
      <w:r>
        <w:tab/>
      </w:r>
      <w:r>
        <w:fldChar w:fldCharType="begin"/>
      </w:r>
      <w:r>
        <w:instrText xml:space="preserve"> PAGEREF _Toc31303 </w:instrText>
      </w:r>
      <w:r>
        <w:fldChar w:fldCharType="separate"/>
      </w:r>
      <w:r>
        <w:t>21</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_Toc15601 </w:instrText>
      </w:r>
      <w:r>
        <w:rPr>
          <w:rFonts w:ascii="宋体_GB2312" w:hAnsi="宋体_GB2312" w:eastAsia="宋体_GB2312"/>
        </w:rPr>
        <w:fldChar w:fldCharType="separate"/>
      </w:r>
      <w:r>
        <w:rPr>
          <w:rFonts w:hint="eastAsia" w:ascii="宋体_GB2312" w:hAnsi="宋体_GB2312" w:eastAsia="宋体_GB2312"/>
          <w:szCs w:val="24"/>
          <w:highlight w:val="none"/>
          <w:lang w:val="en-US"/>
        </w:rPr>
        <w:t>4.1 箱体材料</w:t>
      </w:r>
      <w:r>
        <w:tab/>
      </w:r>
      <w:r>
        <w:fldChar w:fldCharType="begin"/>
      </w:r>
      <w:r>
        <w:instrText xml:space="preserve"> PAGEREF _Toc15601 </w:instrText>
      </w:r>
      <w:r>
        <w:fldChar w:fldCharType="separate"/>
      </w:r>
      <w:r>
        <w:t>21</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_Toc32519 </w:instrText>
      </w:r>
      <w:r>
        <w:rPr>
          <w:rFonts w:ascii="宋体_GB2312" w:hAnsi="宋体_GB2312" w:eastAsia="宋体_GB2312"/>
        </w:rPr>
        <w:fldChar w:fldCharType="separate"/>
      </w:r>
      <w:r>
        <w:rPr>
          <w:rFonts w:hint="eastAsia" w:ascii="宋体_GB2312" w:hAnsi="宋体_GB2312" w:eastAsia="宋体_GB2312"/>
          <w:szCs w:val="24"/>
          <w:lang w:val="en-US"/>
        </w:rPr>
        <w:t xml:space="preserve">4.2 </w:t>
      </w:r>
      <w:r>
        <w:rPr>
          <w:rFonts w:ascii="宋体_GB2312" w:hAnsi="宋体_GB2312" w:eastAsia="宋体_GB2312"/>
          <w:szCs w:val="24"/>
          <w:lang w:val="en-US"/>
        </w:rPr>
        <w:t>塑料材料</w:t>
      </w:r>
      <w:r>
        <w:tab/>
      </w:r>
      <w:r>
        <w:fldChar w:fldCharType="begin"/>
      </w:r>
      <w:r>
        <w:instrText xml:space="preserve"> PAGEREF _Toc32519 </w:instrText>
      </w:r>
      <w:r>
        <w:fldChar w:fldCharType="separate"/>
      </w:r>
      <w:r>
        <w:t>21</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_Toc7223 </w:instrText>
      </w:r>
      <w:r>
        <w:rPr>
          <w:rFonts w:ascii="宋体_GB2312" w:hAnsi="宋体_GB2312" w:eastAsia="宋体_GB2312"/>
        </w:rPr>
        <w:fldChar w:fldCharType="separate"/>
      </w:r>
      <w:r>
        <w:rPr>
          <w:rFonts w:hint="eastAsia" w:ascii="宋体_GB2312" w:hAnsi="宋体_GB2312" w:eastAsia="宋体_GB2312"/>
          <w:szCs w:val="24"/>
          <w:lang w:val="en-US"/>
        </w:rPr>
        <w:t>4.3 非金属件的燃烧性能</w:t>
      </w:r>
      <w:r>
        <w:tab/>
      </w:r>
      <w:r>
        <w:fldChar w:fldCharType="begin"/>
      </w:r>
      <w:r>
        <w:instrText xml:space="preserve"> PAGEREF _Toc7223 </w:instrText>
      </w:r>
      <w:r>
        <w:fldChar w:fldCharType="separate"/>
      </w:r>
      <w:r>
        <w:t>21</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_Toc21824 </w:instrText>
      </w:r>
      <w:r>
        <w:rPr>
          <w:rFonts w:ascii="宋体_GB2312" w:hAnsi="宋体_GB2312" w:eastAsia="宋体_GB2312"/>
        </w:rPr>
        <w:fldChar w:fldCharType="separate"/>
      </w:r>
      <w:r>
        <w:rPr>
          <w:rFonts w:hint="eastAsia" w:ascii="宋体_GB2312" w:hAnsi="宋体_GB2312" w:eastAsia="宋体_GB2312"/>
          <w:szCs w:val="24"/>
          <w:lang w:val="en-US"/>
        </w:rPr>
        <w:t xml:space="preserve">4.4 </w:t>
      </w:r>
      <w:r>
        <w:rPr>
          <w:rFonts w:ascii="宋体_GB2312" w:hAnsi="宋体_GB2312" w:eastAsia="宋体_GB2312"/>
          <w:szCs w:val="24"/>
          <w:lang w:val="en-US"/>
        </w:rPr>
        <w:t>光纤适配器</w:t>
      </w:r>
      <w:r>
        <w:tab/>
      </w:r>
      <w:r>
        <w:fldChar w:fldCharType="begin"/>
      </w:r>
      <w:r>
        <w:instrText xml:space="preserve"> PAGEREF _Toc21824 </w:instrText>
      </w:r>
      <w:r>
        <w:fldChar w:fldCharType="separate"/>
      </w:r>
      <w:r>
        <w:t>21</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_Toc1927 </w:instrText>
      </w:r>
      <w:r>
        <w:rPr>
          <w:rFonts w:ascii="宋体_GB2312" w:hAnsi="宋体_GB2312" w:eastAsia="宋体_GB2312"/>
        </w:rPr>
        <w:fldChar w:fldCharType="separate"/>
      </w:r>
      <w:r>
        <w:rPr>
          <w:rFonts w:hint="eastAsia" w:ascii="宋体_GB2312" w:hAnsi="宋体_GB2312" w:eastAsia="宋体_GB2312"/>
          <w:szCs w:val="24"/>
          <w:lang w:val="en-US"/>
        </w:rPr>
        <w:t>4.5 光纤活动连接器插头</w:t>
      </w:r>
      <w:r>
        <w:tab/>
      </w:r>
      <w:r>
        <w:fldChar w:fldCharType="begin"/>
      </w:r>
      <w:r>
        <w:instrText xml:space="preserve"> PAGEREF _Toc1927 </w:instrText>
      </w:r>
      <w:r>
        <w:fldChar w:fldCharType="separate"/>
      </w:r>
      <w:r>
        <w:t>21</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_Toc27388 </w:instrText>
      </w:r>
      <w:r>
        <w:rPr>
          <w:rFonts w:ascii="宋体_GB2312" w:hAnsi="宋体_GB2312" w:eastAsia="宋体_GB2312"/>
        </w:rPr>
        <w:fldChar w:fldCharType="separate"/>
      </w:r>
      <w:r>
        <w:rPr>
          <w:rFonts w:hint="eastAsia" w:ascii="宋体_GB2312" w:hAnsi="宋体_GB2312" w:eastAsia="宋体_GB2312"/>
          <w:szCs w:val="24"/>
          <w:lang w:val="en-US"/>
        </w:rPr>
        <w:t>4.6 零件材料的防腐性能</w:t>
      </w:r>
      <w:r>
        <w:tab/>
      </w:r>
      <w:r>
        <w:fldChar w:fldCharType="begin"/>
      </w:r>
      <w:r>
        <w:instrText xml:space="preserve"> PAGEREF _Toc27388 </w:instrText>
      </w:r>
      <w:r>
        <w:fldChar w:fldCharType="separate"/>
      </w:r>
      <w:r>
        <w:t>22</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_Toc23151 </w:instrText>
      </w:r>
      <w:r>
        <w:rPr>
          <w:rFonts w:ascii="宋体_GB2312" w:hAnsi="宋体_GB2312" w:eastAsia="宋体_GB2312"/>
        </w:rPr>
        <w:fldChar w:fldCharType="separate"/>
      </w:r>
      <w:r>
        <w:rPr>
          <w:rFonts w:hint="eastAsia" w:ascii="宋体_GB2312" w:hAnsi="宋体_GB2312" w:eastAsia="宋体_GB2312"/>
          <w:szCs w:val="24"/>
          <w:lang w:val="en-US"/>
        </w:rPr>
        <w:t>5 环境要求</w:t>
      </w:r>
      <w:r>
        <w:tab/>
      </w:r>
      <w:r>
        <w:fldChar w:fldCharType="begin"/>
      </w:r>
      <w:r>
        <w:instrText xml:space="preserve"> PAGEREF _Toc23151 </w:instrText>
      </w:r>
      <w:r>
        <w:fldChar w:fldCharType="separate"/>
      </w:r>
      <w:r>
        <w:t>22</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_Toc25746 </w:instrText>
      </w:r>
      <w:r>
        <w:rPr>
          <w:rFonts w:ascii="宋体_GB2312" w:hAnsi="宋体_GB2312" w:eastAsia="宋体_GB2312"/>
        </w:rPr>
        <w:fldChar w:fldCharType="separate"/>
      </w:r>
      <w:r>
        <w:rPr>
          <w:rFonts w:hint="eastAsia" w:ascii="宋体_GB2312" w:hAnsi="宋体_GB2312" w:eastAsia="宋体_GB2312"/>
          <w:szCs w:val="24"/>
          <w:lang w:val="en-US"/>
        </w:rPr>
        <w:t>5.1 使用环境条件</w:t>
      </w:r>
      <w:r>
        <w:tab/>
      </w:r>
      <w:r>
        <w:fldChar w:fldCharType="begin"/>
      </w:r>
      <w:r>
        <w:instrText xml:space="preserve"> PAGEREF _Toc25746 </w:instrText>
      </w:r>
      <w:r>
        <w:fldChar w:fldCharType="separate"/>
      </w:r>
      <w:r>
        <w:t>22</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_Toc2784 </w:instrText>
      </w:r>
      <w:r>
        <w:rPr>
          <w:rFonts w:ascii="宋体_GB2312" w:hAnsi="宋体_GB2312" w:eastAsia="宋体_GB2312"/>
        </w:rPr>
        <w:fldChar w:fldCharType="separate"/>
      </w:r>
      <w:r>
        <w:rPr>
          <w:rFonts w:hint="eastAsia" w:ascii="宋体_GB2312" w:hAnsi="宋体_GB2312" w:eastAsia="宋体_GB2312"/>
          <w:szCs w:val="24"/>
          <w:lang w:val="en-US"/>
        </w:rPr>
        <w:t>5.2试验环境条件</w:t>
      </w:r>
      <w:r>
        <w:tab/>
      </w:r>
      <w:r>
        <w:fldChar w:fldCharType="begin"/>
      </w:r>
      <w:r>
        <w:instrText xml:space="preserve"> PAGEREF _Toc2784 </w:instrText>
      </w:r>
      <w:r>
        <w:fldChar w:fldCharType="separate"/>
      </w:r>
      <w:r>
        <w:t>22</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_Toc8004 </w:instrText>
      </w:r>
      <w:r>
        <w:rPr>
          <w:rFonts w:ascii="宋体_GB2312" w:hAnsi="宋体_GB2312" w:eastAsia="宋体_GB2312"/>
        </w:rPr>
        <w:fldChar w:fldCharType="separate"/>
      </w:r>
      <w:r>
        <w:rPr>
          <w:rFonts w:hint="eastAsia" w:ascii="宋体_GB2312" w:hAnsi="宋体_GB2312" w:eastAsia="宋体_GB2312"/>
          <w:szCs w:val="24"/>
          <w:lang w:val="en-US"/>
        </w:rPr>
        <w:t>6包装、运输和贮存</w:t>
      </w:r>
      <w:r>
        <w:tab/>
      </w:r>
      <w:r>
        <w:fldChar w:fldCharType="begin"/>
      </w:r>
      <w:r>
        <w:instrText xml:space="preserve"> PAGEREF _Toc8004 </w:instrText>
      </w:r>
      <w:r>
        <w:fldChar w:fldCharType="separate"/>
      </w:r>
      <w:r>
        <w:t>27</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_Toc3042 </w:instrText>
      </w:r>
      <w:r>
        <w:rPr>
          <w:rFonts w:ascii="宋体_GB2312" w:hAnsi="宋体_GB2312" w:eastAsia="宋体_GB2312"/>
        </w:rPr>
        <w:fldChar w:fldCharType="separate"/>
      </w:r>
      <w:r>
        <w:rPr>
          <w:rFonts w:hint="eastAsia" w:ascii="宋体_GB2312" w:hAnsi="宋体_GB2312" w:eastAsia="宋体_GB2312"/>
          <w:szCs w:val="24"/>
          <w:lang w:val="en-US"/>
        </w:rPr>
        <w:t>6.1 包装</w:t>
      </w:r>
      <w:r>
        <w:tab/>
      </w:r>
      <w:r>
        <w:fldChar w:fldCharType="begin"/>
      </w:r>
      <w:r>
        <w:instrText xml:space="preserve"> PAGEREF _Toc3042 </w:instrText>
      </w:r>
      <w:r>
        <w:fldChar w:fldCharType="separate"/>
      </w:r>
      <w:r>
        <w:t>27</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_Toc18839 </w:instrText>
      </w:r>
      <w:r>
        <w:rPr>
          <w:rFonts w:ascii="宋体_GB2312" w:hAnsi="宋体_GB2312" w:eastAsia="宋体_GB2312"/>
        </w:rPr>
        <w:fldChar w:fldCharType="separate"/>
      </w:r>
      <w:r>
        <w:rPr>
          <w:rFonts w:hint="eastAsia" w:ascii="宋体_GB2312" w:hAnsi="宋体_GB2312" w:eastAsia="宋体_GB2312"/>
          <w:szCs w:val="24"/>
          <w:lang w:val="en-US"/>
        </w:rPr>
        <w:t>6.2 运输</w:t>
      </w:r>
      <w:r>
        <w:tab/>
      </w:r>
      <w:r>
        <w:fldChar w:fldCharType="begin"/>
      </w:r>
      <w:r>
        <w:instrText xml:space="preserve"> PAGEREF _Toc18839 </w:instrText>
      </w:r>
      <w:r>
        <w:fldChar w:fldCharType="separate"/>
      </w:r>
      <w:r>
        <w:t>28</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_Toc17151 </w:instrText>
      </w:r>
      <w:r>
        <w:rPr>
          <w:rFonts w:ascii="宋体_GB2312" w:hAnsi="宋体_GB2312" w:eastAsia="宋体_GB2312"/>
        </w:rPr>
        <w:fldChar w:fldCharType="separate"/>
      </w:r>
      <w:r>
        <w:rPr>
          <w:rFonts w:hint="eastAsia" w:ascii="宋体_GB2312" w:hAnsi="宋体_GB2312" w:eastAsia="宋体_GB2312"/>
          <w:szCs w:val="24"/>
          <w:lang w:val="en-US"/>
        </w:rPr>
        <w:t>6.3 贮存</w:t>
      </w:r>
      <w:r>
        <w:tab/>
      </w:r>
      <w:r>
        <w:fldChar w:fldCharType="begin"/>
      </w:r>
      <w:r>
        <w:instrText xml:space="preserve"> PAGEREF _Toc17151 </w:instrText>
      </w:r>
      <w:r>
        <w:fldChar w:fldCharType="separate"/>
      </w:r>
      <w:r>
        <w:t>28</w:t>
      </w:r>
      <w:r>
        <w:fldChar w:fldCharType="end"/>
      </w:r>
      <w:r>
        <w:rPr>
          <w:rFonts w:ascii="宋体_GB2312" w:hAnsi="宋体_GB2312" w:eastAsia="宋体_GB2312"/>
        </w:rPr>
        <w:fldChar w:fldCharType="end"/>
      </w:r>
    </w:p>
    <w:p>
      <w:pPr>
        <w:pStyle w:val="20"/>
        <w:tabs>
          <w:tab w:val="right" w:leader="dot" w:pos="8822"/>
        </w:tabs>
      </w:pPr>
      <w:r>
        <w:rPr>
          <w:rFonts w:ascii="宋体_GB2312" w:hAnsi="宋体_GB2312" w:eastAsia="宋体_GB2312"/>
        </w:rPr>
        <w:fldChar w:fldCharType="begin"/>
      </w:r>
      <w:r>
        <w:rPr>
          <w:rFonts w:ascii="宋体_GB2312" w:hAnsi="宋体_GB2312" w:eastAsia="宋体_GB2312"/>
        </w:rPr>
        <w:instrText xml:space="preserve"> HYPERLINK \l _Toc18335 </w:instrText>
      </w:r>
      <w:r>
        <w:rPr>
          <w:rFonts w:ascii="宋体_GB2312" w:hAnsi="宋体_GB2312" w:eastAsia="宋体_GB2312"/>
        </w:rPr>
        <w:fldChar w:fldCharType="separate"/>
      </w:r>
      <w:r>
        <w:rPr>
          <w:rFonts w:hint="eastAsia" w:ascii="宋体_GB2312" w:hAnsi="宋体_GB2312" w:eastAsia="宋体_GB2312"/>
          <w:szCs w:val="24"/>
          <w:lang w:val="en-US"/>
        </w:rPr>
        <w:t>7其它技术指标和性能</w:t>
      </w:r>
      <w:r>
        <w:tab/>
      </w:r>
      <w:r>
        <w:fldChar w:fldCharType="begin"/>
      </w:r>
      <w:r>
        <w:instrText xml:space="preserve"> PAGEREF _Toc18335 </w:instrText>
      </w:r>
      <w:r>
        <w:fldChar w:fldCharType="separate"/>
      </w:r>
      <w:r>
        <w:t>28</w:t>
      </w:r>
      <w:r>
        <w:fldChar w:fldCharType="end"/>
      </w:r>
      <w:r>
        <w:rPr>
          <w:rFonts w:ascii="宋体_GB2312" w:hAnsi="宋体_GB2312" w:eastAsia="宋体_GB2312"/>
        </w:rPr>
        <w:fldChar w:fldCharType="end"/>
      </w:r>
    </w:p>
    <w:p>
      <w:pPr>
        <w:spacing w:line="560" w:lineRule="exact"/>
        <w:rPr>
          <w:rFonts w:ascii="宋体_GB2312" w:hAnsi="宋体_GB2312" w:eastAsia="宋体_GB2312"/>
          <w:sz w:val="28"/>
          <w:szCs w:val="28"/>
        </w:rPr>
      </w:pPr>
      <w:r>
        <w:rPr>
          <w:rFonts w:ascii="宋体_GB2312" w:hAnsi="宋体_GB2312" w:eastAsia="宋体_GB2312"/>
          <w:sz w:val="24"/>
        </w:rPr>
        <w:fldChar w:fldCharType="end"/>
      </w:r>
    </w:p>
    <w:p>
      <w:pPr>
        <w:spacing w:line="560" w:lineRule="exact"/>
        <w:rPr>
          <w:rFonts w:ascii="宋体_GB2312" w:hAnsi="宋体_GB2312" w:eastAsia="宋体_GB2312"/>
        </w:rPr>
        <w:sectPr>
          <w:headerReference r:id="rId7" w:type="first"/>
          <w:headerReference r:id="rId6" w:type="default"/>
          <w:footerReference r:id="rId8" w:type="default"/>
          <w:pgSz w:w="11906" w:h="16838"/>
          <w:pgMar w:top="1440" w:right="1287" w:bottom="1440" w:left="1797" w:header="720" w:footer="720" w:gutter="0"/>
          <w:pgNumType w:fmt="lowerRoman" w:start="1"/>
          <w:cols w:space="720" w:num="1"/>
          <w:titlePg/>
          <w:docGrid w:type="lines" w:linePitch="326" w:charSpace="-4916"/>
        </w:sectPr>
      </w:pPr>
    </w:p>
    <w:p>
      <w:pPr>
        <w:pStyle w:val="2"/>
        <w:adjustRightInd w:val="0"/>
        <w:spacing w:before="0" w:after="0" w:line="276" w:lineRule="auto"/>
        <w:textAlignment w:val="baseline"/>
        <w:rPr>
          <w:rFonts w:ascii="宋体_GB2312" w:hAnsi="宋体_GB2312" w:eastAsia="宋体_GB2312"/>
          <w:sz w:val="24"/>
          <w:szCs w:val="24"/>
          <w:lang w:val="en-US"/>
        </w:rPr>
      </w:pPr>
      <w:bookmarkStart w:id="0" w:name="_Toc362878548"/>
      <w:bookmarkStart w:id="1" w:name="_Toc112"/>
      <w:bookmarkStart w:id="2" w:name="_Toc362879563"/>
      <w:bookmarkStart w:id="3" w:name="_Toc27401435"/>
      <w:bookmarkStart w:id="4" w:name="_Toc19227"/>
      <w:bookmarkStart w:id="5" w:name="_Toc31196"/>
      <w:bookmarkStart w:id="6" w:name="_Toc131219952"/>
      <w:bookmarkStart w:id="7" w:name="_Toc132100051"/>
      <w:r>
        <w:rPr>
          <w:rFonts w:hint="eastAsia" w:ascii="宋体_GB2312" w:hAnsi="宋体_GB2312" w:eastAsia="宋体_GB2312"/>
          <w:sz w:val="24"/>
          <w:szCs w:val="24"/>
          <w:lang w:val="en-US"/>
        </w:rPr>
        <w:t>1 概述</w:t>
      </w:r>
      <w:bookmarkEnd w:id="0"/>
      <w:bookmarkEnd w:id="1"/>
      <w:bookmarkEnd w:id="2"/>
      <w:bookmarkEnd w:id="3"/>
      <w:bookmarkEnd w:id="4"/>
      <w:bookmarkEnd w:id="5"/>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1.1本文件为中国联通传统光缆交接箱技术规范书（2020版）。本次</w:t>
      </w:r>
      <w:r>
        <w:rPr>
          <w:rFonts w:ascii="宋体_GB2312" w:hAnsi="宋体_GB2312" w:eastAsia="宋体_GB2312"/>
          <w:sz w:val="24"/>
        </w:rPr>
        <w:t>只对</w:t>
      </w:r>
      <w:r>
        <w:rPr>
          <w:rFonts w:hint="eastAsia" w:ascii="宋体_GB2312" w:hAnsi="宋体_GB2312" w:eastAsia="宋体_GB2312"/>
          <w:sz w:val="24"/>
        </w:rPr>
        <w:t>144芯</w:t>
      </w:r>
      <w:r>
        <w:rPr>
          <w:rFonts w:ascii="宋体_GB2312" w:hAnsi="宋体_GB2312" w:eastAsia="宋体_GB2312"/>
          <w:sz w:val="24"/>
        </w:rPr>
        <w:t>、</w:t>
      </w:r>
      <w:r>
        <w:rPr>
          <w:rFonts w:hint="eastAsia" w:ascii="宋体_GB2312" w:hAnsi="宋体_GB2312" w:eastAsia="宋体_GB2312"/>
          <w:sz w:val="24"/>
        </w:rPr>
        <w:t>288芯</w:t>
      </w:r>
      <w:r>
        <w:rPr>
          <w:rFonts w:ascii="宋体_GB2312" w:hAnsi="宋体_GB2312" w:eastAsia="宋体_GB2312"/>
          <w:sz w:val="24"/>
        </w:rPr>
        <w:t>、</w:t>
      </w:r>
      <w:r>
        <w:rPr>
          <w:rFonts w:hint="eastAsia" w:ascii="宋体_GB2312" w:hAnsi="宋体_GB2312" w:eastAsia="宋体_GB2312"/>
          <w:sz w:val="24"/>
        </w:rPr>
        <w:t>576芯传统光缆</w:t>
      </w:r>
      <w:r>
        <w:rPr>
          <w:rFonts w:ascii="宋体_GB2312" w:hAnsi="宋体_GB2312" w:eastAsia="宋体_GB2312"/>
          <w:sz w:val="24"/>
        </w:rPr>
        <w:t>交接箱</w:t>
      </w:r>
      <w:r>
        <w:rPr>
          <w:rFonts w:hint="eastAsia" w:ascii="宋体_GB2312" w:hAnsi="宋体_GB2312" w:eastAsia="宋体_GB2312"/>
          <w:sz w:val="24"/>
        </w:rPr>
        <w:t>进行招标，</w:t>
      </w:r>
      <w:r>
        <w:rPr>
          <w:rFonts w:ascii="宋体_GB2312" w:hAnsi="宋体_GB2312" w:eastAsia="宋体_GB2312"/>
          <w:sz w:val="24"/>
        </w:rPr>
        <w:t>并进行标准化结构</w:t>
      </w:r>
      <w:r>
        <w:rPr>
          <w:rFonts w:hint="eastAsia" w:ascii="宋体_GB2312" w:hAnsi="宋体_GB2312" w:eastAsia="宋体_GB2312"/>
          <w:sz w:val="24"/>
        </w:rPr>
        <w:t>规范</w:t>
      </w:r>
      <w:r>
        <w:rPr>
          <w:rFonts w:ascii="宋体_GB2312" w:hAnsi="宋体_GB2312" w:eastAsia="宋体_GB2312"/>
          <w:sz w:val="24"/>
        </w:rPr>
        <w:t>，</w:t>
      </w:r>
      <w:r>
        <w:rPr>
          <w:rFonts w:hint="eastAsia" w:ascii="宋体_GB2312" w:hAnsi="宋体_GB2312" w:eastAsia="宋体_GB2312"/>
          <w:sz w:val="24"/>
        </w:rPr>
        <w:t>对</w:t>
      </w:r>
      <w:r>
        <w:rPr>
          <w:rFonts w:ascii="宋体_GB2312" w:hAnsi="宋体_GB2312" w:eastAsia="宋体_GB2312"/>
          <w:sz w:val="24"/>
        </w:rPr>
        <w:t>其它容量的</w:t>
      </w:r>
      <w:r>
        <w:rPr>
          <w:rFonts w:hint="eastAsia" w:ascii="宋体_GB2312" w:hAnsi="宋体_GB2312" w:eastAsia="宋体_GB2312"/>
          <w:sz w:val="24"/>
        </w:rPr>
        <w:t>传统</w:t>
      </w:r>
      <w:r>
        <w:rPr>
          <w:rFonts w:ascii="宋体_GB2312" w:hAnsi="宋体_GB2312" w:eastAsia="宋体_GB2312"/>
          <w:sz w:val="24"/>
        </w:rPr>
        <w:t>光缆交接箱</w:t>
      </w:r>
      <w:r>
        <w:rPr>
          <w:rFonts w:hint="eastAsia" w:ascii="宋体_GB2312" w:hAnsi="宋体_GB2312" w:eastAsia="宋体_GB2312"/>
          <w:sz w:val="24"/>
        </w:rPr>
        <w:t>暂不进行招标。</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1.2本规范应用范围为光传输网络、光接入网等需要实现光缆、光纤的连接与调度的场景，实现主干光缆与配线光缆、配线</w:t>
      </w:r>
      <w:r>
        <w:rPr>
          <w:rFonts w:ascii="宋体_GB2312" w:hAnsi="宋体_GB2312" w:eastAsia="宋体_GB2312"/>
          <w:sz w:val="24"/>
        </w:rPr>
        <w:t>光缆与配线光缆</w:t>
      </w:r>
      <w:r>
        <w:rPr>
          <w:rFonts w:hint="eastAsia" w:ascii="宋体_GB2312" w:hAnsi="宋体_GB2312" w:eastAsia="宋体_GB2312"/>
          <w:sz w:val="24"/>
        </w:rPr>
        <w:t>的端接，并可放置光分路器的功能</w:t>
      </w:r>
      <w:r>
        <w:rPr>
          <w:rFonts w:ascii="宋体_GB2312" w:hAnsi="宋体_GB2312" w:eastAsia="宋体_GB2312"/>
          <w:sz w:val="24"/>
        </w:rPr>
        <w:t>。</w:t>
      </w:r>
      <w:r>
        <w:rPr>
          <w:rFonts w:hint="eastAsia" w:ascii="宋体_GB2312" w:hAnsi="宋体_GB2312" w:eastAsia="宋体_GB2312"/>
          <w:sz w:val="24"/>
        </w:rPr>
        <w:t>本规范对光缆交接箱中的熔纤、配线、分光各种性能及技术指标等方面提出了具体的要求。</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1.3本规范对传统光缆交接箱的箱体尺寸、箱体容量、箱体内部布局、12芯熔配一体化托盘、6位导轨板、光分路器托盘结构及尺寸、直熔单元外形尺寸及安装方式等提出了具体要求，可实现多厂家设备互换。</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1.4本规范依据中华人民共和国通信行业标准YD/T 988-20</w:t>
      </w:r>
      <w:r>
        <w:rPr>
          <w:rFonts w:ascii="宋体_GB2312" w:hAnsi="宋体_GB2312" w:eastAsia="宋体_GB2312"/>
          <w:sz w:val="24"/>
        </w:rPr>
        <w:t>15</w:t>
      </w:r>
      <w:r>
        <w:rPr>
          <w:rFonts w:hint="eastAsia" w:ascii="宋体_GB2312" w:hAnsi="宋体_GB2312" w:eastAsia="宋体_GB2312"/>
          <w:sz w:val="24"/>
        </w:rPr>
        <w:t>《通信光缆交接箱》、中国联通</w:t>
      </w:r>
      <w:r>
        <w:rPr>
          <w:rFonts w:ascii="宋体_GB2312" w:hAnsi="宋体_GB2312" w:eastAsia="宋体_GB2312"/>
          <w:sz w:val="24"/>
        </w:rPr>
        <w:t>企业标准Q</w:t>
      </w:r>
      <w:r>
        <w:rPr>
          <w:rFonts w:hint="eastAsia" w:ascii="宋体_GB2312" w:hAnsi="宋体_GB2312" w:eastAsia="宋体_GB2312"/>
          <w:sz w:val="24"/>
        </w:rPr>
        <w:t>B</w:t>
      </w:r>
      <w:r>
        <w:rPr>
          <w:rFonts w:ascii="宋体_GB2312" w:hAnsi="宋体_GB2312" w:eastAsia="宋体_GB2312"/>
          <w:sz w:val="24"/>
        </w:rPr>
        <w:t>/</w:t>
      </w:r>
      <w:r>
        <w:rPr>
          <w:rFonts w:hint="eastAsia" w:ascii="宋体_GB2312" w:hAnsi="宋体_GB2312" w:eastAsia="宋体_GB2312"/>
          <w:sz w:val="24"/>
        </w:rPr>
        <w:t>CU</w:t>
      </w:r>
      <w:r>
        <w:rPr>
          <w:rFonts w:ascii="宋体_GB2312" w:hAnsi="宋体_GB2312" w:eastAsia="宋体_GB2312"/>
          <w:sz w:val="24"/>
        </w:rPr>
        <w:t xml:space="preserve"> </w:t>
      </w:r>
      <w:r>
        <w:rPr>
          <w:rFonts w:hint="eastAsia" w:ascii="宋体_GB2312" w:hAnsi="宋体_GB2312" w:eastAsia="宋体_GB2312"/>
          <w:sz w:val="24"/>
        </w:rPr>
        <w:t>T12</w:t>
      </w:r>
      <w:r>
        <w:rPr>
          <w:rFonts w:ascii="宋体_GB2312" w:hAnsi="宋体_GB2312" w:eastAsia="宋体_GB2312"/>
          <w:sz w:val="24"/>
        </w:rPr>
        <w:t>-</w:t>
      </w:r>
      <w:r>
        <w:rPr>
          <w:rFonts w:hint="eastAsia" w:ascii="宋体_GB2312" w:hAnsi="宋体_GB2312" w:eastAsia="宋体_GB2312"/>
          <w:sz w:val="24"/>
        </w:rPr>
        <w:t>243</w:t>
      </w:r>
      <w:r>
        <w:rPr>
          <w:rFonts w:ascii="宋体_GB2312" w:hAnsi="宋体_GB2312" w:eastAsia="宋体_GB2312"/>
          <w:sz w:val="24"/>
        </w:rPr>
        <w:t>(</w:t>
      </w:r>
      <w:r>
        <w:rPr>
          <w:rFonts w:hint="eastAsia" w:ascii="宋体_GB2312" w:hAnsi="宋体_GB2312" w:eastAsia="宋体_GB2312"/>
          <w:sz w:val="24"/>
        </w:rPr>
        <w:t>2014</w:t>
      </w:r>
      <w:r>
        <w:rPr>
          <w:rFonts w:ascii="宋体_GB2312" w:hAnsi="宋体_GB2312" w:eastAsia="宋体_GB2312"/>
          <w:sz w:val="24"/>
        </w:rPr>
        <w:t>)</w:t>
      </w:r>
      <w:r>
        <w:rPr>
          <w:rFonts w:hint="eastAsia" w:ascii="宋体_GB2312" w:hAnsi="宋体_GB2312" w:eastAsia="宋体_GB2312"/>
          <w:sz w:val="24"/>
        </w:rPr>
        <w:t>《中国联通</w:t>
      </w:r>
      <w:r>
        <w:rPr>
          <w:rFonts w:ascii="宋体_GB2312" w:hAnsi="宋体_GB2312" w:eastAsia="宋体_GB2312"/>
          <w:sz w:val="24"/>
        </w:rPr>
        <w:t>ODN</w:t>
      </w:r>
      <w:r>
        <w:rPr>
          <w:rFonts w:hint="eastAsia" w:ascii="宋体_GB2312" w:hAnsi="宋体_GB2312" w:eastAsia="宋体_GB2312"/>
          <w:sz w:val="24"/>
        </w:rPr>
        <w:t>网络设备技术规范  第</w:t>
      </w:r>
      <w:r>
        <w:rPr>
          <w:rFonts w:ascii="宋体_GB2312" w:hAnsi="宋体_GB2312" w:eastAsia="宋体_GB2312"/>
          <w:sz w:val="24"/>
        </w:rPr>
        <w:t>5</w:t>
      </w:r>
      <w:r>
        <w:rPr>
          <w:rFonts w:hint="eastAsia" w:ascii="宋体_GB2312" w:hAnsi="宋体_GB2312" w:eastAsia="宋体_GB2312"/>
          <w:sz w:val="24"/>
        </w:rPr>
        <w:t>分册</w:t>
      </w:r>
      <w:r>
        <w:rPr>
          <w:rFonts w:ascii="宋体_GB2312" w:hAnsi="宋体_GB2312" w:eastAsia="宋体_GB2312"/>
          <w:sz w:val="24"/>
        </w:rPr>
        <w:t xml:space="preserve"> </w:t>
      </w:r>
      <w:r>
        <w:rPr>
          <w:rFonts w:hint="eastAsia" w:ascii="宋体_GB2312" w:hAnsi="宋体_GB2312" w:eastAsia="宋体_GB2312"/>
          <w:sz w:val="24"/>
        </w:rPr>
        <w:t>通信光缆交接箱技术规范》编制而成，设备厂商提供的产品应符合本</w:t>
      </w:r>
      <w:r>
        <w:rPr>
          <w:rFonts w:ascii="宋体_GB2312" w:hAnsi="宋体_GB2312" w:eastAsia="宋体_GB2312"/>
          <w:sz w:val="24"/>
        </w:rPr>
        <w:t>规范</w:t>
      </w:r>
      <w:r>
        <w:rPr>
          <w:rFonts w:hint="eastAsia" w:ascii="宋体_GB2312" w:hAnsi="宋体_GB2312" w:eastAsia="宋体_GB2312"/>
          <w:sz w:val="24"/>
        </w:rPr>
        <w:t>。随着标准的修订，设备厂商提供的产品应符合最新标准的要求。</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1.5本技术规范书未规定的其它技术要求应不劣于相关的中国国家标准、通信行业标准和</w:t>
      </w:r>
      <w:r>
        <w:rPr>
          <w:rFonts w:ascii="宋体_GB2312" w:hAnsi="宋体_GB2312" w:eastAsia="宋体_GB2312"/>
          <w:sz w:val="24"/>
        </w:rPr>
        <w:t>中国联通企业标准</w:t>
      </w:r>
      <w:r>
        <w:rPr>
          <w:rFonts w:hint="eastAsia" w:ascii="宋体_GB2312" w:hAnsi="宋体_GB2312" w:eastAsia="宋体_GB2312"/>
          <w:sz w:val="24"/>
        </w:rPr>
        <w:t>的要求。</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w:t>
      </w:r>
      <w:r>
        <w:rPr>
          <w:rFonts w:ascii="宋体_GB2312" w:hAnsi="宋体_GB2312" w:eastAsia="宋体_GB2312"/>
          <w:sz w:val="24"/>
        </w:rPr>
        <w:t>6</w:t>
      </w:r>
      <w:r>
        <w:rPr>
          <w:rFonts w:hint="eastAsia" w:ascii="宋体_GB2312" w:hAnsi="宋体_GB2312" w:eastAsia="宋体_GB2312"/>
          <w:sz w:val="24"/>
        </w:rPr>
        <w:t>本技术</w:t>
      </w:r>
      <w:r>
        <w:rPr>
          <w:rFonts w:hint="eastAsia" w:ascii="宋体_GB2312" w:hAnsi="宋体_GB2312" w:eastAsia="宋体_GB2312"/>
          <w:sz w:val="24"/>
          <w:lang w:val="en-GB"/>
        </w:rPr>
        <w:t>规范</w:t>
      </w:r>
      <w:r>
        <w:rPr>
          <w:rFonts w:hint="eastAsia" w:ascii="宋体_GB2312" w:hAnsi="宋体_GB2312" w:eastAsia="宋体_GB2312"/>
          <w:sz w:val="24"/>
        </w:rPr>
        <w:t>书未标明日期的中国国家标准、通信行业标准均使用最新版本（截至招标日）。</w:t>
      </w:r>
    </w:p>
    <w:p>
      <w:pPr>
        <w:spacing w:before="156" w:beforeLines="50" w:line="300" w:lineRule="auto"/>
        <w:ind w:firstLine="480" w:firstLineChars="200"/>
        <w:rPr>
          <w:rFonts w:ascii="宋体_GB2312" w:hAnsi="宋体_GB2312" w:eastAsia="宋体_GB2312"/>
          <w:sz w:val="24"/>
        </w:rPr>
      </w:pPr>
      <w:r>
        <w:rPr>
          <w:rFonts w:ascii="宋体_GB2312" w:hAnsi="宋体_GB2312" w:eastAsia="宋体_GB2312"/>
          <w:sz w:val="24"/>
        </w:rPr>
        <w:t>1.7</w:t>
      </w:r>
      <w:r>
        <w:rPr>
          <w:rFonts w:hint="eastAsia" w:ascii="宋体_GB2312" w:hAnsi="宋体_GB2312" w:eastAsia="宋体_GB2312"/>
          <w:sz w:val="24"/>
        </w:rPr>
        <w:t>投标人在答复中如无特别说明，投标人声明支持的功能应为设备已实现的功能，不包括有能力支持但尚未实现的、近期将要实现的、未来计划实现的功能。</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w:t>
      </w:r>
      <w:r>
        <w:rPr>
          <w:rFonts w:ascii="宋体_GB2312" w:hAnsi="宋体_GB2312" w:eastAsia="宋体_GB2312"/>
          <w:sz w:val="24"/>
        </w:rPr>
        <w:t>.8</w:t>
      </w:r>
      <w:r>
        <w:rPr>
          <w:rFonts w:hint="eastAsia" w:ascii="宋体_GB2312" w:hAnsi="宋体_GB2312" w:eastAsia="宋体_GB2312"/>
          <w:sz w:val="24"/>
        </w:rPr>
        <w:t>光缆交接箱使用寿命应≧2</w:t>
      </w:r>
      <w:r>
        <w:rPr>
          <w:rFonts w:ascii="宋体_GB2312" w:hAnsi="宋体_GB2312" w:eastAsia="宋体_GB2312"/>
          <w:sz w:val="24"/>
        </w:rPr>
        <w:t>0</w:t>
      </w:r>
      <w:r>
        <w:rPr>
          <w:rFonts w:hint="eastAsia" w:ascii="宋体_GB2312" w:hAnsi="宋体_GB2312" w:eastAsia="宋体_GB2312"/>
          <w:sz w:val="24"/>
        </w:rPr>
        <w:t>年。</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w:t>
      </w:r>
      <w:r>
        <w:rPr>
          <w:rFonts w:ascii="宋体_GB2312" w:hAnsi="宋体_GB2312" w:eastAsia="宋体_GB2312"/>
          <w:sz w:val="24"/>
        </w:rPr>
        <w:t>.9</w:t>
      </w:r>
      <w:r>
        <w:rPr>
          <w:rFonts w:hint="eastAsia" w:ascii="宋体_GB2312" w:hAnsi="宋体_GB2312" w:eastAsia="宋体_GB2312"/>
          <w:sz w:val="24"/>
        </w:rPr>
        <w:t>投标人原材料保证</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w:t>
      </w:r>
      <w:r>
        <w:rPr>
          <w:rFonts w:ascii="宋体_GB2312" w:hAnsi="宋体_GB2312" w:eastAsia="宋体_GB2312"/>
          <w:sz w:val="24"/>
        </w:rPr>
        <w:t>）</w:t>
      </w:r>
      <w:r>
        <w:rPr>
          <w:rFonts w:hint="eastAsia" w:ascii="宋体_GB2312" w:hAnsi="宋体_GB2312" w:eastAsia="宋体_GB2312"/>
          <w:sz w:val="24"/>
        </w:rPr>
        <w:t>投标人应保证本招标产品全部采用全新合格材料生产。</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（2</w:t>
      </w:r>
      <w:r>
        <w:rPr>
          <w:rFonts w:ascii="宋体_GB2312" w:hAnsi="宋体_GB2312" w:eastAsia="宋体_GB2312"/>
          <w:sz w:val="24"/>
        </w:rPr>
        <w:t>）</w:t>
      </w:r>
      <w:r>
        <w:rPr>
          <w:rFonts w:hint="eastAsia" w:ascii="宋体_GB2312" w:hAnsi="宋体_GB2312" w:eastAsia="宋体_GB2312"/>
          <w:sz w:val="24"/>
        </w:rPr>
        <w:t>投标人</w:t>
      </w:r>
      <w:r>
        <w:rPr>
          <w:rFonts w:hint="eastAsia" w:ascii="宋体_GB2312" w:hAnsi="宋体_GB2312" w:eastAsia="宋体_GB2312"/>
          <w:sz w:val="24"/>
          <w:lang w:val="en-GB"/>
        </w:rPr>
        <w:t>应</w:t>
      </w:r>
      <w:r>
        <w:rPr>
          <w:rFonts w:hint="eastAsia" w:ascii="宋体_GB2312" w:hAnsi="宋体_GB2312" w:eastAsia="宋体_GB2312"/>
          <w:sz w:val="24"/>
        </w:rPr>
        <w:t>保证不采用任何再生料、利旧料、废弃料、回收料、次品料等非全新合格材料来进行本招标产品的生产。</w:t>
      </w:r>
    </w:p>
    <w:p>
      <w:pPr>
        <w:spacing w:before="156" w:beforeLines="50" w:line="300" w:lineRule="auto"/>
        <w:ind w:firstLine="480" w:firstLineChars="200"/>
        <w:rPr>
          <w:rFonts w:ascii="宋体_GB2312" w:hAnsi="宋体_GB2312" w:eastAsia="宋体_GB2312"/>
          <w:sz w:val="24"/>
          <w:highlight w:val="none"/>
        </w:rPr>
      </w:pPr>
      <w:r>
        <w:rPr>
          <w:rFonts w:hint="eastAsia" w:ascii="宋体_GB2312" w:hAnsi="宋体_GB2312" w:eastAsia="宋体_GB2312"/>
          <w:sz w:val="24"/>
        </w:rPr>
        <w:t>（3</w:t>
      </w:r>
      <w:r>
        <w:rPr>
          <w:rFonts w:ascii="宋体_GB2312" w:hAnsi="宋体_GB2312" w:eastAsia="宋体_GB2312"/>
          <w:sz w:val="24"/>
        </w:rPr>
        <w:t>）</w:t>
      </w:r>
      <w:r>
        <w:rPr>
          <w:rFonts w:hint="eastAsia" w:ascii="宋体_GB2312" w:hAnsi="宋体_GB2312" w:eastAsia="宋体_GB2312"/>
          <w:sz w:val="24"/>
        </w:rPr>
        <w:t>投标人</w:t>
      </w:r>
      <w:r>
        <w:rPr>
          <w:rFonts w:hint="eastAsia" w:ascii="宋体_GB2312" w:hAnsi="宋体_GB2312" w:eastAsia="宋体_GB2312"/>
          <w:sz w:val="24"/>
          <w:lang w:val="en-GB"/>
        </w:rPr>
        <w:t>应</w:t>
      </w:r>
      <w:r>
        <w:rPr>
          <w:rFonts w:hint="eastAsia" w:ascii="宋体_GB2312" w:hAnsi="宋体_GB2312" w:eastAsia="宋体_GB2312"/>
          <w:sz w:val="24"/>
        </w:rPr>
        <w:t>保</w:t>
      </w:r>
      <w:r>
        <w:rPr>
          <w:rFonts w:hint="eastAsia" w:ascii="宋体_GB2312" w:hAnsi="宋体_GB2312" w:eastAsia="宋体_GB2312"/>
          <w:sz w:val="24"/>
          <w:highlight w:val="none"/>
        </w:rPr>
        <w:t>证不采用和本招标产品无关的半成品材料来生产本招标产品。</w:t>
      </w:r>
    </w:p>
    <w:p>
      <w:pPr>
        <w:spacing w:before="120" w:beforeLines="50" w:line="300" w:lineRule="auto"/>
        <w:ind w:firstLine="480" w:firstLineChars="200"/>
        <w:rPr>
          <w:rFonts w:hint="eastAsia" w:ascii="宋体_GB2312" w:hAnsi="宋体_GB2312" w:eastAsia="宋体_GB2312"/>
          <w:sz w:val="24"/>
          <w:szCs w:val="22"/>
          <w:highlight w:val="none"/>
        </w:rPr>
      </w:pPr>
      <w:bookmarkStart w:id="8" w:name="_Toc362879564"/>
      <w:bookmarkStart w:id="9" w:name="_Toc362878549"/>
      <w:r>
        <w:rPr>
          <w:rFonts w:ascii="宋体_GB2312" w:hAnsi="宋体_GB2312" w:eastAsia="宋体_GB2312"/>
          <w:sz w:val="24"/>
          <w:szCs w:val="22"/>
          <w:highlight w:val="none"/>
        </w:rPr>
        <w:t>1.</w:t>
      </w:r>
      <w:r>
        <w:rPr>
          <w:rFonts w:hint="eastAsia" w:ascii="宋体_GB2312" w:hAnsi="宋体_GB2312" w:eastAsia="宋体_GB2312"/>
          <w:sz w:val="24"/>
          <w:szCs w:val="22"/>
          <w:highlight w:val="none"/>
          <w:lang w:val="en-US" w:eastAsia="zh-CN"/>
        </w:rPr>
        <w:t>10</w:t>
      </w:r>
      <w:r>
        <w:rPr>
          <w:rFonts w:hint="eastAsia" w:ascii="宋体_GB2312" w:hAnsi="宋体_GB2312" w:eastAsia="宋体_GB2312"/>
          <w:sz w:val="24"/>
          <w:szCs w:val="22"/>
          <w:highlight w:val="none"/>
        </w:rPr>
        <w:t>加注</w:t>
      </w:r>
      <w:r>
        <w:rPr>
          <w:rFonts w:hint="eastAsia" w:ascii="宋体_GB2312" w:hAnsi="宋体_GB2312" w:eastAsia="宋体_GB2312"/>
          <w:b/>
          <w:color w:val="FF0000"/>
          <w:sz w:val="24"/>
          <w:szCs w:val="22"/>
          <w:highlight w:val="none"/>
        </w:rPr>
        <w:t>★</w:t>
      </w:r>
      <w:r>
        <w:rPr>
          <w:rFonts w:hint="eastAsia" w:ascii="宋体_GB2312" w:hAnsi="宋体_GB2312" w:eastAsia="宋体_GB2312"/>
          <w:sz w:val="24"/>
          <w:szCs w:val="22"/>
          <w:highlight w:val="none"/>
        </w:rPr>
        <w:t>的技术指标为</w:t>
      </w:r>
      <w:r>
        <w:rPr>
          <w:rFonts w:ascii="宋体_GB2312" w:hAnsi="宋体_GB2312" w:eastAsia="宋体_GB2312"/>
          <w:sz w:val="24"/>
          <w:szCs w:val="22"/>
          <w:highlight w:val="none"/>
        </w:rPr>
        <w:t>A类</w:t>
      </w:r>
      <w:r>
        <w:rPr>
          <w:rFonts w:hint="eastAsia" w:ascii="宋体_GB2312" w:hAnsi="宋体_GB2312" w:eastAsia="宋体_GB2312"/>
          <w:sz w:val="24"/>
          <w:szCs w:val="22"/>
          <w:highlight w:val="none"/>
        </w:rPr>
        <w:t>关键</w:t>
      </w:r>
      <w:r>
        <w:rPr>
          <w:rFonts w:ascii="宋体_GB2312" w:hAnsi="宋体_GB2312" w:eastAsia="宋体_GB2312"/>
          <w:sz w:val="24"/>
          <w:szCs w:val="22"/>
          <w:highlight w:val="none"/>
        </w:rPr>
        <w:t>指标</w:t>
      </w:r>
      <w:r>
        <w:rPr>
          <w:rFonts w:hint="eastAsia" w:ascii="宋体_GB2312" w:hAnsi="宋体_GB2312" w:eastAsia="宋体_GB2312"/>
          <w:sz w:val="24"/>
          <w:szCs w:val="22"/>
          <w:highlight w:val="none"/>
        </w:rPr>
        <w:t>，不可偏离；其它技术指标为</w:t>
      </w:r>
      <w:r>
        <w:rPr>
          <w:rFonts w:ascii="宋体_GB2312" w:hAnsi="宋体_GB2312" w:eastAsia="宋体_GB2312"/>
          <w:sz w:val="24"/>
          <w:szCs w:val="22"/>
          <w:highlight w:val="none"/>
        </w:rPr>
        <w:t>B类指标。</w:t>
      </w:r>
      <w:r>
        <w:rPr>
          <w:rFonts w:hint="eastAsia" w:ascii="宋体_GB2312" w:hAnsi="宋体_GB2312" w:eastAsia="宋体_GB2312"/>
          <w:sz w:val="24"/>
          <w:szCs w:val="22"/>
          <w:highlight w:val="none"/>
        </w:rPr>
        <w:t>任一项</w:t>
      </w:r>
      <w:r>
        <w:rPr>
          <w:rFonts w:ascii="宋体_GB2312" w:hAnsi="宋体_GB2312" w:eastAsia="宋体_GB2312"/>
          <w:sz w:val="24"/>
          <w:szCs w:val="22"/>
          <w:highlight w:val="none"/>
        </w:rPr>
        <w:t>A类</w:t>
      </w:r>
      <w:r>
        <w:rPr>
          <w:rFonts w:hint="eastAsia" w:ascii="宋体_GB2312" w:hAnsi="宋体_GB2312" w:eastAsia="宋体_GB2312"/>
          <w:sz w:val="24"/>
          <w:szCs w:val="22"/>
          <w:highlight w:val="none"/>
        </w:rPr>
        <w:t>关键指标不合格即判定该投标人本次招标测试不合格，不具备招标入围条件。对于</w:t>
      </w:r>
      <w:r>
        <w:rPr>
          <w:rFonts w:ascii="宋体_GB2312" w:hAnsi="宋体_GB2312" w:eastAsia="宋体_GB2312"/>
          <w:sz w:val="24"/>
          <w:szCs w:val="22"/>
          <w:highlight w:val="none"/>
        </w:rPr>
        <w:t>B类指</w:t>
      </w:r>
      <w:r>
        <w:rPr>
          <w:rFonts w:ascii="宋体_GB2312" w:hAnsi="宋体_GB2312" w:eastAsia="宋体_GB2312"/>
          <w:color w:val="auto"/>
          <w:sz w:val="24"/>
          <w:szCs w:val="22"/>
          <w:highlight w:val="none"/>
        </w:rPr>
        <w:t>标，</w:t>
      </w:r>
      <w:r>
        <w:rPr>
          <w:rFonts w:hint="eastAsia" w:ascii="宋体_GB2312" w:hAnsi="宋体_GB2312" w:eastAsia="宋体_GB2312"/>
          <w:color w:val="auto"/>
          <w:sz w:val="24"/>
          <w:szCs w:val="22"/>
          <w:highlight w:val="none"/>
        </w:rPr>
        <w:t>每任意两项不合格，则视为一个</w:t>
      </w:r>
      <w:r>
        <w:rPr>
          <w:rFonts w:ascii="宋体_GB2312" w:hAnsi="宋体_GB2312" w:eastAsia="宋体_GB2312"/>
          <w:color w:val="auto"/>
          <w:sz w:val="24"/>
          <w:szCs w:val="22"/>
          <w:highlight w:val="none"/>
        </w:rPr>
        <w:t>A类关键指标不合格</w:t>
      </w:r>
      <w:r>
        <w:rPr>
          <w:rFonts w:hint="eastAsia" w:ascii="宋体_GB2312" w:hAnsi="宋体_GB2312" w:eastAsia="宋体_GB2312"/>
          <w:color w:val="auto"/>
          <w:sz w:val="24"/>
          <w:szCs w:val="22"/>
          <w:highlight w:val="none"/>
        </w:rPr>
        <w:t>，即判定该投标人本次招标测试不合格，不具备招标入围条件。对于</w:t>
      </w:r>
      <w:r>
        <w:rPr>
          <w:rFonts w:ascii="宋体_GB2312" w:hAnsi="宋体_GB2312" w:eastAsia="宋体_GB2312"/>
          <w:color w:val="auto"/>
          <w:sz w:val="24"/>
          <w:szCs w:val="22"/>
          <w:highlight w:val="none"/>
        </w:rPr>
        <w:t>B类</w:t>
      </w:r>
      <w:r>
        <w:rPr>
          <w:rFonts w:hint="eastAsia" w:ascii="宋体_GB2312" w:hAnsi="宋体_GB2312" w:eastAsia="宋体_GB2312"/>
          <w:color w:val="auto"/>
          <w:sz w:val="24"/>
          <w:szCs w:val="22"/>
          <w:highlight w:val="none"/>
        </w:rPr>
        <w:t>指标在招标测试时不合格，但可以上架的（</w:t>
      </w:r>
      <w:r>
        <w:rPr>
          <w:rFonts w:ascii="宋体_GB2312" w:hAnsi="宋体_GB2312" w:eastAsia="宋体_GB2312"/>
          <w:color w:val="auto"/>
          <w:sz w:val="24"/>
          <w:szCs w:val="22"/>
          <w:highlight w:val="none"/>
        </w:rPr>
        <w:t>B类不合格指标</w:t>
      </w:r>
      <w:r>
        <w:rPr>
          <w:rFonts w:hint="eastAsia" w:ascii="宋体_GB2312" w:hAnsi="宋体_GB2312" w:eastAsia="宋体_GB2312"/>
          <w:color w:val="auto"/>
          <w:sz w:val="24"/>
          <w:szCs w:val="22"/>
          <w:highlight w:val="none"/>
          <w:lang w:val="en-US" w:eastAsia="zh-CN"/>
        </w:rPr>
        <w:t>为一项</w:t>
      </w:r>
      <w:r>
        <w:rPr>
          <w:rFonts w:hint="eastAsia" w:ascii="宋体_GB2312" w:hAnsi="宋体_GB2312" w:eastAsia="宋体_GB2312"/>
          <w:color w:val="auto"/>
          <w:sz w:val="24"/>
          <w:szCs w:val="22"/>
          <w:highlight w:val="none"/>
        </w:rPr>
        <w:t>），投标人必须保证在产品上架和供货时，不合格指标应达到本技术规范书要求，全部为合格</w:t>
      </w:r>
      <w:r>
        <w:rPr>
          <w:rFonts w:hint="eastAsia" w:ascii="宋体_GB2312" w:hAnsi="宋体_GB2312" w:eastAsia="宋体_GB2312"/>
          <w:color w:val="auto"/>
          <w:sz w:val="24"/>
          <w:szCs w:val="22"/>
          <w:highlight w:val="none"/>
          <w:lang w:val="en-US" w:eastAsia="zh-CN"/>
        </w:rPr>
        <w:t>指标</w:t>
      </w:r>
      <w:r>
        <w:rPr>
          <w:rFonts w:hint="eastAsia" w:ascii="宋体_GB2312" w:hAnsi="宋体_GB2312" w:eastAsia="宋体_GB2312"/>
          <w:color w:val="auto"/>
          <w:sz w:val="24"/>
          <w:szCs w:val="22"/>
          <w:highlight w:val="none"/>
        </w:rPr>
        <w:t>。该规定也适用于后期抽检测试。</w:t>
      </w:r>
    </w:p>
    <w:p>
      <w:pPr>
        <w:spacing w:before="156" w:beforeLines="50" w:line="300" w:lineRule="auto"/>
        <w:ind w:firstLine="480" w:firstLineChars="200"/>
        <w:rPr>
          <w:rFonts w:ascii="宋体_GB2312" w:hAnsi="宋体_GB2312" w:eastAsia="宋体_GB2312"/>
          <w:sz w:val="24"/>
          <w:highlight w:val="none"/>
        </w:rPr>
      </w:pPr>
      <w:r>
        <w:rPr>
          <w:rFonts w:ascii="宋体_GB2312" w:hAnsi="宋体_GB2312" w:eastAsia="宋体_GB2312"/>
          <w:sz w:val="24"/>
          <w:highlight w:val="none"/>
        </w:rPr>
        <w:t>1.11</w:t>
      </w:r>
      <w:r>
        <w:rPr>
          <w:rFonts w:hint="eastAsia" w:ascii="宋体_GB2312" w:hAnsi="宋体_GB2312" w:eastAsia="宋体_GB2312"/>
          <w:sz w:val="24"/>
          <w:highlight w:val="none"/>
        </w:rPr>
        <w:t>本文件的解释权属于招标人。</w:t>
      </w:r>
    </w:p>
    <w:p>
      <w:pPr>
        <w:pStyle w:val="2"/>
        <w:adjustRightInd w:val="0"/>
        <w:spacing w:before="0" w:after="0" w:line="276" w:lineRule="auto"/>
        <w:textAlignment w:val="baseline"/>
        <w:rPr>
          <w:rFonts w:ascii="宋体_GB2312" w:hAnsi="宋体_GB2312" w:eastAsia="宋体_GB2312"/>
          <w:sz w:val="24"/>
          <w:szCs w:val="24"/>
          <w:lang w:val="en-US"/>
        </w:rPr>
      </w:pPr>
      <w:bookmarkStart w:id="10" w:name="_Toc15565"/>
      <w:bookmarkStart w:id="11" w:name="_Toc18564"/>
      <w:bookmarkStart w:id="12" w:name="_Toc27401436"/>
      <w:bookmarkStart w:id="13" w:name="_Toc26839"/>
      <w:r>
        <w:rPr>
          <w:rFonts w:hint="eastAsia" w:ascii="宋体_GB2312" w:hAnsi="宋体_GB2312" w:eastAsia="宋体_GB2312"/>
          <w:sz w:val="24"/>
          <w:szCs w:val="24"/>
          <w:lang w:val="en-US"/>
        </w:rPr>
        <w:t>2 总体要求</w:t>
      </w:r>
      <w:bookmarkEnd w:id="8"/>
      <w:bookmarkEnd w:id="9"/>
      <w:bookmarkEnd w:id="10"/>
      <w:bookmarkEnd w:id="11"/>
      <w:bookmarkEnd w:id="12"/>
      <w:bookmarkEnd w:id="13"/>
      <w:bookmarkStart w:id="14" w:name="_Toc362879565"/>
      <w:bookmarkStart w:id="15" w:name="_Toc362878550"/>
    </w:p>
    <w:p>
      <w:pPr>
        <w:pStyle w:val="2"/>
        <w:adjustRightInd w:val="0"/>
        <w:spacing w:before="0" w:after="0" w:line="276" w:lineRule="auto"/>
        <w:textAlignment w:val="baseline"/>
        <w:rPr>
          <w:rFonts w:ascii="宋体_GB2312" w:hAnsi="宋体_GB2312" w:eastAsia="宋体_GB2312"/>
          <w:sz w:val="24"/>
          <w:szCs w:val="24"/>
          <w:lang w:val="en-US"/>
        </w:rPr>
      </w:pPr>
      <w:bookmarkStart w:id="16" w:name="_Toc15581"/>
      <w:bookmarkStart w:id="17" w:name="_Toc28921"/>
      <w:bookmarkStart w:id="18" w:name="_Toc27401437"/>
      <w:bookmarkStart w:id="19" w:name="_Toc6305"/>
      <w:r>
        <w:rPr>
          <w:rFonts w:hint="eastAsia" w:ascii="宋体_GB2312" w:hAnsi="宋体_GB2312" w:eastAsia="宋体_GB2312"/>
          <w:sz w:val="24"/>
          <w:szCs w:val="24"/>
          <w:lang w:val="en-US"/>
        </w:rPr>
        <w:t>2.1总体描述</w:t>
      </w:r>
      <w:bookmarkEnd w:id="14"/>
      <w:bookmarkEnd w:id="15"/>
      <w:bookmarkEnd w:id="16"/>
      <w:bookmarkEnd w:id="17"/>
      <w:bookmarkEnd w:id="18"/>
      <w:bookmarkEnd w:id="19"/>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交接箱的工作单元应采用模块化设计，其中包括箱体、光缆固定装置、接地装置、光分单元、主干光缆熔接单元、配线光缆熔接单元、直熔单元、储纤单元、盘纤单元等，其中光分单元、主干光缆熔接单元、配线光缆熔接单元、直熔单元等工作单元尺寸及结构应符合本技术规范书要求。</w:t>
      </w:r>
      <w:bookmarkStart w:id="20" w:name="_Toc362878551"/>
      <w:bookmarkStart w:id="21" w:name="_Toc362879566"/>
    </w:p>
    <w:p>
      <w:pPr>
        <w:pStyle w:val="2"/>
        <w:adjustRightInd w:val="0"/>
        <w:spacing w:before="0" w:after="0" w:line="276" w:lineRule="auto"/>
        <w:textAlignment w:val="baseline"/>
        <w:rPr>
          <w:rFonts w:ascii="宋体_GB2312" w:hAnsi="宋体_GB2312" w:eastAsia="宋体_GB2312"/>
          <w:sz w:val="24"/>
          <w:szCs w:val="24"/>
          <w:lang w:val="en-US"/>
        </w:rPr>
      </w:pPr>
      <w:bookmarkStart w:id="22" w:name="_Toc27401438"/>
      <w:bookmarkStart w:id="23" w:name="_Toc4290"/>
      <w:bookmarkStart w:id="24" w:name="_Toc22562"/>
      <w:bookmarkStart w:id="25" w:name="_Toc8130"/>
      <w:r>
        <w:rPr>
          <w:rFonts w:hint="eastAsia" w:ascii="宋体_GB2312" w:hAnsi="宋体_GB2312" w:eastAsia="宋体_GB2312"/>
          <w:sz w:val="24"/>
          <w:szCs w:val="24"/>
          <w:lang w:val="en-US"/>
        </w:rPr>
        <w:t>2.2外观与结构</w:t>
      </w:r>
      <w:bookmarkEnd w:id="20"/>
      <w:bookmarkEnd w:id="21"/>
      <w:bookmarkEnd w:id="22"/>
      <w:bookmarkEnd w:id="23"/>
      <w:bookmarkEnd w:id="24"/>
      <w:bookmarkEnd w:id="25"/>
    </w:p>
    <w:p>
      <w:pPr>
        <w:pStyle w:val="42"/>
        <w:numPr>
          <w:ilvl w:val="0"/>
          <w:numId w:val="5"/>
        </w:numPr>
        <w:spacing w:line="560" w:lineRule="exact"/>
        <w:ind w:left="0" w:firstLine="0"/>
        <w:rPr>
          <w:rFonts w:ascii="宋体_GB2312" w:hAnsi="宋体_GB2312" w:eastAsia="宋体_GB2312"/>
          <w:sz w:val="24"/>
        </w:rPr>
      </w:pPr>
      <w:bookmarkStart w:id="26" w:name="_Toc362878552"/>
      <w:r>
        <w:rPr>
          <w:rFonts w:hint="eastAsia" w:ascii="宋体_GB2312" w:hAnsi="宋体_GB2312" w:eastAsia="宋体_GB2312"/>
          <w:sz w:val="24"/>
        </w:rPr>
        <w:t>箱体尺寸</w:t>
      </w:r>
      <w:bookmarkEnd w:id="26"/>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交接箱箱体的外形尺寸不宜超过 1600mm×l500mm×630mm（高×宽×深）。</w:t>
      </w:r>
    </w:p>
    <w:p>
      <w:pPr>
        <w:pStyle w:val="42"/>
        <w:numPr>
          <w:ilvl w:val="0"/>
          <w:numId w:val="5"/>
        </w:numPr>
        <w:spacing w:line="560" w:lineRule="exact"/>
        <w:ind w:left="0" w:firstLine="0"/>
        <w:rPr>
          <w:rFonts w:ascii="宋体_GB2312" w:hAnsi="宋体_GB2312" w:eastAsia="宋体_GB2312"/>
          <w:sz w:val="24"/>
        </w:rPr>
      </w:pPr>
      <w:bookmarkStart w:id="27" w:name="_Toc362878553"/>
      <w:r>
        <w:rPr>
          <w:rFonts w:hint="eastAsia" w:ascii="宋体_GB2312" w:hAnsi="宋体_GB2312" w:eastAsia="宋体_GB2312"/>
          <w:sz w:val="24"/>
        </w:rPr>
        <w:t>箱体结构形式</w:t>
      </w:r>
      <w:bookmarkEnd w:id="27"/>
    </w:p>
    <w:bookmarkEnd w:id="6"/>
    <w:bookmarkEnd w:id="7"/>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w:t>
      </w:r>
      <w:r>
        <w:rPr>
          <w:rFonts w:ascii="宋体_GB2312" w:hAnsi="宋体_GB2312" w:eastAsia="宋体_GB2312"/>
          <w:sz w:val="24"/>
        </w:rPr>
        <w:t>箱体采用SMC模压材料</w:t>
      </w:r>
      <w:r>
        <w:rPr>
          <w:rFonts w:hint="eastAsia" w:ascii="宋体_GB2312" w:hAnsi="宋体_GB2312" w:eastAsia="宋体_GB2312"/>
          <w:sz w:val="24"/>
        </w:rPr>
        <w:t>、</w:t>
      </w:r>
      <w:r>
        <w:rPr>
          <w:rFonts w:ascii="宋体_GB2312" w:hAnsi="宋体_GB2312" w:eastAsia="宋体_GB2312"/>
          <w:sz w:val="24"/>
        </w:rPr>
        <w:t>不锈钢钢板的封闭结构形式。SMC箱体采用模压结构，</w:t>
      </w:r>
      <w:r>
        <w:rPr>
          <w:rFonts w:hint="eastAsia" w:ascii="宋体_GB2312" w:hAnsi="宋体_GB2312" w:eastAsia="宋体_GB2312"/>
          <w:sz w:val="24"/>
        </w:rPr>
        <w:t>金属</w:t>
      </w:r>
      <w:r>
        <w:rPr>
          <w:rFonts w:ascii="宋体_GB2312" w:hAnsi="宋体_GB2312" w:eastAsia="宋体_GB2312"/>
          <w:sz w:val="24"/>
        </w:rPr>
        <w:t>箱体采用三明治式双层结构。本标准给出的箱体尺寸为参考尺寸。门通过铰链结构连接，门可自由</w:t>
      </w:r>
      <w:r>
        <w:rPr>
          <w:rFonts w:hint="eastAsia" w:ascii="宋体_GB2312" w:hAnsi="宋体_GB2312" w:eastAsia="宋体_GB2312"/>
          <w:sz w:val="24"/>
        </w:rPr>
        <w:t>开合</w:t>
      </w:r>
      <w:r>
        <w:rPr>
          <w:rFonts w:ascii="宋体_GB2312" w:hAnsi="宋体_GB2312" w:eastAsia="宋体_GB2312"/>
          <w:sz w:val="24"/>
        </w:rPr>
        <w:t>5000次不损坏。门锁应为防盗结构，具有良好的抗破坏性，应符合中华人民共和国公共安全行业标准GA/T 73-2015</w:t>
      </w:r>
      <w:r>
        <w:rPr>
          <w:rFonts w:hint="eastAsia" w:ascii="宋体_GB2312" w:hAnsi="宋体_GB2312" w:eastAsia="宋体_GB2312"/>
          <w:sz w:val="24"/>
        </w:rPr>
        <w:t>《</w:t>
      </w:r>
      <w:r>
        <w:rPr>
          <w:rFonts w:ascii="宋体_GB2312" w:hAnsi="宋体_GB2312" w:eastAsia="宋体_GB2312"/>
          <w:sz w:val="24"/>
        </w:rPr>
        <w:t>机械防盗锁</w:t>
      </w:r>
      <w:r>
        <w:rPr>
          <w:rFonts w:hint="eastAsia" w:ascii="宋体_GB2312" w:hAnsi="宋体_GB2312" w:eastAsia="宋体_GB2312"/>
          <w:sz w:val="24"/>
        </w:rPr>
        <w:t>》</w:t>
      </w:r>
      <w:r>
        <w:rPr>
          <w:rFonts w:ascii="宋体_GB2312" w:hAnsi="宋体_GB2312" w:eastAsia="宋体_GB2312"/>
          <w:sz w:val="24"/>
        </w:rPr>
        <w:t>规定。</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（2）</w:t>
      </w:r>
      <w:r>
        <w:rPr>
          <w:rFonts w:ascii="宋体_GB2312" w:hAnsi="宋体_GB2312" w:eastAsia="宋体_GB2312"/>
          <w:sz w:val="24"/>
        </w:rPr>
        <w:t>光缆从箱体的底座进缆孔进</w:t>
      </w:r>
      <w:r>
        <w:rPr>
          <w:rFonts w:hint="eastAsia" w:ascii="宋体_GB2312" w:hAnsi="宋体_GB2312" w:eastAsia="宋体_GB2312"/>
          <w:sz w:val="24"/>
        </w:rPr>
        <w:t>出</w:t>
      </w:r>
      <w:r>
        <w:rPr>
          <w:rFonts w:ascii="宋体_GB2312" w:hAnsi="宋体_GB2312" w:eastAsia="宋体_GB2312"/>
          <w:sz w:val="24"/>
        </w:rPr>
        <w:t>。箱体留有相对独立的进出线孔，孔洞数量</w:t>
      </w:r>
      <w:r>
        <w:rPr>
          <w:rFonts w:hint="eastAsia" w:ascii="宋体_GB2312" w:hAnsi="宋体_GB2312" w:eastAsia="宋体_GB2312"/>
          <w:sz w:val="24"/>
        </w:rPr>
        <w:t>应</w:t>
      </w:r>
      <w:r>
        <w:rPr>
          <w:rFonts w:ascii="宋体_GB2312" w:hAnsi="宋体_GB2312" w:eastAsia="宋体_GB2312"/>
          <w:sz w:val="24"/>
        </w:rPr>
        <w:t>满足满配时的需求。</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（3）144芯、288芯、576芯双面光缆交接箱采用单面右开门操作结构；</w:t>
      </w:r>
      <w:bookmarkStart w:id="28" w:name="OLE_LINK3"/>
      <w:bookmarkStart w:id="29" w:name="OLE_LINK2"/>
      <w:r>
        <w:rPr>
          <w:rFonts w:hint="eastAsia" w:ascii="宋体_GB2312" w:hAnsi="宋体_GB2312" w:eastAsia="宋体_GB2312"/>
          <w:sz w:val="24"/>
        </w:rPr>
        <w:t>576芯</w:t>
      </w:r>
      <w:bookmarkEnd w:id="28"/>
      <w:bookmarkEnd w:id="29"/>
      <w:r>
        <w:rPr>
          <w:rFonts w:hint="eastAsia" w:ascii="宋体_GB2312" w:hAnsi="宋体_GB2312" w:eastAsia="宋体_GB2312"/>
          <w:sz w:val="24"/>
        </w:rPr>
        <w:t>单面光缆交接箱采用单面双开门操作结构。576芯单面双开门操作结构中，应设有水平走纤槽道，以便于水平走纤的管理和维护。</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（4）</w:t>
      </w:r>
      <w:r>
        <w:rPr>
          <w:rFonts w:ascii="宋体_GB2312" w:hAnsi="宋体_GB2312" w:eastAsia="宋体_GB2312"/>
          <w:sz w:val="24"/>
        </w:rPr>
        <w:t>光缆交接箱配有密封腻子，以便于线缆引入孔处的密封，防止水和啮齿类动物进入机箱。密封腻子</w:t>
      </w:r>
      <w:r>
        <w:rPr>
          <w:rFonts w:hint="eastAsia" w:ascii="宋体_GB2312" w:hAnsi="宋体_GB2312" w:eastAsia="宋体_GB2312"/>
          <w:sz w:val="24"/>
        </w:rPr>
        <w:t>应高温不流淌，低温不凝固，遇到潮气会膨胀，切实达到密封要求。</w:t>
      </w:r>
    </w:p>
    <w:p>
      <w:pPr>
        <w:pStyle w:val="42"/>
        <w:numPr>
          <w:ilvl w:val="0"/>
          <w:numId w:val="5"/>
        </w:numPr>
        <w:spacing w:line="560" w:lineRule="exact"/>
        <w:ind w:left="0" w:firstLine="0"/>
        <w:rPr>
          <w:rFonts w:ascii="宋体_GB2312" w:hAnsi="宋体_GB2312" w:eastAsia="宋体_GB2312"/>
          <w:sz w:val="24"/>
        </w:rPr>
      </w:pPr>
      <w:bookmarkStart w:id="30" w:name="_Toc362878554"/>
      <w:r>
        <w:rPr>
          <w:rFonts w:hint="eastAsia" w:ascii="宋体_GB2312" w:hAnsi="宋体_GB2312" w:eastAsia="宋体_GB2312"/>
          <w:sz w:val="24"/>
        </w:rPr>
        <w:t>机械活动部分</w:t>
      </w:r>
      <w:bookmarkEnd w:id="30"/>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机械活动部分应转动灵活、插拔适度、锁定可靠、施工安装和维护方便。门的开启角应不小于120°，间隙应不大于</w:t>
      </w:r>
      <w:r>
        <w:rPr>
          <w:rFonts w:ascii="宋体_GB2312" w:hAnsi="宋体_GB2312" w:eastAsia="宋体_GB2312"/>
          <w:sz w:val="24"/>
        </w:rPr>
        <w:t>3mm</w:t>
      </w:r>
      <w:r>
        <w:rPr>
          <w:rFonts w:hint="eastAsia" w:ascii="宋体_GB2312" w:hAnsi="宋体_GB2312" w:eastAsia="宋体_GB2312"/>
          <w:sz w:val="24"/>
        </w:rPr>
        <w:t>。结构应牢固，装配具有一致性和互换性，紧固件无松动。外露和操作部位的锐边应倒圆角。</w:t>
      </w:r>
    </w:p>
    <w:p>
      <w:pPr>
        <w:pStyle w:val="42"/>
        <w:numPr>
          <w:ilvl w:val="0"/>
          <w:numId w:val="5"/>
        </w:numPr>
        <w:spacing w:line="560" w:lineRule="exact"/>
        <w:ind w:left="0" w:firstLine="0"/>
        <w:rPr>
          <w:rFonts w:ascii="宋体_GB2312" w:hAnsi="宋体_GB2312" w:eastAsia="宋体_GB2312"/>
          <w:sz w:val="24"/>
        </w:rPr>
      </w:pPr>
      <w:bookmarkStart w:id="31" w:name="_Toc362878555"/>
      <w:r>
        <w:rPr>
          <w:rFonts w:hint="eastAsia" w:ascii="宋体_GB2312" w:hAnsi="宋体_GB2312" w:eastAsia="宋体_GB2312"/>
          <w:sz w:val="24"/>
        </w:rPr>
        <w:t>箱体表面</w:t>
      </w:r>
      <w:bookmarkEnd w:id="31"/>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w:t>
      </w:r>
      <w:r>
        <w:rPr>
          <w:rFonts w:ascii="宋体_GB2312" w:hAnsi="宋体_GB2312" w:eastAsia="宋体_GB2312"/>
          <w:sz w:val="24"/>
        </w:rPr>
        <w:t>）</w:t>
      </w:r>
      <w:r>
        <w:rPr>
          <w:rFonts w:hint="eastAsia" w:ascii="宋体_GB2312" w:hAnsi="宋体_GB2312" w:eastAsia="宋体_GB2312"/>
          <w:sz w:val="24"/>
        </w:rPr>
        <w:t>SMC箱体表面的光泽和纹理应均匀美观，且无结瘤、缩孔、起泡、针孔、开裂、剥落、粉化、颗粒、流挂、露底、夹杂脏物等缺陷，箱体表面不应出现任何紧固件。</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（2</w:t>
      </w:r>
      <w:r>
        <w:rPr>
          <w:rFonts w:ascii="宋体_GB2312" w:hAnsi="宋体_GB2312" w:eastAsia="宋体_GB2312"/>
          <w:sz w:val="24"/>
        </w:rPr>
        <w:t>）</w:t>
      </w:r>
      <w:r>
        <w:rPr>
          <w:rFonts w:hint="eastAsia" w:ascii="宋体_GB2312" w:hAnsi="宋体_GB2312" w:eastAsia="宋体_GB2312"/>
          <w:sz w:val="24"/>
        </w:rPr>
        <w:t>金属箱体表面涂覆层应表面光洁，色泽均匀、无流挂、无露底；金属件无毛刺锈蚀。</w:t>
      </w:r>
    </w:p>
    <w:p>
      <w:pPr>
        <w:pStyle w:val="42"/>
        <w:numPr>
          <w:ilvl w:val="0"/>
          <w:numId w:val="5"/>
        </w:numPr>
        <w:spacing w:line="560" w:lineRule="exact"/>
        <w:ind w:left="0" w:firstLine="0"/>
        <w:rPr>
          <w:rFonts w:ascii="宋体_GB2312" w:hAnsi="宋体_GB2312" w:eastAsia="宋体_GB2312"/>
          <w:sz w:val="24"/>
        </w:rPr>
      </w:pPr>
      <w:bookmarkStart w:id="32" w:name="_Toc362878556"/>
      <w:r>
        <w:rPr>
          <w:rFonts w:hint="eastAsia" w:ascii="宋体_GB2312" w:hAnsi="宋体_GB2312" w:eastAsia="宋体_GB2312"/>
          <w:sz w:val="24"/>
        </w:rPr>
        <w:t>结构装置上的文字、图形、符号和标志</w:t>
      </w:r>
      <w:bookmarkEnd w:id="32"/>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结构装置上的文字、图形、符号和标志应清晰、完整、无误。</w:t>
      </w:r>
    </w:p>
    <w:p>
      <w:pPr>
        <w:pStyle w:val="42"/>
        <w:numPr>
          <w:ilvl w:val="0"/>
          <w:numId w:val="5"/>
        </w:numPr>
        <w:spacing w:line="560" w:lineRule="exact"/>
        <w:ind w:left="0" w:firstLine="0"/>
        <w:rPr>
          <w:rFonts w:ascii="宋体_GB2312" w:hAnsi="宋体_GB2312" w:eastAsia="宋体_GB2312"/>
          <w:sz w:val="24"/>
        </w:rPr>
      </w:pPr>
      <w:bookmarkStart w:id="33" w:name="_Toc362878557"/>
      <w:r>
        <w:rPr>
          <w:rFonts w:hint="eastAsia" w:ascii="宋体_GB2312" w:hAnsi="宋体_GB2312" w:eastAsia="宋体_GB2312"/>
          <w:sz w:val="24"/>
        </w:rPr>
        <w:t>引入光缆弯曲半径</w:t>
      </w:r>
      <w:bookmarkEnd w:id="33"/>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引入光缆进入箱体时，其弯曲半径应大于光缆直径的20倍。</w:t>
      </w:r>
    </w:p>
    <w:p>
      <w:pPr>
        <w:pStyle w:val="42"/>
        <w:numPr>
          <w:ilvl w:val="0"/>
          <w:numId w:val="5"/>
        </w:numPr>
        <w:spacing w:line="560" w:lineRule="exact"/>
        <w:ind w:left="0" w:firstLine="0"/>
        <w:rPr>
          <w:rFonts w:ascii="宋体_GB2312" w:hAnsi="宋体_GB2312" w:eastAsia="宋体_GB2312"/>
          <w:sz w:val="24"/>
        </w:rPr>
      </w:pPr>
      <w:bookmarkStart w:id="34" w:name="_Toc362878558"/>
      <w:r>
        <w:rPr>
          <w:rFonts w:hint="eastAsia" w:ascii="宋体_GB2312" w:hAnsi="宋体_GB2312" w:eastAsia="宋体_GB2312"/>
          <w:sz w:val="24"/>
        </w:rPr>
        <w:t>保护套、衬垫及纤芯和尾纤弯曲半径</w:t>
      </w:r>
      <w:bookmarkEnd w:id="34"/>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光纤光缆穿过金属板孔及沿结构件锐边转弯时，应装保护套及衬垫。纤芯、尾纤无论处于何处弯曲，其弯曲半径应不小于30mm。</w:t>
      </w:r>
      <w:bookmarkStart w:id="35" w:name="_Toc362879567"/>
      <w:bookmarkStart w:id="36" w:name="_Toc362878559"/>
    </w:p>
    <w:p>
      <w:pPr>
        <w:pStyle w:val="2"/>
        <w:adjustRightInd w:val="0"/>
        <w:spacing w:before="0" w:after="0" w:line="276" w:lineRule="auto"/>
        <w:textAlignment w:val="baseline"/>
        <w:rPr>
          <w:rFonts w:ascii="宋体_GB2312" w:hAnsi="宋体_GB2312" w:eastAsia="宋体_GB2312"/>
          <w:sz w:val="24"/>
          <w:szCs w:val="24"/>
          <w:lang w:val="en-US"/>
        </w:rPr>
      </w:pPr>
      <w:bookmarkStart w:id="37" w:name="_Toc31056"/>
      <w:bookmarkStart w:id="38" w:name="_Toc32313"/>
      <w:bookmarkStart w:id="39" w:name="_Toc27401439"/>
      <w:bookmarkStart w:id="40" w:name="_Toc24790"/>
      <w:r>
        <w:rPr>
          <w:rFonts w:hint="eastAsia" w:ascii="宋体_GB2312" w:hAnsi="宋体_GB2312" w:eastAsia="宋体_GB2312"/>
          <w:sz w:val="24"/>
          <w:szCs w:val="24"/>
          <w:lang w:val="en-US"/>
        </w:rPr>
        <w:t>2.3</w:t>
      </w:r>
      <w:r>
        <w:rPr>
          <w:rFonts w:ascii="宋体_GB2312" w:hAnsi="宋体_GB2312" w:eastAsia="宋体_GB2312"/>
          <w:sz w:val="24"/>
          <w:szCs w:val="24"/>
          <w:lang w:val="en-US"/>
        </w:rPr>
        <w:t>产品规格</w:t>
      </w:r>
      <w:bookmarkEnd w:id="35"/>
      <w:bookmarkEnd w:id="36"/>
      <w:bookmarkEnd w:id="37"/>
      <w:bookmarkEnd w:id="38"/>
      <w:bookmarkEnd w:id="39"/>
      <w:bookmarkEnd w:id="40"/>
    </w:p>
    <w:p>
      <w:pPr>
        <w:pStyle w:val="42"/>
        <w:numPr>
          <w:ilvl w:val="0"/>
          <w:numId w:val="6"/>
        </w:numPr>
        <w:spacing w:line="560" w:lineRule="exact"/>
        <w:ind w:left="0" w:firstLine="0"/>
        <w:rPr>
          <w:rFonts w:ascii="宋体_GB2312" w:hAnsi="宋体_GB2312" w:eastAsia="宋体_GB2312"/>
          <w:sz w:val="24"/>
        </w:rPr>
      </w:pPr>
      <w:r>
        <w:rPr>
          <w:rFonts w:hint="eastAsia" w:ascii="宋体_GB2312" w:hAnsi="宋体_GB2312" w:eastAsia="宋体_GB2312"/>
          <w:sz w:val="24"/>
        </w:rPr>
        <w:t>颜色</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SMC箱体的表面颜色为</w:t>
      </w:r>
      <w:r>
        <w:rPr>
          <w:rFonts w:ascii="宋体_GB2312" w:hAnsi="宋体_GB2312" w:eastAsia="宋体_GB2312"/>
          <w:sz w:val="24"/>
        </w:rPr>
        <w:t>PANTONE 413C</w:t>
      </w:r>
      <w:r>
        <w:rPr>
          <w:rFonts w:hint="eastAsia" w:ascii="宋体_GB2312" w:hAnsi="宋体_GB2312" w:eastAsia="宋体_GB2312"/>
          <w:sz w:val="24"/>
        </w:rPr>
        <w:t>，金属箱体</w:t>
      </w:r>
      <w:r>
        <w:rPr>
          <w:rFonts w:ascii="宋体_GB2312" w:hAnsi="宋体_GB2312" w:eastAsia="宋体_GB2312"/>
          <w:sz w:val="24"/>
        </w:rPr>
        <w:t>主体及各种金属件的喷塑为PANTONE 413C</w:t>
      </w:r>
      <w:r>
        <w:rPr>
          <w:rFonts w:hint="eastAsia" w:ascii="宋体_GB2312" w:hAnsi="宋体_GB2312" w:eastAsia="宋体_GB2312"/>
          <w:sz w:val="24"/>
        </w:rPr>
        <w:t>（细砂）</w:t>
      </w:r>
      <w:r>
        <w:rPr>
          <w:rFonts w:ascii="宋体_GB2312" w:hAnsi="宋体_GB2312" w:eastAsia="宋体_GB2312"/>
          <w:sz w:val="24"/>
        </w:rPr>
        <w:t>。</w:t>
      </w:r>
    </w:p>
    <w:p>
      <w:pPr>
        <w:pStyle w:val="42"/>
        <w:numPr>
          <w:ilvl w:val="0"/>
          <w:numId w:val="6"/>
        </w:numPr>
        <w:spacing w:line="560" w:lineRule="exact"/>
        <w:ind w:left="0" w:firstLine="0"/>
        <w:rPr>
          <w:rFonts w:ascii="宋体_GB2312" w:hAnsi="宋体_GB2312" w:eastAsia="宋体_GB2312"/>
          <w:sz w:val="24"/>
        </w:rPr>
      </w:pPr>
      <w:r>
        <w:rPr>
          <w:rFonts w:ascii="宋体_GB2312" w:hAnsi="宋体_GB2312" w:eastAsia="宋体_GB2312"/>
          <w:sz w:val="24"/>
        </w:rPr>
        <w:t>标记及标识</w:t>
      </w:r>
      <w:r>
        <w:rPr>
          <w:rFonts w:hint="eastAsia" w:ascii="宋体_GB2312" w:hAnsi="宋体_GB2312" w:eastAsia="宋体_GB2312"/>
          <w:sz w:val="24"/>
        </w:rPr>
        <w:t>（及示意图）</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（1）光缆交接箱体上必须有中国联通</w:t>
      </w:r>
      <w:r>
        <w:rPr>
          <w:rFonts w:ascii="宋体_GB2312" w:hAnsi="宋体_GB2312" w:eastAsia="宋体_GB2312"/>
          <w:sz w:val="24"/>
        </w:rPr>
        <w:t>LOGO</w:t>
      </w:r>
      <w:r>
        <w:rPr>
          <w:rFonts w:hint="eastAsia" w:ascii="宋体_GB2312" w:hAnsi="宋体_GB2312" w:eastAsia="宋体_GB2312"/>
          <w:sz w:val="24"/>
        </w:rPr>
        <w:t>标识。中国联通LOGO位于箱体前门外面左上部，同比例按中国联通商标缩放</w:t>
      </w:r>
      <w:bookmarkStart w:id="41" w:name="_Hlk532823736"/>
      <w:r>
        <w:rPr>
          <w:rFonts w:hint="eastAsia" w:ascii="宋体_GB2312" w:hAnsi="宋体_GB2312" w:eastAsia="宋体_GB2312"/>
          <w:sz w:val="24"/>
        </w:rPr>
        <w:t>，高度为65mm。</w:t>
      </w:r>
      <w:bookmarkEnd w:id="41"/>
      <w:r>
        <w:rPr>
          <w:rFonts w:hint="eastAsia" w:ascii="宋体_GB2312" w:hAnsi="宋体_GB2312" w:eastAsia="宋体_GB2312"/>
          <w:sz w:val="24"/>
        </w:rPr>
        <w:t>中国联通LOGO见图1。中国联通LOGO</w:t>
      </w:r>
      <w:r>
        <w:rPr>
          <w:rFonts w:hint="eastAsia" w:ascii="宋体_GB2312" w:hAnsi="宋体_GB2312" w:eastAsia="宋体_GB2312"/>
          <w:sz w:val="24"/>
          <w:szCs w:val="28"/>
        </w:rPr>
        <w:t>标识可采用丝印或铝质材料的铭牌。</w:t>
      </w:r>
    </w:p>
    <w:p>
      <w:pPr>
        <w:spacing w:before="156" w:beforeLines="50" w:line="300" w:lineRule="auto"/>
        <w:ind w:firstLine="480" w:firstLineChars="200"/>
        <w:rPr>
          <w:rFonts w:ascii="宋体_GB2312" w:hAnsi="宋体_GB2312" w:eastAsia="宋体_GB2312"/>
          <w:sz w:val="24"/>
        </w:rPr>
      </w:pPr>
    </w:p>
    <w:p>
      <w:pPr>
        <w:widowControl/>
        <w:jc w:val="center"/>
        <w:rPr>
          <w:rFonts w:ascii="宋体_GB2312" w:hAnsi="宋体_GB2312" w:eastAsia="宋体_GB2312"/>
          <w:kern w:val="21"/>
        </w:rPr>
      </w:pPr>
      <w:bookmarkStart w:id="42" w:name="_Toc62619377"/>
      <w:r>
        <w:drawing>
          <wp:inline distT="0" distB="0" distL="0" distR="0">
            <wp:extent cx="1666875" cy="1228725"/>
            <wp:effectExtent l="0" t="0" r="9525"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
                    <a:stretch>
                      <a:fillRect/>
                    </a:stretch>
                  </pic:blipFill>
                  <pic:spPr>
                    <a:xfrm>
                      <a:off x="0" y="0"/>
                      <a:ext cx="1666875" cy="1228725"/>
                    </a:xfrm>
                    <a:prstGeom prst="rect">
                      <a:avLst/>
                    </a:prstGeom>
                  </pic:spPr>
                </pic:pic>
              </a:graphicData>
            </a:graphic>
          </wp:inline>
        </w:drawing>
      </w:r>
      <w:r>
        <w:rPr>
          <w:rFonts w:ascii="宋体_GB2312" w:hAnsi="宋体_GB2312" w:eastAsia="宋体_GB2312" w:cs="宋体"/>
          <w:kern w:val="0"/>
        </w:rPr>
        <w:drawing>
          <wp:inline distT="0" distB="0" distL="0" distR="0">
            <wp:extent cx="2679700" cy="3975735"/>
            <wp:effectExtent l="0" t="0" r="0" b="0"/>
            <wp:docPr id="28" name="图片 28" descr="OTM0KN%{S8$ZONE_A4~K~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OTM0KN%{S8$ZONE_A4~K~W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679700" cy="3975735"/>
                    </a:xfrm>
                    <a:prstGeom prst="rect">
                      <a:avLst/>
                    </a:prstGeom>
                    <a:noFill/>
                    <a:ln>
                      <a:noFill/>
                    </a:ln>
                  </pic:spPr>
                </pic:pic>
              </a:graphicData>
            </a:graphic>
          </wp:inline>
        </w:drawing>
      </w:r>
    </w:p>
    <w:p>
      <w:pPr>
        <w:widowControl/>
        <w:jc w:val="center"/>
        <w:rPr>
          <w:rFonts w:ascii="宋体_GB2312" w:hAnsi="宋体_GB2312" w:eastAsia="宋体_GB2312"/>
          <w:kern w:val="21"/>
        </w:rPr>
      </w:pPr>
    </w:p>
    <w:p>
      <w:pPr>
        <w:widowControl/>
        <w:jc w:val="center"/>
        <w:rPr>
          <w:rFonts w:ascii="宋体_GB2312" w:hAnsi="宋体_GB2312" w:eastAsia="宋体_GB2312"/>
          <w:kern w:val="21"/>
        </w:rPr>
      </w:pPr>
      <w:r>
        <w:rPr>
          <w:rFonts w:ascii="宋体_GB2312" w:hAnsi="宋体_GB2312" w:eastAsia="宋体_GB2312"/>
        </w:rPr>
        <w:drawing>
          <wp:inline distT="0" distB="0" distL="0" distR="0">
            <wp:extent cx="4667250" cy="127698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5"/>
                    <a:stretch>
                      <a:fillRect/>
                    </a:stretch>
                  </pic:blipFill>
                  <pic:spPr>
                    <a:xfrm>
                      <a:off x="0" y="0"/>
                      <a:ext cx="4790072" cy="1310557"/>
                    </a:xfrm>
                    <a:prstGeom prst="rect">
                      <a:avLst/>
                    </a:prstGeom>
                  </pic:spPr>
                </pic:pic>
              </a:graphicData>
            </a:graphic>
          </wp:inline>
        </w:drawing>
      </w:r>
    </w:p>
    <w:p>
      <w:pPr>
        <w:spacing w:line="360" w:lineRule="auto"/>
        <w:ind w:firstLine="420" w:firstLineChars="200"/>
        <w:jc w:val="center"/>
        <w:rPr>
          <w:rFonts w:ascii="宋体_GB2312" w:hAnsi="宋体_GB2312" w:eastAsia="宋体_GB2312"/>
          <w:kern w:val="21"/>
        </w:rPr>
      </w:pPr>
      <w:r>
        <w:rPr>
          <w:rFonts w:ascii="宋体_GB2312" w:hAnsi="宋体_GB2312" w:eastAsia="宋体_GB2312"/>
          <w:kern w:val="21"/>
        </w:rPr>
        <w:t>图</w:t>
      </w:r>
      <w:r>
        <w:rPr>
          <w:rFonts w:ascii="宋体_GB2312" w:hAnsi="宋体_GB2312" w:eastAsia="宋体_GB2312"/>
          <w:kern w:val="21"/>
        </w:rPr>
        <w:fldChar w:fldCharType="begin"/>
      </w:r>
      <w:r>
        <w:rPr>
          <w:rFonts w:ascii="宋体_GB2312" w:hAnsi="宋体_GB2312" w:eastAsia="宋体_GB2312"/>
          <w:kern w:val="21"/>
        </w:rPr>
        <w:instrText xml:space="preserve"> SEQ 图 \* ARABIC </w:instrText>
      </w:r>
      <w:r>
        <w:rPr>
          <w:rFonts w:ascii="宋体_GB2312" w:hAnsi="宋体_GB2312" w:eastAsia="宋体_GB2312"/>
          <w:kern w:val="21"/>
        </w:rPr>
        <w:fldChar w:fldCharType="separate"/>
      </w:r>
      <w:r>
        <w:rPr>
          <w:rFonts w:ascii="宋体_GB2312" w:hAnsi="宋体_GB2312" w:eastAsia="宋体_GB2312"/>
          <w:kern w:val="21"/>
        </w:rPr>
        <w:t>1</w:t>
      </w:r>
      <w:r>
        <w:rPr>
          <w:rFonts w:ascii="宋体_GB2312" w:hAnsi="宋体_GB2312" w:eastAsia="宋体_GB2312"/>
          <w:kern w:val="21"/>
        </w:rPr>
        <w:fldChar w:fldCharType="end"/>
      </w:r>
      <w:r>
        <w:rPr>
          <w:rFonts w:ascii="宋体_GB2312" w:hAnsi="宋体_GB2312" w:eastAsia="宋体_GB2312"/>
          <w:kern w:val="21"/>
        </w:rPr>
        <w:t xml:space="preserve">  中国联通LOGO</w:t>
      </w:r>
      <w:bookmarkEnd w:id="42"/>
    </w:p>
    <w:p>
      <w:pPr>
        <w:spacing w:before="156" w:beforeLines="50" w:line="300" w:lineRule="auto"/>
        <w:ind w:firstLine="480" w:firstLineChars="200"/>
        <w:rPr>
          <w:rFonts w:ascii="宋体_GB2312" w:hAnsi="宋体_GB2312" w:eastAsia="宋体_GB2312"/>
          <w:sz w:val="24"/>
          <w:szCs w:val="28"/>
        </w:rPr>
      </w:pPr>
      <w:r>
        <w:rPr>
          <w:rFonts w:hint="eastAsia" w:ascii="宋体_GB2312" w:hAnsi="宋体_GB2312" w:eastAsia="宋体_GB2312"/>
          <w:sz w:val="24"/>
          <w:szCs w:val="28"/>
        </w:rPr>
        <w:t>（2）制造商标识可采用丝印或铝质材料的铭牌，规格按行标制作。落地式箱体及无底座箱体均安装于箱体右侧</w:t>
      </w:r>
      <w:r>
        <w:rPr>
          <w:rFonts w:hint="eastAsia" w:ascii="宋体_GB2312" w:hAnsi="宋体_GB2312" w:eastAsia="宋体_GB2312"/>
          <w:sz w:val="24"/>
        </w:rPr>
        <w:t>下部</w:t>
      </w:r>
      <w:r>
        <w:rPr>
          <w:rFonts w:hint="eastAsia" w:ascii="宋体_GB2312" w:hAnsi="宋体_GB2312" w:eastAsia="宋体_GB2312"/>
          <w:sz w:val="24"/>
          <w:szCs w:val="28"/>
        </w:rPr>
        <w:t>。</w:t>
      </w:r>
    </w:p>
    <w:p>
      <w:pPr>
        <w:spacing w:before="156" w:beforeLines="50" w:line="300" w:lineRule="auto"/>
        <w:ind w:firstLine="480" w:firstLineChars="200"/>
        <w:rPr>
          <w:rFonts w:ascii="宋体_GB2312" w:hAnsi="宋体_GB2312" w:eastAsia="宋体_GB2312"/>
          <w:sz w:val="24"/>
          <w:szCs w:val="28"/>
        </w:rPr>
      </w:pPr>
      <w:r>
        <w:rPr>
          <w:rFonts w:hint="eastAsia" w:ascii="宋体_GB2312" w:hAnsi="宋体_GB2312" w:eastAsia="宋体_GB2312"/>
          <w:sz w:val="24"/>
          <w:szCs w:val="28"/>
        </w:rPr>
        <w:t>（3）每个箱体应在门内侧内置资料袋，可放置A4信息表，每个资料袋内应放有一张示名条，便于维护人员记录信息。</w:t>
      </w:r>
    </w:p>
    <w:p>
      <w:pPr>
        <w:spacing w:before="156" w:beforeLines="50" w:line="300" w:lineRule="auto"/>
        <w:ind w:firstLine="480" w:firstLineChars="200"/>
        <w:rPr>
          <w:rFonts w:ascii="宋体_GB2312" w:hAnsi="宋体_GB2312" w:eastAsia="宋体_GB2312"/>
          <w:sz w:val="24"/>
          <w:szCs w:val="28"/>
        </w:rPr>
      </w:pPr>
      <w:r>
        <w:rPr>
          <w:rFonts w:hint="eastAsia" w:ascii="宋体_GB2312" w:hAnsi="宋体_GB2312" w:eastAsia="宋体_GB2312"/>
          <w:sz w:val="24"/>
          <w:szCs w:val="28"/>
        </w:rPr>
        <w:t>（4）示名条从左到右标识，序号由小到大（如：1，2，……，12）。</w:t>
      </w:r>
    </w:p>
    <w:p>
      <w:pPr>
        <w:pStyle w:val="42"/>
        <w:numPr>
          <w:ilvl w:val="0"/>
          <w:numId w:val="6"/>
        </w:numPr>
        <w:spacing w:line="560" w:lineRule="exact"/>
        <w:ind w:left="0" w:firstLine="0"/>
        <w:rPr>
          <w:rFonts w:ascii="宋体_GB2312" w:hAnsi="宋体_GB2312" w:eastAsia="宋体_GB2312"/>
          <w:sz w:val="24"/>
        </w:rPr>
      </w:pPr>
      <w:r>
        <w:rPr>
          <w:rFonts w:ascii="宋体_GB2312" w:hAnsi="宋体_GB2312" w:eastAsia="宋体_GB2312"/>
          <w:sz w:val="24"/>
          <w:szCs w:val="24"/>
        </w:rPr>
        <w:t>箱体尺寸</w:t>
      </w:r>
      <w:r>
        <w:rPr>
          <w:rFonts w:hint="eastAsia" w:ascii="宋体_GB2312" w:hAnsi="宋体_GB2312" w:eastAsia="宋体_GB2312"/>
          <w:sz w:val="24"/>
          <w:szCs w:val="24"/>
        </w:rPr>
        <w:t>及容量</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箱体的规格及最大外形尺寸及容量应符合表1要求</w:t>
      </w:r>
    </w:p>
    <w:p>
      <w:pPr>
        <w:pStyle w:val="35"/>
        <w:spacing w:line="360" w:lineRule="auto"/>
        <w:ind w:firstLine="480"/>
        <w:jc w:val="center"/>
        <w:rPr>
          <w:rFonts w:ascii="宋体_GB2312" w:hAnsi="宋体_GB2312" w:eastAsia="宋体_GB2312"/>
          <w:sz w:val="24"/>
          <w:szCs w:val="24"/>
        </w:rPr>
      </w:pPr>
    </w:p>
    <w:p>
      <w:pPr>
        <w:pStyle w:val="35"/>
        <w:spacing w:line="360" w:lineRule="auto"/>
        <w:ind w:firstLine="480"/>
        <w:jc w:val="center"/>
        <w:rPr>
          <w:rFonts w:ascii="宋体_GB2312" w:hAnsi="宋体_GB2312" w:eastAsia="宋体_GB2312"/>
          <w:sz w:val="24"/>
          <w:szCs w:val="24"/>
        </w:rPr>
      </w:pPr>
      <w:r>
        <w:rPr>
          <w:rFonts w:ascii="宋体_GB2312" w:hAnsi="宋体_GB2312" w:eastAsia="宋体_GB2312"/>
          <w:sz w:val="24"/>
          <w:szCs w:val="24"/>
        </w:rPr>
        <w:t>表</w:t>
      </w:r>
      <w:r>
        <w:rPr>
          <w:rFonts w:hint="eastAsia" w:ascii="宋体_GB2312" w:hAnsi="宋体_GB2312" w:eastAsia="宋体_GB2312"/>
          <w:sz w:val="24"/>
          <w:szCs w:val="24"/>
        </w:rPr>
        <w:t>1</w:t>
      </w:r>
      <w:r>
        <w:rPr>
          <w:rFonts w:ascii="宋体_GB2312" w:hAnsi="宋体_GB2312" w:eastAsia="宋体_GB2312"/>
          <w:sz w:val="24"/>
          <w:szCs w:val="24"/>
        </w:rPr>
        <w:t>：</w:t>
      </w:r>
      <w:r>
        <w:rPr>
          <w:rFonts w:hint="eastAsia" w:ascii="宋体_GB2312" w:hAnsi="宋体_GB2312" w:eastAsia="宋体_GB2312"/>
          <w:sz w:val="24"/>
          <w:szCs w:val="24"/>
        </w:rPr>
        <w:t>传统</w:t>
      </w:r>
      <w:r>
        <w:rPr>
          <w:rFonts w:ascii="宋体_GB2312" w:hAnsi="宋体_GB2312" w:eastAsia="宋体_GB2312"/>
          <w:sz w:val="24"/>
          <w:szCs w:val="24"/>
        </w:rPr>
        <w:t>光缆交接箱容量配置表</w:t>
      </w:r>
    </w:p>
    <w:tbl>
      <w:tblPr>
        <w:tblStyle w:val="27"/>
        <w:tblW w:w="95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3"/>
        <w:gridCol w:w="1792"/>
        <w:gridCol w:w="1185"/>
        <w:gridCol w:w="993"/>
        <w:gridCol w:w="1418"/>
        <w:gridCol w:w="1844"/>
        <w:gridCol w:w="860"/>
        <w:gridCol w:w="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533"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型 号</w:t>
            </w:r>
          </w:p>
        </w:tc>
        <w:tc>
          <w:tcPr>
            <w:tcW w:w="1792"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箱体尺寸</w:t>
            </w:r>
          </w:p>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w:t>
            </w:r>
            <w:r>
              <w:rPr>
                <w:rFonts w:hint="eastAsia" w:ascii="宋体_GB2312" w:hAnsi="宋体_GB2312" w:eastAsia="宋体_GB2312"/>
                <w:kern w:val="0"/>
                <w:szCs w:val="21"/>
              </w:rPr>
              <w:t>最大</w:t>
            </w:r>
            <w:r>
              <w:rPr>
                <w:rFonts w:ascii="宋体_GB2312" w:hAnsi="宋体_GB2312" w:eastAsia="宋体_GB2312"/>
                <w:kern w:val="0"/>
                <w:szCs w:val="21"/>
              </w:rPr>
              <w:t>参考尺寸）</w:t>
            </w:r>
          </w:p>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高×宽×深（单位：mm）</w:t>
            </w:r>
          </w:p>
        </w:tc>
        <w:tc>
          <w:tcPr>
            <w:tcW w:w="1185"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底座高度（最大参考尺寸）（单位：mm）</w:t>
            </w:r>
          </w:p>
        </w:tc>
        <w:tc>
          <w:tcPr>
            <w:tcW w:w="993" w:type="dxa"/>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熔配一体化托盘数量</w:t>
            </w:r>
          </w:p>
        </w:tc>
        <w:tc>
          <w:tcPr>
            <w:tcW w:w="1418"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过路直熔盘数量（选配）</w:t>
            </w:r>
          </w:p>
        </w:tc>
        <w:tc>
          <w:tcPr>
            <w:tcW w:w="1844"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最大配线容量</w:t>
            </w:r>
          </w:p>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（芯）</w:t>
            </w:r>
          </w:p>
        </w:tc>
        <w:tc>
          <w:tcPr>
            <w:tcW w:w="860" w:type="dxa"/>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预留分路器安装位置</w:t>
            </w:r>
          </w:p>
        </w:tc>
        <w:tc>
          <w:tcPr>
            <w:tcW w:w="889"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trPr>
        <w:tc>
          <w:tcPr>
            <w:tcW w:w="533" w:type="dxa"/>
            <w:vMerge w:val="restart"/>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lang w:val="fr-FR"/>
              </w:rPr>
              <w:t>SMC</w:t>
            </w:r>
            <w:r>
              <w:rPr>
                <w:rFonts w:ascii="宋体_GB2312" w:hAnsi="宋体_GB2312" w:eastAsia="宋体_GB2312"/>
                <w:kern w:val="0"/>
                <w:szCs w:val="21"/>
              </w:rPr>
              <w:t>箱体</w:t>
            </w:r>
          </w:p>
        </w:tc>
        <w:tc>
          <w:tcPr>
            <w:tcW w:w="1792"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10</w:t>
            </w:r>
            <w:r>
              <w:rPr>
                <w:rFonts w:hint="eastAsia" w:ascii="宋体_GB2312" w:hAnsi="宋体_GB2312" w:eastAsia="宋体_GB2312"/>
                <w:kern w:val="0"/>
                <w:szCs w:val="21"/>
              </w:rPr>
              <w:t>30</w:t>
            </w:r>
            <w:r>
              <w:rPr>
                <w:rFonts w:ascii="宋体_GB2312" w:hAnsi="宋体_GB2312" w:eastAsia="宋体_GB2312"/>
                <w:kern w:val="0"/>
                <w:szCs w:val="21"/>
              </w:rPr>
              <w:t>×</w:t>
            </w:r>
            <w:r>
              <w:rPr>
                <w:rFonts w:hint="eastAsia" w:ascii="宋体_GB2312" w:hAnsi="宋体_GB2312" w:eastAsia="宋体_GB2312"/>
                <w:kern w:val="0"/>
                <w:szCs w:val="21"/>
              </w:rPr>
              <w:t>570</w:t>
            </w:r>
            <w:r>
              <w:rPr>
                <w:rFonts w:ascii="宋体_GB2312" w:hAnsi="宋体_GB2312" w:eastAsia="宋体_GB2312"/>
                <w:kern w:val="0"/>
                <w:szCs w:val="21"/>
              </w:rPr>
              <w:t>×3</w:t>
            </w:r>
            <w:r>
              <w:rPr>
                <w:rFonts w:hint="eastAsia" w:ascii="宋体_GB2312" w:hAnsi="宋体_GB2312" w:eastAsia="宋体_GB2312"/>
                <w:kern w:val="0"/>
                <w:szCs w:val="21"/>
              </w:rPr>
              <w:t>10</w:t>
            </w:r>
            <w:r>
              <w:rPr>
                <w:rFonts w:ascii="宋体_GB2312" w:hAnsi="宋体_GB2312" w:eastAsia="宋体_GB2312"/>
                <w:kern w:val="0"/>
                <w:szCs w:val="21"/>
              </w:rPr>
              <w:t>（含底座）</w:t>
            </w:r>
          </w:p>
        </w:tc>
        <w:tc>
          <w:tcPr>
            <w:tcW w:w="1185"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300</w:t>
            </w:r>
          </w:p>
        </w:tc>
        <w:tc>
          <w:tcPr>
            <w:tcW w:w="993" w:type="dxa"/>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12</w:t>
            </w:r>
          </w:p>
        </w:tc>
        <w:tc>
          <w:tcPr>
            <w:tcW w:w="1418"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6</w:t>
            </w:r>
            <w:r>
              <w:rPr>
                <w:rFonts w:ascii="宋体_GB2312" w:hAnsi="宋体_GB2312" w:eastAsia="宋体_GB2312"/>
                <w:kern w:val="0"/>
                <w:szCs w:val="21"/>
              </w:rPr>
              <w:t>（共</w:t>
            </w:r>
            <w:r>
              <w:rPr>
                <w:rFonts w:hint="eastAsia" w:ascii="宋体_GB2312" w:hAnsi="宋体_GB2312" w:eastAsia="宋体_GB2312"/>
                <w:kern w:val="0"/>
                <w:szCs w:val="21"/>
              </w:rPr>
              <w:t>72</w:t>
            </w:r>
            <w:r>
              <w:rPr>
                <w:rFonts w:ascii="宋体_GB2312" w:hAnsi="宋体_GB2312" w:eastAsia="宋体_GB2312"/>
                <w:kern w:val="0"/>
                <w:szCs w:val="21"/>
              </w:rPr>
              <w:t>芯）</w:t>
            </w:r>
          </w:p>
        </w:tc>
        <w:tc>
          <w:tcPr>
            <w:tcW w:w="1844"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144（落地/壁挂/架空）</w:t>
            </w:r>
          </w:p>
        </w:tc>
        <w:tc>
          <w:tcPr>
            <w:tcW w:w="860" w:type="dxa"/>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1-2</w:t>
            </w:r>
          </w:p>
        </w:tc>
        <w:tc>
          <w:tcPr>
            <w:tcW w:w="889"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33" w:type="dxa"/>
            <w:vMerge w:val="continue"/>
            <w:vAlign w:val="center"/>
          </w:tcPr>
          <w:p>
            <w:pPr>
              <w:widowControl/>
              <w:spacing w:line="360" w:lineRule="auto"/>
              <w:jc w:val="center"/>
              <w:rPr>
                <w:rFonts w:ascii="宋体_GB2312" w:hAnsi="宋体_GB2312" w:eastAsia="宋体_GB2312"/>
                <w:kern w:val="0"/>
                <w:szCs w:val="21"/>
              </w:rPr>
            </w:pPr>
          </w:p>
        </w:tc>
        <w:tc>
          <w:tcPr>
            <w:tcW w:w="1792"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1</w:t>
            </w:r>
            <w:r>
              <w:rPr>
                <w:rFonts w:hint="eastAsia" w:ascii="宋体_GB2312" w:hAnsi="宋体_GB2312" w:eastAsia="宋体_GB2312"/>
                <w:kern w:val="0"/>
                <w:szCs w:val="21"/>
              </w:rPr>
              <w:t>55</w:t>
            </w:r>
            <w:r>
              <w:rPr>
                <w:rFonts w:ascii="宋体_GB2312" w:hAnsi="宋体_GB2312" w:eastAsia="宋体_GB2312"/>
                <w:kern w:val="0"/>
                <w:szCs w:val="21"/>
              </w:rPr>
              <w:t>0×7</w:t>
            </w:r>
            <w:r>
              <w:rPr>
                <w:rFonts w:hint="eastAsia" w:ascii="宋体_GB2312" w:hAnsi="宋体_GB2312" w:eastAsia="宋体_GB2312"/>
                <w:kern w:val="0"/>
                <w:szCs w:val="21"/>
              </w:rPr>
              <w:t>6</w:t>
            </w:r>
            <w:r>
              <w:rPr>
                <w:rFonts w:ascii="宋体_GB2312" w:hAnsi="宋体_GB2312" w:eastAsia="宋体_GB2312"/>
                <w:kern w:val="0"/>
                <w:szCs w:val="21"/>
              </w:rPr>
              <w:t>0×</w:t>
            </w:r>
            <w:r>
              <w:rPr>
                <w:rFonts w:hint="eastAsia" w:ascii="宋体_GB2312" w:hAnsi="宋体_GB2312" w:eastAsia="宋体_GB2312"/>
                <w:kern w:val="0"/>
                <w:szCs w:val="21"/>
              </w:rPr>
              <w:t>370</w:t>
            </w:r>
          </w:p>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（单面，含底座）</w:t>
            </w:r>
          </w:p>
        </w:tc>
        <w:tc>
          <w:tcPr>
            <w:tcW w:w="1185"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350</w:t>
            </w:r>
          </w:p>
        </w:tc>
        <w:tc>
          <w:tcPr>
            <w:tcW w:w="993" w:type="dxa"/>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24</w:t>
            </w:r>
          </w:p>
        </w:tc>
        <w:tc>
          <w:tcPr>
            <w:tcW w:w="1418"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12</w:t>
            </w:r>
            <w:r>
              <w:rPr>
                <w:rFonts w:ascii="宋体_GB2312" w:hAnsi="宋体_GB2312" w:eastAsia="宋体_GB2312"/>
                <w:kern w:val="0"/>
                <w:szCs w:val="21"/>
              </w:rPr>
              <w:t>（共</w:t>
            </w:r>
            <w:r>
              <w:rPr>
                <w:rFonts w:hint="eastAsia" w:ascii="宋体_GB2312" w:hAnsi="宋体_GB2312" w:eastAsia="宋体_GB2312"/>
                <w:kern w:val="0"/>
                <w:szCs w:val="21"/>
              </w:rPr>
              <w:t>144</w:t>
            </w:r>
            <w:r>
              <w:rPr>
                <w:rFonts w:ascii="宋体_GB2312" w:hAnsi="宋体_GB2312" w:eastAsia="宋体_GB2312"/>
                <w:kern w:val="0"/>
                <w:szCs w:val="21"/>
              </w:rPr>
              <w:t>芯）</w:t>
            </w:r>
          </w:p>
        </w:tc>
        <w:tc>
          <w:tcPr>
            <w:tcW w:w="1844"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288芯（落地/壁挂/架空）</w:t>
            </w:r>
          </w:p>
        </w:tc>
        <w:tc>
          <w:tcPr>
            <w:tcW w:w="860" w:type="dxa"/>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1-2</w:t>
            </w:r>
          </w:p>
        </w:tc>
        <w:tc>
          <w:tcPr>
            <w:tcW w:w="889"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33" w:type="dxa"/>
            <w:vMerge w:val="continue"/>
            <w:vAlign w:val="center"/>
          </w:tcPr>
          <w:p>
            <w:pPr>
              <w:widowControl/>
              <w:spacing w:line="360" w:lineRule="auto"/>
              <w:jc w:val="center"/>
              <w:rPr>
                <w:rFonts w:ascii="宋体_GB2312" w:hAnsi="宋体_GB2312" w:eastAsia="宋体_GB2312"/>
                <w:kern w:val="0"/>
                <w:szCs w:val="21"/>
              </w:rPr>
            </w:pPr>
          </w:p>
        </w:tc>
        <w:tc>
          <w:tcPr>
            <w:tcW w:w="1792"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1</w:t>
            </w:r>
            <w:r>
              <w:rPr>
                <w:rFonts w:hint="eastAsia" w:ascii="宋体_GB2312" w:hAnsi="宋体_GB2312" w:eastAsia="宋体_GB2312"/>
                <w:kern w:val="0"/>
                <w:szCs w:val="21"/>
              </w:rPr>
              <w:t>550</w:t>
            </w:r>
            <w:r>
              <w:rPr>
                <w:rFonts w:ascii="宋体_GB2312" w:hAnsi="宋体_GB2312" w:eastAsia="宋体_GB2312"/>
                <w:kern w:val="0"/>
                <w:szCs w:val="21"/>
              </w:rPr>
              <w:t>×7</w:t>
            </w:r>
            <w:r>
              <w:rPr>
                <w:rFonts w:hint="eastAsia" w:ascii="宋体_GB2312" w:hAnsi="宋体_GB2312" w:eastAsia="宋体_GB2312"/>
                <w:kern w:val="0"/>
                <w:szCs w:val="21"/>
              </w:rPr>
              <w:t>6</w:t>
            </w:r>
            <w:r>
              <w:rPr>
                <w:rFonts w:ascii="宋体_GB2312" w:hAnsi="宋体_GB2312" w:eastAsia="宋体_GB2312"/>
                <w:kern w:val="0"/>
                <w:szCs w:val="21"/>
              </w:rPr>
              <w:t>0×</w:t>
            </w:r>
            <w:r>
              <w:rPr>
                <w:rFonts w:hint="eastAsia" w:ascii="宋体_GB2312" w:hAnsi="宋体_GB2312" w:eastAsia="宋体_GB2312"/>
                <w:kern w:val="0"/>
                <w:szCs w:val="21"/>
              </w:rPr>
              <w:t>63</w:t>
            </w:r>
            <w:r>
              <w:rPr>
                <w:rFonts w:ascii="宋体_GB2312" w:hAnsi="宋体_GB2312" w:eastAsia="宋体_GB2312"/>
                <w:kern w:val="0"/>
                <w:szCs w:val="21"/>
              </w:rPr>
              <w:t>0</w:t>
            </w:r>
          </w:p>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（双面，含底座）</w:t>
            </w:r>
          </w:p>
        </w:tc>
        <w:tc>
          <w:tcPr>
            <w:tcW w:w="1185"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350</w:t>
            </w:r>
          </w:p>
        </w:tc>
        <w:tc>
          <w:tcPr>
            <w:tcW w:w="993" w:type="dxa"/>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48</w:t>
            </w:r>
          </w:p>
        </w:tc>
        <w:tc>
          <w:tcPr>
            <w:tcW w:w="1418"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24</w:t>
            </w:r>
            <w:r>
              <w:rPr>
                <w:rFonts w:ascii="宋体_GB2312" w:hAnsi="宋体_GB2312" w:eastAsia="宋体_GB2312"/>
                <w:kern w:val="0"/>
                <w:szCs w:val="21"/>
              </w:rPr>
              <w:t>（共</w:t>
            </w:r>
            <w:r>
              <w:rPr>
                <w:rFonts w:hint="eastAsia" w:ascii="宋体_GB2312" w:hAnsi="宋体_GB2312" w:eastAsia="宋体_GB2312"/>
                <w:kern w:val="0"/>
                <w:szCs w:val="21"/>
              </w:rPr>
              <w:t>288</w:t>
            </w:r>
            <w:r>
              <w:rPr>
                <w:rFonts w:ascii="宋体_GB2312" w:hAnsi="宋体_GB2312" w:eastAsia="宋体_GB2312"/>
                <w:kern w:val="0"/>
                <w:szCs w:val="21"/>
              </w:rPr>
              <w:t>芯）</w:t>
            </w:r>
          </w:p>
        </w:tc>
        <w:tc>
          <w:tcPr>
            <w:tcW w:w="1844"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576芯（落地/架空）</w:t>
            </w:r>
          </w:p>
        </w:tc>
        <w:tc>
          <w:tcPr>
            <w:tcW w:w="860" w:type="dxa"/>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2-4</w:t>
            </w:r>
          </w:p>
        </w:tc>
        <w:tc>
          <w:tcPr>
            <w:tcW w:w="889"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双面操作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33" w:type="dxa"/>
            <w:vMerge w:val="continue"/>
            <w:vAlign w:val="center"/>
          </w:tcPr>
          <w:p>
            <w:pPr>
              <w:widowControl/>
              <w:spacing w:line="360" w:lineRule="auto"/>
              <w:jc w:val="center"/>
              <w:rPr>
                <w:rFonts w:ascii="宋体_GB2312" w:hAnsi="宋体_GB2312" w:eastAsia="宋体_GB2312"/>
                <w:kern w:val="0"/>
                <w:szCs w:val="21"/>
              </w:rPr>
            </w:pPr>
          </w:p>
        </w:tc>
        <w:tc>
          <w:tcPr>
            <w:tcW w:w="1792"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15</w:t>
            </w:r>
            <w:r>
              <w:rPr>
                <w:rFonts w:hint="eastAsia" w:ascii="宋体_GB2312" w:hAnsi="宋体_GB2312" w:eastAsia="宋体_GB2312"/>
                <w:kern w:val="0"/>
                <w:szCs w:val="21"/>
              </w:rPr>
              <w:t>60</w:t>
            </w:r>
            <w:r>
              <w:rPr>
                <w:rFonts w:ascii="宋体_GB2312" w:hAnsi="宋体_GB2312" w:eastAsia="宋体_GB2312"/>
                <w:kern w:val="0"/>
                <w:szCs w:val="21"/>
              </w:rPr>
              <w:t>×1</w:t>
            </w:r>
            <w:r>
              <w:rPr>
                <w:rFonts w:hint="eastAsia" w:ascii="宋体_GB2312" w:hAnsi="宋体_GB2312" w:eastAsia="宋体_GB2312"/>
                <w:kern w:val="0"/>
                <w:szCs w:val="21"/>
              </w:rPr>
              <w:t>50</w:t>
            </w:r>
            <w:r>
              <w:rPr>
                <w:rFonts w:ascii="宋体_GB2312" w:hAnsi="宋体_GB2312" w:eastAsia="宋体_GB2312"/>
                <w:kern w:val="0"/>
                <w:szCs w:val="21"/>
              </w:rPr>
              <w:t>0×3</w:t>
            </w:r>
            <w:r>
              <w:rPr>
                <w:rFonts w:hint="eastAsia" w:ascii="宋体_GB2312" w:hAnsi="宋体_GB2312" w:eastAsia="宋体_GB2312"/>
                <w:kern w:val="0"/>
                <w:szCs w:val="21"/>
              </w:rPr>
              <w:t>80</w:t>
            </w:r>
          </w:p>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（单面，含底座）</w:t>
            </w:r>
          </w:p>
        </w:tc>
        <w:tc>
          <w:tcPr>
            <w:tcW w:w="1185"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350</w:t>
            </w:r>
          </w:p>
        </w:tc>
        <w:tc>
          <w:tcPr>
            <w:tcW w:w="993" w:type="dxa"/>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48</w:t>
            </w:r>
          </w:p>
        </w:tc>
        <w:tc>
          <w:tcPr>
            <w:tcW w:w="1418"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24</w:t>
            </w:r>
            <w:r>
              <w:rPr>
                <w:rFonts w:ascii="宋体_GB2312" w:hAnsi="宋体_GB2312" w:eastAsia="宋体_GB2312"/>
                <w:kern w:val="0"/>
                <w:szCs w:val="21"/>
              </w:rPr>
              <w:t>（共</w:t>
            </w:r>
            <w:r>
              <w:rPr>
                <w:rFonts w:hint="eastAsia" w:ascii="宋体_GB2312" w:hAnsi="宋体_GB2312" w:eastAsia="宋体_GB2312"/>
                <w:kern w:val="0"/>
                <w:szCs w:val="21"/>
              </w:rPr>
              <w:t>288</w:t>
            </w:r>
            <w:r>
              <w:rPr>
                <w:rFonts w:ascii="宋体_GB2312" w:hAnsi="宋体_GB2312" w:eastAsia="宋体_GB2312"/>
                <w:kern w:val="0"/>
                <w:szCs w:val="21"/>
              </w:rPr>
              <w:t>芯）</w:t>
            </w:r>
          </w:p>
        </w:tc>
        <w:tc>
          <w:tcPr>
            <w:tcW w:w="1844"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576芯（落地/架空）</w:t>
            </w:r>
          </w:p>
        </w:tc>
        <w:tc>
          <w:tcPr>
            <w:tcW w:w="860" w:type="dxa"/>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2-4</w:t>
            </w:r>
          </w:p>
        </w:tc>
        <w:tc>
          <w:tcPr>
            <w:tcW w:w="889"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33" w:type="dxa"/>
            <w:vMerge w:val="restart"/>
            <w:vAlign w:val="center"/>
          </w:tcPr>
          <w:p>
            <w:pPr>
              <w:spacing w:line="360" w:lineRule="auto"/>
              <w:jc w:val="center"/>
              <w:rPr>
                <w:rFonts w:ascii="宋体_GB2312" w:hAnsi="宋体_GB2312" w:eastAsia="宋体_GB2312"/>
                <w:kern w:val="0"/>
                <w:szCs w:val="21"/>
              </w:rPr>
            </w:pPr>
            <w:r>
              <w:rPr>
                <w:rFonts w:ascii="宋体_GB2312" w:hAnsi="宋体_GB2312" w:eastAsia="宋体_GB2312"/>
                <w:kern w:val="0"/>
                <w:szCs w:val="21"/>
              </w:rPr>
              <w:t>不锈钢箱体</w:t>
            </w:r>
          </w:p>
        </w:tc>
        <w:tc>
          <w:tcPr>
            <w:tcW w:w="1792"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1</w:t>
            </w:r>
            <w:r>
              <w:rPr>
                <w:rFonts w:hint="eastAsia" w:ascii="宋体_GB2312" w:hAnsi="宋体_GB2312" w:eastAsia="宋体_GB2312"/>
                <w:kern w:val="0"/>
                <w:szCs w:val="21"/>
              </w:rPr>
              <w:t>10</w:t>
            </w:r>
            <w:r>
              <w:rPr>
                <w:rFonts w:ascii="宋体_GB2312" w:hAnsi="宋体_GB2312" w:eastAsia="宋体_GB2312"/>
                <w:kern w:val="0"/>
                <w:szCs w:val="21"/>
              </w:rPr>
              <w:t>0×</w:t>
            </w:r>
            <w:r>
              <w:rPr>
                <w:rFonts w:hint="eastAsia" w:ascii="宋体_GB2312" w:hAnsi="宋体_GB2312" w:eastAsia="宋体_GB2312"/>
                <w:kern w:val="0"/>
                <w:szCs w:val="21"/>
              </w:rPr>
              <w:t>620</w:t>
            </w:r>
            <w:r>
              <w:rPr>
                <w:rFonts w:ascii="宋体_GB2312" w:hAnsi="宋体_GB2312" w:eastAsia="宋体_GB2312"/>
                <w:kern w:val="0"/>
                <w:szCs w:val="21"/>
              </w:rPr>
              <w:t>×3</w:t>
            </w:r>
            <w:r>
              <w:rPr>
                <w:rFonts w:hint="eastAsia" w:ascii="宋体_GB2312" w:hAnsi="宋体_GB2312" w:eastAsia="宋体_GB2312"/>
                <w:kern w:val="0"/>
                <w:szCs w:val="21"/>
              </w:rPr>
              <w:t>50</w:t>
            </w:r>
            <w:r>
              <w:rPr>
                <w:rFonts w:ascii="宋体_GB2312" w:hAnsi="宋体_GB2312" w:eastAsia="宋体_GB2312"/>
                <w:kern w:val="0"/>
                <w:szCs w:val="21"/>
              </w:rPr>
              <w:t>（含底座）</w:t>
            </w:r>
          </w:p>
        </w:tc>
        <w:tc>
          <w:tcPr>
            <w:tcW w:w="1185"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300</w:t>
            </w:r>
          </w:p>
        </w:tc>
        <w:tc>
          <w:tcPr>
            <w:tcW w:w="993" w:type="dxa"/>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12</w:t>
            </w:r>
          </w:p>
        </w:tc>
        <w:tc>
          <w:tcPr>
            <w:tcW w:w="1418"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6</w:t>
            </w:r>
            <w:r>
              <w:rPr>
                <w:rFonts w:ascii="宋体_GB2312" w:hAnsi="宋体_GB2312" w:eastAsia="宋体_GB2312"/>
                <w:kern w:val="0"/>
                <w:szCs w:val="21"/>
              </w:rPr>
              <w:t>（共</w:t>
            </w:r>
            <w:r>
              <w:rPr>
                <w:rFonts w:hint="eastAsia" w:ascii="宋体_GB2312" w:hAnsi="宋体_GB2312" w:eastAsia="宋体_GB2312"/>
                <w:kern w:val="0"/>
                <w:szCs w:val="21"/>
              </w:rPr>
              <w:t>72</w:t>
            </w:r>
            <w:r>
              <w:rPr>
                <w:rFonts w:ascii="宋体_GB2312" w:hAnsi="宋体_GB2312" w:eastAsia="宋体_GB2312"/>
                <w:kern w:val="0"/>
                <w:szCs w:val="21"/>
              </w:rPr>
              <w:t>芯）</w:t>
            </w:r>
          </w:p>
        </w:tc>
        <w:tc>
          <w:tcPr>
            <w:tcW w:w="1844"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144（落地/壁挂/架空）</w:t>
            </w:r>
          </w:p>
        </w:tc>
        <w:tc>
          <w:tcPr>
            <w:tcW w:w="860" w:type="dxa"/>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1-2</w:t>
            </w:r>
          </w:p>
        </w:tc>
        <w:tc>
          <w:tcPr>
            <w:tcW w:w="889"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33" w:type="dxa"/>
            <w:vMerge w:val="continue"/>
            <w:vAlign w:val="center"/>
          </w:tcPr>
          <w:p>
            <w:pPr>
              <w:widowControl/>
              <w:spacing w:line="360" w:lineRule="auto"/>
              <w:jc w:val="center"/>
              <w:rPr>
                <w:rFonts w:ascii="宋体_GB2312" w:hAnsi="宋体_GB2312" w:eastAsia="宋体_GB2312"/>
                <w:kern w:val="0"/>
                <w:szCs w:val="21"/>
              </w:rPr>
            </w:pPr>
          </w:p>
        </w:tc>
        <w:tc>
          <w:tcPr>
            <w:tcW w:w="1792"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1</w:t>
            </w:r>
            <w:r>
              <w:rPr>
                <w:rFonts w:hint="eastAsia" w:ascii="宋体_GB2312" w:hAnsi="宋体_GB2312" w:eastAsia="宋体_GB2312"/>
                <w:kern w:val="0"/>
                <w:szCs w:val="21"/>
              </w:rPr>
              <w:t>48</w:t>
            </w:r>
            <w:r>
              <w:rPr>
                <w:rFonts w:ascii="宋体_GB2312" w:hAnsi="宋体_GB2312" w:eastAsia="宋体_GB2312"/>
                <w:kern w:val="0"/>
                <w:szCs w:val="21"/>
              </w:rPr>
              <w:t>0×</w:t>
            </w:r>
            <w:r>
              <w:rPr>
                <w:rFonts w:hint="eastAsia" w:ascii="宋体_GB2312" w:hAnsi="宋体_GB2312" w:eastAsia="宋体_GB2312"/>
                <w:kern w:val="0"/>
                <w:szCs w:val="21"/>
              </w:rPr>
              <w:t>8</w:t>
            </w:r>
            <w:r>
              <w:rPr>
                <w:rFonts w:ascii="宋体_GB2312" w:hAnsi="宋体_GB2312" w:eastAsia="宋体_GB2312"/>
                <w:kern w:val="0"/>
                <w:szCs w:val="21"/>
              </w:rPr>
              <w:t>00×3</w:t>
            </w:r>
            <w:r>
              <w:rPr>
                <w:rFonts w:hint="eastAsia" w:ascii="宋体_GB2312" w:hAnsi="宋体_GB2312" w:eastAsia="宋体_GB2312"/>
                <w:kern w:val="0"/>
                <w:szCs w:val="21"/>
              </w:rPr>
              <w:t>8</w:t>
            </w:r>
            <w:r>
              <w:rPr>
                <w:rFonts w:ascii="宋体_GB2312" w:hAnsi="宋体_GB2312" w:eastAsia="宋体_GB2312"/>
                <w:kern w:val="0"/>
                <w:szCs w:val="21"/>
              </w:rPr>
              <w:t>0（含底座）</w:t>
            </w:r>
          </w:p>
        </w:tc>
        <w:tc>
          <w:tcPr>
            <w:tcW w:w="1185"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350</w:t>
            </w:r>
          </w:p>
        </w:tc>
        <w:tc>
          <w:tcPr>
            <w:tcW w:w="993" w:type="dxa"/>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24</w:t>
            </w:r>
          </w:p>
        </w:tc>
        <w:tc>
          <w:tcPr>
            <w:tcW w:w="1418"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12</w:t>
            </w:r>
            <w:r>
              <w:rPr>
                <w:rFonts w:ascii="宋体_GB2312" w:hAnsi="宋体_GB2312" w:eastAsia="宋体_GB2312"/>
                <w:kern w:val="0"/>
                <w:szCs w:val="21"/>
              </w:rPr>
              <w:t>（共</w:t>
            </w:r>
            <w:r>
              <w:rPr>
                <w:rFonts w:hint="eastAsia" w:ascii="宋体_GB2312" w:hAnsi="宋体_GB2312" w:eastAsia="宋体_GB2312"/>
                <w:kern w:val="0"/>
                <w:szCs w:val="21"/>
              </w:rPr>
              <w:t>144</w:t>
            </w:r>
            <w:r>
              <w:rPr>
                <w:rFonts w:ascii="宋体_GB2312" w:hAnsi="宋体_GB2312" w:eastAsia="宋体_GB2312"/>
                <w:kern w:val="0"/>
                <w:szCs w:val="21"/>
              </w:rPr>
              <w:t>芯）</w:t>
            </w:r>
          </w:p>
        </w:tc>
        <w:tc>
          <w:tcPr>
            <w:tcW w:w="1844"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288芯（落地/壁挂/架空）</w:t>
            </w:r>
          </w:p>
        </w:tc>
        <w:tc>
          <w:tcPr>
            <w:tcW w:w="860" w:type="dxa"/>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1-2</w:t>
            </w:r>
          </w:p>
        </w:tc>
        <w:tc>
          <w:tcPr>
            <w:tcW w:w="889"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单面操作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33" w:type="dxa"/>
            <w:vMerge w:val="continue"/>
            <w:vAlign w:val="center"/>
          </w:tcPr>
          <w:p>
            <w:pPr>
              <w:widowControl/>
              <w:spacing w:line="360" w:lineRule="auto"/>
              <w:jc w:val="center"/>
              <w:rPr>
                <w:rFonts w:ascii="宋体_GB2312" w:hAnsi="宋体_GB2312" w:eastAsia="宋体_GB2312"/>
                <w:kern w:val="0"/>
                <w:szCs w:val="21"/>
              </w:rPr>
            </w:pPr>
          </w:p>
        </w:tc>
        <w:tc>
          <w:tcPr>
            <w:tcW w:w="1792"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1</w:t>
            </w:r>
            <w:r>
              <w:rPr>
                <w:rFonts w:hint="eastAsia" w:ascii="宋体_GB2312" w:hAnsi="宋体_GB2312" w:eastAsia="宋体_GB2312"/>
                <w:kern w:val="0"/>
                <w:szCs w:val="21"/>
              </w:rPr>
              <w:t>48</w:t>
            </w:r>
            <w:r>
              <w:rPr>
                <w:rFonts w:ascii="宋体_GB2312" w:hAnsi="宋体_GB2312" w:eastAsia="宋体_GB2312"/>
                <w:kern w:val="0"/>
                <w:szCs w:val="21"/>
              </w:rPr>
              <w:t>0×</w:t>
            </w:r>
            <w:r>
              <w:rPr>
                <w:rFonts w:hint="eastAsia" w:ascii="宋体_GB2312" w:hAnsi="宋体_GB2312" w:eastAsia="宋体_GB2312"/>
                <w:kern w:val="0"/>
                <w:szCs w:val="21"/>
              </w:rPr>
              <w:t>80</w:t>
            </w:r>
            <w:r>
              <w:rPr>
                <w:rFonts w:ascii="宋体_GB2312" w:hAnsi="宋体_GB2312" w:eastAsia="宋体_GB2312"/>
                <w:kern w:val="0"/>
                <w:szCs w:val="21"/>
              </w:rPr>
              <w:t>0×</w:t>
            </w:r>
            <w:r>
              <w:rPr>
                <w:rFonts w:hint="eastAsia" w:ascii="宋体_GB2312" w:hAnsi="宋体_GB2312" w:eastAsia="宋体_GB2312"/>
                <w:kern w:val="0"/>
                <w:szCs w:val="21"/>
              </w:rPr>
              <w:t>59</w:t>
            </w:r>
            <w:r>
              <w:rPr>
                <w:rFonts w:ascii="宋体_GB2312" w:hAnsi="宋体_GB2312" w:eastAsia="宋体_GB2312"/>
                <w:kern w:val="0"/>
                <w:szCs w:val="21"/>
              </w:rPr>
              <w:t>0（含底座）</w:t>
            </w:r>
          </w:p>
        </w:tc>
        <w:tc>
          <w:tcPr>
            <w:tcW w:w="1185"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350</w:t>
            </w:r>
          </w:p>
        </w:tc>
        <w:tc>
          <w:tcPr>
            <w:tcW w:w="993" w:type="dxa"/>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48</w:t>
            </w:r>
          </w:p>
        </w:tc>
        <w:tc>
          <w:tcPr>
            <w:tcW w:w="1418"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24</w:t>
            </w:r>
            <w:r>
              <w:rPr>
                <w:rFonts w:ascii="宋体_GB2312" w:hAnsi="宋体_GB2312" w:eastAsia="宋体_GB2312"/>
                <w:kern w:val="0"/>
                <w:szCs w:val="21"/>
              </w:rPr>
              <w:t>（共</w:t>
            </w:r>
            <w:r>
              <w:rPr>
                <w:rFonts w:hint="eastAsia" w:ascii="宋体_GB2312" w:hAnsi="宋体_GB2312" w:eastAsia="宋体_GB2312"/>
                <w:kern w:val="0"/>
                <w:szCs w:val="21"/>
              </w:rPr>
              <w:t>288</w:t>
            </w:r>
            <w:r>
              <w:rPr>
                <w:rFonts w:ascii="宋体_GB2312" w:hAnsi="宋体_GB2312" w:eastAsia="宋体_GB2312"/>
                <w:kern w:val="0"/>
                <w:szCs w:val="21"/>
              </w:rPr>
              <w:t>芯）</w:t>
            </w:r>
          </w:p>
        </w:tc>
        <w:tc>
          <w:tcPr>
            <w:tcW w:w="1844"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576芯（落地/架空）</w:t>
            </w:r>
          </w:p>
        </w:tc>
        <w:tc>
          <w:tcPr>
            <w:tcW w:w="860" w:type="dxa"/>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2-4</w:t>
            </w:r>
          </w:p>
        </w:tc>
        <w:tc>
          <w:tcPr>
            <w:tcW w:w="889"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双面操作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trPr>
        <w:tc>
          <w:tcPr>
            <w:tcW w:w="533" w:type="dxa"/>
            <w:vMerge w:val="continue"/>
            <w:vAlign w:val="center"/>
          </w:tcPr>
          <w:p>
            <w:pPr>
              <w:widowControl/>
              <w:spacing w:line="360" w:lineRule="auto"/>
              <w:jc w:val="center"/>
              <w:rPr>
                <w:rFonts w:ascii="宋体_GB2312" w:hAnsi="宋体_GB2312" w:eastAsia="宋体_GB2312"/>
                <w:kern w:val="0"/>
                <w:szCs w:val="21"/>
              </w:rPr>
            </w:pPr>
          </w:p>
        </w:tc>
        <w:tc>
          <w:tcPr>
            <w:tcW w:w="1792"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15</w:t>
            </w:r>
            <w:r>
              <w:rPr>
                <w:rFonts w:hint="eastAsia" w:ascii="宋体_GB2312" w:hAnsi="宋体_GB2312" w:eastAsia="宋体_GB2312"/>
                <w:kern w:val="0"/>
                <w:szCs w:val="21"/>
              </w:rPr>
              <w:t>60</w:t>
            </w:r>
            <w:r>
              <w:rPr>
                <w:rFonts w:ascii="宋体_GB2312" w:hAnsi="宋体_GB2312" w:eastAsia="宋体_GB2312"/>
                <w:kern w:val="0"/>
                <w:szCs w:val="21"/>
              </w:rPr>
              <w:t>×1</w:t>
            </w:r>
            <w:r>
              <w:rPr>
                <w:rFonts w:hint="eastAsia" w:ascii="宋体_GB2312" w:hAnsi="宋体_GB2312" w:eastAsia="宋体_GB2312"/>
                <w:kern w:val="0"/>
                <w:szCs w:val="21"/>
              </w:rPr>
              <w:t>50</w:t>
            </w:r>
            <w:r>
              <w:rPr>
                <w:rFonts w:ascii="宋体_GB2312" w:hAnsi="宋体_GB2312" w:eastAsia="宋体_GB2312"/>
                <w:kern w:val="0"/>
                <w:szCs w:val="21"/>
              </w:rPr>
              <w:t>0×3</w:t>
            </w:r>
            <w:r>
              <w:rPr>
                <w:rFonts w:hint="eastAsia" w:ascii="宋体_GB2312" w:hAnsi="宋体_GB2312" w:eastAsia="宋体_GB2312"/>
                <w:kern w:val="0"/>
                <w:szCs w:val="21"/>
              </w:rPr>
              <w:t>80</w:t>
            </w:r>
          </w:p>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（单面，含底座）</w:t>
            </w:r>
          </w:p>
        </w:tc>
        <w:tc>
          <w:tcPr>
            <w:tcW w:w="1185"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350</w:t>
            </w:r>
          </w:p>
        </w:tc>
        <w:tc>
          <w:tcPr>
            <w:tcW w:w="993" w:type="dxa"/>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48</w:t>
            </w:r>
          </w:p>
        </w:tc>
        <w:tc>
          <w:tcPr>
            <w:tcW w:w="1418" w:type="dxa"/>
            <w:shd w:val="clear" w:color="auto" w:fill="auto"/>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24</w:t>
            </w:r>
            <w:r>
              <w:rPr>
                <w:rFonts w:ascii="宋体_GB2312" w:hAnsi="宋体_GB2312" w:eastAsia="宋体_GB2312"/>
                <w:kern w:val="0"/>
                <w:szCs w:val="21"/>
              </w:rPr>
              <w:t>（共</w:t>
            </w:r>
            <w:r>
              <w:rPr>
                <w:rFonts w:hint="eastAsia" w:ascii="宋体_GB2312" w:hAnsi="宋体_GB2312" w:eastAsia="宋体_GB2312"/>
                <w:kern w:val="0"/>
                <w:szCs w:val="21"/>
              </w:rPr>
              <w:t>288</w:t>
            </w:r>
            <w:r>
              <w:rPr>
                <w:rFonts w:ascii="宋体_GB2312" w:hAnsi="宋体_GB2312" w:eastAsia="宋体_GB2312"/>
                <w:kern w:val="0"/>
                <w:szCs w:val="21"/>
              </w:rPr>
              <w:t>芯）</w:t>
            </w:r>
          </w:p>
        </w:tc>
        <w:tc>
          <w:tcPr>
            <w:tcW w:w="1844"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576芯（落地/架空）</w:t>
            </w:r>
          </w:p>
        </w:tc>
        <w:tc>
          <w:tcPr>
            <w:tcW w:w="860" w:type="dxa"/>
            <w:vAlign w:val="center"/>
          </w:tcPr>
          <w:p>
            <w:pPr>
              <w:widowControl/>
              <w:spacing w:line="360" w:lineRule="auto"/>
              <w:jc w:val="center"/>
              <w:rPr>
                <w:rFonts w:ascii="宋体_GB2312" w:hAnsi="宋体_GB2312" w:eastAsia="宋体_GB2312"/>
                <w:kern w:val="0"/>
                <w:szCs w:val="21"/>
              </w:rPr>
            </w:pPr>
            <w:r>
              <w:rPr>
                <w:rFonts w:hint="eastAsia" w:ascii="宋体_GB2312" w:hAnsi="宋体_GB2312" w:eastAsia="宋体_GB2312"/>
                <w:kern w:val="0"/>
                <w:szCs w:val="21"/>
              </w:rPr>
              <w:t>2-4</w:t>
            </w:r>
          </w:p>
        </w:tc>
        <w:tc>
          <w:tcPr>
            <w:tcW w:w="889" w:type="dxa"/>
            <w:shd w:val="clear" w:color="auto" w:fill="auto"/>
            <w:vAlign w:val="center"/>
          </w:tcPr>
          <w:p>
            <w:pPr>
              <w:widowControl/>
              <w:spacing w:line="360" w:lineRule="auto"/>
              <w:jc w:val="center"/>
              <w:rPr>
                <w:rFonts w:ascii="宋体_GB2312" w:hAnsi="宋体_GB2312" w:eastAsia="宋体_GB2312"/>
                <w:kern w:val="0"/>
                <w:szCs w:val="21"/>
              </w:rPr>
            </w:pPr>
            <w:r>
              <w:rPr>
                <w:rFonts w:ascii="宋体_GB2312" w:hAnsi="宋体_GB2312" w:eastAsia="宋体_GB2312"/>
                <w:kern w:val="0"/>
                <w:szCs w:val="21"/>
              </w:rPr>
              <w:t>单面操作</w:t>
            </w:r>
          </w:p>
        </w:tc>
      </w:tr>
    </w:tbl>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注：1、本规范给出的箱体尺寸为最大参考尺寸。</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2、分路器托盘按用户需求配置，1/2×16分路器终端托盘占用1个12芯一体化托盘空间，1/2×32分路器终端托盘占用2个12芯一体化托盘空间。</w:t>
      </w:r>
    </w:p>
    <w:p>
      <w:pPr>
        <w:pStyle w:val="42"/>
        <w:numPr>
          <w:ilvl w:val="0"/>
          <w:numId w:val="6"/>
        </w:numPr>
        <w:spacing w:line="560" w:lineRule="exact"/>
        <w:ind w:left="0" w:firstLine="0"/>
        <w:rPr>
          <w:rFonts w:ascii="宋体_GB2312" w:hAnsi="宋体_GB2312" w:eastAsia="宋体_GB2312"/>
          <w:sz w:val="24"/>
        </w:rPr>
      </w:pPr>
      <w:r>
        <w:rPr>
          <w:rFonts w:ascii="宋体_GB2312" w:hAnsi="宋体_GB2312" w:eastAsia="宋体_GB2312"/>
          <w:sz w:val="24"/>
        </w:rPr>
        <w:t>箱体</w:t>
      </w:r>
      <w:r>
        <w:rPr>
          <w:rFonts w:hint="eastAsia" w:ascii="宋体_GB2312" w:hAnsi="宋体_GB2312" w:eastAsia="宋体_GB2312"/>
          <w:sz w:val="24"/>
        </w:rPr>
        <w:t>示意图（落地）</w:t>
      </w:r>
    </w:p>
    <w:p>
      <w:pPr>
        <w:pStyle w:val="42"/>
        <w:spacing w:line="720" w:lineRule="auto"/>
        <w:jc w:val="center"/>
        <w:rPr>
          <w:rFonts w:ascii="宋体_GB2312" w:hAnsi="宋体_GB2312" w:eastAsia="宋体_GB2312"/>
          <w:sz w:val="24"/>
        </w:rPr>
      </w:pPr>
      <w:r>
        <w:rPr>
          <w:sz w:val="24"/>
          <w:szCs w:val="24"/>
        </w:rPr>
        <w:drawing>
          <wp:inline distT="0" distB="0" distL="0" distR="0">
            <wp:extent cx="2504440" cy="221869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504440" cy="2218690"/>
                    </a:xfrm>
                    <a:prstGeom prst="rect">
                      <a:avLst/>
                    </a:prstGeom>
                    <a:noFill/>
                    <a:ln>
                      <a:noFill/>
                    </a:ln>
                  </pic:spPr>
                </pic:pic>
              </a:graphicData>
            </a:graphic>
          </wp:inline>
        </w:drawing>
      </w:r>
      <w:r>
        <w:rPr>
          <w:rFonts w:hint="eastAsia" w:ascii="宋体_GB2312" w:hAnsi="宋体_GB2312" w:eastAsia="宋体_GB2312"/>
          <w:sz w:val="24"/>
        </w:rPr>
        <w:t xml:space="preserve"> </w:t>
      </w:r>
    </w:p>
    <w:p>
      <w:pPr>
        <w:spacing w:line="360" w:lineRule="auto"/>
        <w:jc w:val="center"/>
        <w:rPr>
          <w:rFonts w:ascii="宋体_GB2312" w:hAnsi="宋体_GB2312" w:eastAsia="宋体_GB2312"/>
          <w:sz w:val="24"/>
        </w:rPr>
      </w:pPr>
      <w:r>
        <w:rPr>
          <w:rFonts w:hint="eastAsia" w:ascii="宋体_GB2312" w:hAnsi="宋体_GB2312" w:eastAsia="宋体_GB2312"/>
          <w:sz w:val="24"/>
        </w:rPr>
        <w:t>图2 144芯SMC箱体图</w:t>
      </w:r>
    </w:p>
    <w:p>
      <w:pPr>
        <w:widowControl/>
        <w:jc w:val="center"/>
        <w:rPr>
          <w:rFonts w:ascii="宋体_GB2312" w:hAnsi="宋体_GB2312" w:eastAsia="宋体_GB2312" w:cs="宋体"/>
          <w:kern w:val="0"/>
          <w:sz w:val="24"/>
        </w:rPr>
      </w:pPr>
      <w:r>
        <w:rPr>
          <w:sz w:val="24"/>
        </w:rPr>
        <w:drawing>
          <wp:inline distT="0" distB="0" distL="0" distR="0">
            <wp:extent cx="2662555" cy="2465070"/>
            <wp:effectExtent l="0" t="0" r="444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662555" cy="2465070"/>
                    </a:xfrm>
                    <a:prstGeom prst="rect">
                      <a:avLst/>
                    </a:prstGeom>
                    <a:noFill/>
                    <a:ln>
                      <a:noFill/>
                    </a:ln>
                  </pic:spPr>
                </pic:pic>
              </a:graphicData>
            </a:graphic>
          </wp:inline>
        </w:drawing>
      </w:r>
    </w:p>
    <w:p>
      <w:pPr>
        <w:spacing w:line="360" w:lineRule="auto"/>
        <w:jc w:val="center"/>
        <w:rPr>
          <w:rFonts w:ascii="宋体_GB2312" w:hAnsi="宋体_GB2312" w:eastAsia="宋体_GB2312"/>
          <w:sz w:val="24"/>
        </w:rPr>
      </w:pPr>
      <w:r>
        <w:rPr>
          <w:rFonts w:hint="eastAsia" w:ascii="宋体_GB2312" w:hAnsi="宋体_GB2312" w:eastAsia="宋体_GB2312"/>
          <w:sz w:val="24"/>
        </w:rPr>
        <w:t>图3 288芯SMC箱体图</w:t>
      </w:r>
    </w:p>
    <w:p>
      <w:pPr>
        <w:widowControl/>
        <w:jc w:val="center"/>
        <w:rPr>
          <w:rFonts w:ascii="宋体_GB2312" w:hAnsi="宋体_GB2312" w:eastAsia="宋体_GB2312" w:cs="宋体"/>
          <w:kern w:val="0"/>
          <w:sz w:val="24"/>
        </w:rPr>
      </w:pPr>
      <w:r>
        <w:rPr>
          <w:sz w:val="24"/>
        </w:rPr>
        <w:drawing>
          <wp:inline distT="0" distB="0" distL="0" distR="0">
            <wp:extent cx="3335655" cy="27432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335655" cy="2743200"/>
                    </a:xfrm>
                    <a:prstGeom prst="rect">
                      <a:avLst/>
                    </a:prstGeom>
                    <a:noFill/>
                    <a:ln>
                      <a:noFill/>
                    </a:ln>
                  </pic:spPr>
                </pic:pic>
              </a:graphicData>
            </a:graphic>
          </wp:inline>
        </w:drawing>
      </w:r>
    </w:p>
    <w:p>
      <w:pPr>
        <w:spacing w:line="360" w:lineRule="auto"/>
        <w:jc w:val="center"/>
        <w:rPr>
          <w:rFonts w:ascii="宋体_GB2312" w:hAnsi="宋体_GB2312" w:eastAsia="宋体_GB2312"/>
          <w:sz w:val="24"/>
        </w:rPr>
      </w:pPr>
      <w:r>
        <w:rPr>
          <w:rFonts w:hint="eastAsia" w:ascii="宋体_GB2312" w:hAnsi="宋体_GB2312" w:eastAsia="宋体_GB2312"/>
          <w:sz w:val="24"/>
        </w:rPr>
        <w:t>图4 576芯SMC箱体图（双面）</w:t>
      </w:r>
    </w:p>
    <w:p>
      <w:pPr>
        <w:spacing w:line="360" w:lineRule="auto"/>
        <w:jc w:val="center"/>
        <w:rPr>
          <w:rFonts w:ascii="宋体_GB2312" w:hAnsi="宋体_GB2312" w:eastAsia="宋体_GB2312"/>
          <w:sz w:val="24"/>
        </w:rPr>
      </w:pPr>
      <w:r>
        <w:rPr>
          <w:sz w:val="24"/>
        </w:rPr>
        <w:drawing>
          <wp:inline distT="0" distB="0" distL="0" distR="0">
            <wp:extent cx="3383280" cy="2468880"/>
            <wp:effectExtent l="0" t="0" r="762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383280" cy="2468880"/>
                    </a:xfrm>
                    <a:prstGeom prst="rect">
                      <a:avLst/>
                    </a:prstGeom>
                    <a:noFill/>
                    <a:ln>
                      <a:noFill/>
                    </a:ln>
                  </pic:spPr>
                </pic:pic>
              </a:graphicData>
            </a:graphic>
          </wp:inline>
        </w:drawing>
      </w:r>
    </w:p>
    <w:p>
      <w:pPr>
        <w:spacing w:line="360" w:lineRule="auto"/>
        <w:jc w:val="center"/>
        <w:rPr>
          <w:rFonts w:ascii="宋体_GB2312" w:hAnsi="宋体_GB2312" w:eastAsia="宋体_GB2312"/>
          <w:sz w:val="24"/>
        </w:rPr>
      </w:pPr>
      <w:r>
        <w:rPr>
          <w:rFonts w:hint="eastAsia" w:ascii="宋体_GB2312" w:hAnsi="宋体_GB2312" w:eastAsia="宋体_GB2312"/>
          <w:sz w:val="24"/>
        </w:rPr>
        <w:t>图5 576芯SMC箱体图（单面）</w:t>
      </w:r>
    </w:p>
    <w:p>
      <w:pPr>
        <w:spacing w:line="360" w:lineRule="auto"/>
        <w:jc w:val="center"/>
        <w:rPr>
          <w:rFonts w:ascii="宋体_GB2312" w:hAnsi="宋体_GB2312" w:eastAsia="宋体_GB2312"/>
          <w:sz w:val="24"/>
        </w:rPr>
      </w:pPr>
      <w:r>
        <w:rPr>
          <w:sz w:val="24"/>
        </w:rPr>
        <w:drawing>
          <wp:inline distT="0" distB="0" distL="0" distR="0">
            <wp:extent cx="2456815" cy="2210435"/>
            <wp:effectExtent l="0" t="0" r="63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456815" cy="2210435"/>
                    </a:xfrm>
                    <a:prstGeom prst="rect">
                      <a:avLst/>
                    </a:prstGeom>
                    <a:noFill/>
                    <a:ln>
                      <a:noFill/>
                    </a:ln>
                  </pic:spPr>
                </pic:pic>
              </a:graphicData>
            </a:graphic>
          </wp:inline>
        </w:drawing>
      </w:r>
      <w:r>
        <w:rPr>
          <w:sz w:val="24"/>
        </w:rPr>
        <w:t xml:space="preserve">         </w:t>
      </w:r>
      <w:r>
        <w:rPr>
          <w:sz w:val="24"/>
        </w:rPr>
        <w:drawing>
          <wp:inline distT="0" distB="0" distL="0" distR="0">
            <wp:extent cx="2456815" cy="2210435"/>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456815" cy="2210435"/>
                    </a:xfrm>
                    <a:prstGeom prst="rect">
                      <a:avLst/>
                    </a:prstGeom>
                    <a:noFill/>
                    <a:ln>
                      <a:noFill/>
                    </a:ln>
                  </pic:spPr>
                </pic:pic>
              </a:graphicData>
            </a:graphic>
          </wp:inline>
        </w:drawing>
      </w:r>
    </w:p>
    <w:p>
      <w:pPr>
        <w:spacing w:line="360" w:lineRule="auto"/>
        <w:rPr>
          <w:rFonts w:ascii="宋体_GB2312" w:hAnsi="宋体_GB2312" w:eastAsia="宋体_GB2312"/>
          <w:sz w:val="24"/>
        </w:rPr>
      </w:pPr>
      <w:r>
        <w:rPr>
          <w:rFonts w:hint="eastAsia" w:ascii="宋体_GB2312" w:hAnsi="宋体_GB2312" w:eastAsia="宋体_GB2312"/>
          <w:sz w:val="24"/>
        </w:rPr>
        <w:t xml:space="preserve">             图6 不锈钢144芯箱体               图7 不锈钢288芯箱体  </w:t>
      </w:r>
    </w:p>
    <w:p>
      <w:pPr>
        <w:widowControl/>
        <w:jc w:val="center"/>
        <w:rPr>
          <w:rFonts w:ascii="宋体_GB2312" w:hAnsi="宋体_GB2312" w:eastAsia="宋体_GB2312" w:cs="宋体"/>
          <w:kern w:val="0"/>
          <w:sz w:val="24"/>
        </w:rPr>
      </w:pPr>
      <w:r>
        <w:rPr>
          <w:sz w:val="24"/>
        </w:rPr>
        <w:drawing>
          <wp:inline distT="0" distB="0" distL="0" distR="0">
            <wp:extent cx="2896870" cy="2304415"/>
            <wp:effectExtent l="0" t="0" r="0" b="63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96870" cy="2304415"/>
                    </a:xfrm>
                    <a:prstGeom prst="rect">
                      <a:avLst/>
                    </a:prstGeom>
                    <a:noFill/>
                    <a:ln>
                      <a:noFill/>
                    </a:ln>
                  </pic:spPr>
                </pic:pic>
              </a:graphicData>
            </a:graphic>
          </wp:inline>
        </w:drawing>
      </w:r>
    </w:p>
    <w:p>
      <w:pPr>
        <w:spacing w:line="360" w:lineRule="auto"/>
        <w:jc w:val="center"/>
        <w:rPr>
          <w:rFonts w:ascii="宋体_GB2312" w:hAnsi="宋体_GB2312" w:eastAsia="宋体_GB2312"/>
          <w:sz w:val="24"/>
        </w:rPr>
      </w:pPr>
      <w:r>
        <w:rPr>
          <w:rFonts w:hint="eastAsia" w:ascii="宋体_GB2312" w:hAnsi="宋体_GB2312" w:eastAsia="宋体_GB2312"/>
          <w:sz w:val="24"/>
        </w:rPr>
        <w:t>图8 不锈钢576芯箱体（双面）</w:t>
      </w:r>
    </w:p>
    <w:p>
      <w:pPr>
        <w:keepNext/>
        <w:spacing w:line="360" w:lineRule="auto"/>
        <w:ind w:firstLine="480" w:firstLineChars="200"/>
        <w:contextualSpacing/>
        <w:rPr>
          <w:sz w:val="24"/>
        </w:rPr>
      </w:pPr>
      <w:r>
        <w:rPr>
          <w:sz w:val="24"/>
        </w:rPr>
        <w:drawing>
          <wp:anchor distT="0" distB="0" distL="114300" distR="114300" simplePos="0" relativeHeight="251659264" behindDoc="0" locked="0" layoutInCell="1" allowOverlap="1">
            <wp:simplePos x="0" y="0"/>
            <wp:positionH relativeFrom="column">
              <wp:posOffset>965200</wp:posOffset>
            </wp:positionH>
            <wp:positionV relativeFrom="paragraph">
              <wp:posOffset>133985</wp:posOffset>
            </wp:positionV>
            <wp:extent cx="3218180" cy="2712085"/>
            <wp:effectExtent l="0" t="0" r="1270" b="0"/>
            <wp:wrapNone/>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218180" cy="2712085"/>
                    </a:xfrm>
                    <a:prstGeom prst="rect">
                      <a:avLst/>
                    </a:prstGeom>
                    <a:noFill/>
                    <a:ln>
                      <a:noFill/>
                    </a:ln>
                  </pic:spPr>
                </pic:pic>
              </a:graphicData>
            </a:graphic>
          </wp:anchor>
        </w:drawing>
      </w:r>
    </w:p>
    <w:p>
      <w:pPr>
        <w:keepNext/>
        <w:spacing w:line="360" w:lineRule="auto"/>
        <w:ind w:firstLine="480" w:firstLineChars="200"/>
        <w:contextualSpacing/>
        <w:rPr>
          <w:sz w:val="24"/>
        </w:rPr>
      </w:pPr>
    </w:p>
    <w:p>
      <w:pPr>
        <w:keepNext/>
        <w:spacing w:line="360" w:lineRule="auto"/>
        <w:ind w:firstLine="480" w:firstLineChars="200"/>
        <w:contextualSpacing/>
        <w:rPr>
          <w:sz w:val="24"/>
        </w:rPr>
      </w:pPr>
    </w:p>
    <w:p>
      <w:pPr>
        <w:keepNext/>
        <w:spacing w:line="360" w:lineRule="auto"/>
        <w:ind w:firstLine="480" w:firstLineChars="200"/>
        <w:contextualSpacing/>
        <w:rPr>
          <w:sz w:val="24"/>
        </w:rPr>
      </w:pPr>
    </w:p>
    <w:p>
      <w:pPr>
        <w:keepNext/>
        <w:spacing w:line="360" w:lineRule="auto"/>
        <w:ind w:firstLine="480" w:firstLineChars="200"/>
        <w:contextualSpacing/>
        <w:rPr>
          <w:sz w:val="24"/>
        </w:rPr>
      </w:pPr>
    </w:p>
    <w:p>
      <w:pPr>
        <w:keepNext/>
        <w:spacing w:line="360" w:lineRule="auto"/>
        <w:ind w:firstLine="480" w:firstLineChars="200"/>
        <w:contextualSpacing/>
        <w:rPr>
          <w:sz w:val="24"/>
        </w:rPr>
      </w:pPr>
    </w:p>
    <w:p>
      <w:pPr>
        <w:keepNext/>
        <w:spacing w:line="360" w:lineRule="auto"/>
        <w:ind w:firstLine="480" w:firstLineChars="200"/>
        <w:contextualSpacing/>
        <w:rPr>
          <w:sz w:val="24"/>
        </w:rPr>
      </w:pPr>
    </w:p>
    <w:p>
      <w:pPr>
        <w:keepNext/>
        <w:spacing w:line="360" w:lineRule="auto"/>
        <w:ind w:firstLine="480" w:firstLineChars="200"/>
        <w:contextualSpacing/>
        <w:rPr>
          <w:sz w:val="24"/>
        </w:rPr>
      </w:pPr>
    </w:p>
    <w:p>
      <w:pPr>
        <w:keepNext/>
        <w:spacing w:line="360" w:lineRule="auto"/>
        <w:ind w:firstLine="480" w:firstLineChars="200"/>
        <w:contextualSpacing/>
        <w:rPr>
          <w:sz w:val="24"/>
        </w:rPr>
      </w:pPr>
    </w:p>
    <w:p>
      <w:pPr>
        <w:keepNext/>
        <w:spacing w:line="360" w:lineRule="auto"/>
        <w:ind w:firstLine="480" w:firstLineChars="200"/>
        <w:contextualSpacing/>
        <w:rPr>
          <w:sz w:val="24"/>
        </w:rPr>
      </w:pPr>
    </w:p>
    <w:p>
      <w:pPr>
        <w:pStyle w:val="3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图9 不锈钢576芯箱体（单面）</w:t>
      </w:r>
    </w:p>
    <w:p>
      <w:pPr>
        <w:pStyle w:val="42"/>
        <w:numPr>
          <w:ilvl w:val="0"/>
          <w:numId w:val="6"/>
        </w:numPr>
        <w:spacing w:line="560" w:lineRule="exact"/>
        <w:ind w:left="0" w:firstLine="0"/>
        <w:rPr>
          <w:rFonts w:ascii="宋体_GB2312" w:hAnsi="宋体_GB2312" w:eastAsia="宋体_GB2312"/>
          <w:sz w:val="24"/>
        </w:rPr>
      </w:pPr>
      <w:r>
        <w:rPr>
          <w:rFonts w:hint="eastAsia" w:ascii="宋体_GB2312" w:hAnsi="宋体_GB2312" w:eastAsia="宋体_GB2312"/>
          <w:sz w:val="24"/>
        </w:rPr>
        <w:t>箱体壁挂示意图</w:t>
      </w:r>
    </w:p>
    <w:p>
      <w:pPr>
        <w:widowControl/>
        <w:jc w:val="center"/>
        <w:rPr>
          <w:rFonts w:ascii="宋体_GB2312" w:hAnsi="宋体_GB2312" w:eastAsia="宋体_GB2312" w:cs="宋体"/>
          <w:kern w:val="0"/>
          <w:sz w:val="24"/>
        </w:rPr>
      </w:pPr>
      <w:r>
        <w:rPr>
          <w:rFonts w:hint="eastAsia" w:ascii="黑体" w:eastAsia="黑体"/>
          <w:sz w:val="24"/>
        </w:rPr>
        <w:drawing>
          <wp:inline distT="0" distB="0" distL="0" distR="0">
            <wp:extent cx="3042920" cy="1865630"/>
            <wp:effectExtent l="0" t="0" r="5080" b="127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042920" cy="1865630"/>
                    </a:xfrm>
                    <a:prstGeom prst="rect">
                      <a:avLst/>
                    </a:prstGeom>
                    <a:noFill/>
                    <a:ln>
                      <a:noFill/>
                    </a:ln>
                  </pic:spPr>
                </pic:pic>
              </a:graphicData>
            </a:graphic>
          </wp:inline>
        </w:drawing>
      </w:r>
    </w:p>
    <w:p>
      <w:pPr>
        <w:pStyle w:val="3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图10  箱体壁挂示意图</w:t>
      </w:r>
    </w:p>
    <w:p>
      <w:pPr>
        <w:pStyle w:val="42"/>
        <w:numPr>
          <w:ilvl w:val="0"/>
          <w:numId w:val="6"/>
        </w:numPr>
        <w:spacing w:line="560" w:lineRule="exact"/>
        <w:ind w:left="0" w:firstLine="0"/>
        <w:rPr>
          <w:rFonts w:ascii="宋体_GB2312" w:hAnsi="宋体_GB2312" w:eastAsia="宋体_GB2312"/>
          <w:sz w:val="24"/>
        </w:rPr>
      </w:pPr>
      <w:r>
        <w:rPr>
          <w:rFonts w:hint="eastAsia" w:ascii="宋体_GB2312" w:hAnsi="宋体_GB2312" w:eastAsia="宋体_GB2312"/>
          <w:sz w:val="24"/>
        </w:rPr>
        <w:t>箱体架空示意图</w:t>
      </w:r>
    </w:p>
    <w:p>
      <w:pPr>
        <w:widowControl/>
        <w:jc w:val="center"/>
        <w:rPr>
          <w:rFonts w:ascii="宋体_GB2312" w:hAnsi="宋体_GB2312" w:eastAsia="宋体_GB2312" w:cs="宋体"/>
          <w:kern w:val="0"/>
          <w:sz w:val="24"/>
        </w:rPr>
      </w:pPr>
      <w:r>
        <w:rPr>
          <w:rFonts w:hint="eastAsia" w:ascii="黑体" w:eastAsia="黑体"/>
          <w:sz w:val="24"/>
        </w:rPr>
        <w:drawing>
          <wp:inline distT="0" distB="0" distL="0" distR="0">
            <wp:extent cx="2528570" cy="4500245"/>
            <wp:effectExtent l="0" t="0" r="508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528570" cy="4500245"/>
                    </a:xfrm>
                    <a:prstGeom prst="rect">
                      <a:avLst/>
                    </a:prstGeom>
                    <a:noFill/>
                    <a:ln>
                      <a:noFill/>
                    </a:ln>
                  </pic:spPr>
                </pic:pic>
              </a:graphicData>
            </a:graphic>
          </wp:inline>
        </w:drawing>
      </w:r>
    </w:p>
    <w:p>
      <w:pPr>
        <w:pStyle w:val="3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图11  箱体架空(单杆)安装示意图</w:t>
      </w:r>
    </w:p>
    <w:p>
      <w:pPr>
        <w:spacing w:line="360" w:lineRule="auto"/>
        <w:jc w:val="center"/>
        <w:rPr>
          <w:rFonts w:ascii="宋体_GB2312" w:hAnsi="宋体_GB2312" w:eastAsia="宋体_GB2312"/>
          <w:sz w:val="24"/>
        </w:rPr>
      </w:pPr>
    </w:p>
    <w:p>
      <w:pPr>
        <w:spacing w:line="360" w:lineRule="auto"/>
        <w:jc w:val="center"/>
        <w:rPr>
          <w:rFonts w:ascii="宋体_GB2312" w:hAnsi="宋体_GB2312" w:eastAsia="宋体_GB2312"/>
          <w:sz w:val="24"/>
        </w:rPr>
      </w:pPr>
    </w:p>
    <w:p>
      <w:pPr>
        <w:widowControl/>
        <w:jc w:val="center"/>
        <w:rPr>
          <w:rFonts w:ascii="宋体_GB2312" w:hAnsi="宋体_GB2312" w:eastAsia="宋体_GB2312" w:cs="宋体"/>
          <w:kern w:val="0"/>
          <w:sz w:val="24"/>
        </w:rPr>
      </w:pPr>
      <w:r>
        <w:rPr>
          <w:rFonts w:hint="eastAsia" w:ascii="黑体" w:eastAsia="黑体"/>
          <w:sz w:val="24"/>
        </w:rPr>
        <w:drawing>
          <wp:inline distT="0" distB="0" distL="0" distR="0">
            <wp:extent cx="2552065" cy="3888105"/>
            <wp:effectExtent l="0" t="0" r="63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552065" cy="3888105"/>
                    </a:xfrm>
                    <a:prstGeom prst="rect">
                      <a:avLst/>
                    </a:prstGeom>
                    <a:noFill/>
                    <a:ln>
                      <a:noFill/>
                    </a:ln>
                  </pic:spPr>
                </pic:pic>
              </a:graphicData>
            </a:graphic>
          </wp:inline>
        </w:drawing>
      </w:r>
    </w:p>
    <w:p>
      <w:pPr>
        <w:pStyle w:val="3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图12  箱体架空(H杆单面站台)安装示意图</w:t>
      </w:r>
    </w:p>
    <w:p>
      <w:pPr>
        <w:widowControl/>
        <w:jc w:val="center"/>
        <w:rPr>
          <w:rFonts w:ascii="宋体_GB2312" w:hAnsi="宋体_GB2312" w:eastAsia="宋体_GB2312" w:cs="宋体"/>
          <w:kern w:val="0"/>
          <w:sz w:val="24"/>
        </w:rPr>
      </w:pPr>
      <w:r>
        <w:rPr>
          <w:rFonts w:hint="eastAsia" w:ascii="黑体" w:eastAsia="黑体"/>
          <w:sz w:val="24"/>
        </w:rPr>
        <w:drawing>
          <wp:inline distT="0" distB="0" distL="0" distR="0">
            <wp:extent cx="3729355" cy="392811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729355" cy="3928110"/>
                    </a:xfrm>
                    <a:prstGeom prst="rect">
                      <a:avLst/>
                    </a:prstGeom>
                    <a:noFill/>
                    <a:ln>
                      <a:noFill/>
                    </a:ln>
                  </pic:spPr>
                </pic:pic>
              </a:graphicData>
            </a:graphic>
          </wp:inline>
        </w:drawing>
      </w:r>
    </w:p>
    <w:p>
      <w:pPr>
        <w:pStyle w:val="35"/>
        <w:spacing w:line="360" w:lineRule="auto"/>
        <w:ind w:firstLine="0" w:firstLineChars="0"/>
        <w:jc w:val="center"/>
        <w:rPr>
          <w:rFonts w:ascii="宋体_GB2312" w:hAnsi="宋体_GB2312" w:eastAsia="宋体_GB2312"/>
          <w:sz w:val="24"/>
          <w:szCs w:val="24"/>
        </w:rPr>
      </w:pPr>
      <w:r>
        <w:rPr>
          <w:rFonts w:hint="eastAsia" w:ascii="宋体_GB2312" w:hAnsi="宋体_GB2312" w:eastAsia="宋体_GB2312"/>
          <w:sz w:val="24"/>
          <w:szCs w:val="24"/>
        </w:rPr>
        <w:t>图13  箱体架空(H杆双面站台)安装示意图</w:t>
      </w:r>
    </w:p>
    <w:p>
      <w:pPr>
        <w:pStyle w:val="42"/>
        <w:numPr>
          <w:ilvl w:val="0"/>
          <w:numId w:val="6"/>
        </w:numPr>
        <w:spacing w:line="560" w:lineRule="exact"/>
        <w:ind w:left="0" w:firstLine="0"/>
        <w:rPr>
          <w:rFonts w:ascii="宋体_GB2312" w:hAnsi="宋体_GB2312" w:eastAsia="宋体_GB2312"/>
          <w:sz w:val="24"/>
        </w:rPr>
      </w:pPr>
      <w:r>
        <w:rPr>
          <w:rFonts w:hint="eastAsia" w:ascii="宋体_GB2312" w:hAnsi="宋体_GB2312" w:eastAsia="宋体_GB2312"/>
          <w:sz w:val="24"/>
        </w:rPr>
        <w:t>箱体内部结构</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 xml:space="preserve">总体结构示意图如下： </w:t>
      </w:r>
    </w:p>
    <w:p>
      <w:pPr>
        <w:widowControl/>
        <w:jc w:val="center"/>
        <w:rPr>
          <w:rFonts w:ascii="宋体_GB2312" w:hAnsi="宋体_GB2312" w:eastAsia="宋体_GB2312" w:cs="宋体"/>
          <w:kern w:val="0"/>
          <w:sz w:val="24"/>
        </w:rPr>
      </w:pPr>
      <w:r>
        <w:rPr>
          <w:sz w:val="24"/>
        </w:rPr>
        <w:drawing>
          <wp:inline distT="0" distB="0" distL="0" distR="0">
            <wp:extent cx="2823845" cy="283845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23845" cy="2838450"/>
                    </a:xfrm>
                    <a:prstGeom prst="rect">
                      <a:avLst/>
                    </a:prstGeom>
                    <a:noFill/>
                    <a:ln>
                      <a:noFill/>
                    </a:ln>
                  </pic:spPr>
                </pic:pic>
              </a:graphicData>
            </a:graphic>
          </wp:inline>
        </w:drawing>
      </w:r>
    </w:p>
    <w:p>
      <w:pPr>
        <w:spacing w:line="360" w:lineRule="auto"/>
        <w:jc w:val="center"/>
        <w:rPr>
          <w:rFonts w:ascii="宋体_GB2312" w:hAnsi="宋体_GB2312" w:eastAsia="宋体_GB2312"/>
          <w:sz w:val="24"/>
        </w:rPr>
      </w:pPr>
      <w:r>
        <w:rPr>
          <w:rFonts w:hint="eastAsia" w:ascii="宋体_GB2312" w:hAnsi="宋体_GB2312" w:eastAsia="宋体_GB2312"/>
          <w:sz w:val="24"/>
        </w:rPr>
        <w:t>图14 144芯箱体总体结构示意图</w:t>
      </w:r>
    </w:p>
    <w:p>
      <w:pPr>
        <w:widowControl/>
        <w:jc w:val="center"/>
        <w:rPr>
          <w:rFonts w:ascii="宋体_GB2312" w:hAnsi="宋体_GB2312" w:eastAsia="宋体_GB2312" w:cs="宋体"/>
          <w:kern w:val="0"/>
          <w:sz w:val="24"/>
        </w:rPr>
      </w:pPr>
      <w:r>
        <w:rPr>
          <w:sz w:val="24"/>
        </w:rPr>
        <w:drawing>
          <wp:inline distT="0" distB="0" distL="0" distR="0">
            <wp:extent cx="2977515" cy="316738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977515" cy="3167380"/>
                    </a:xfrm>
                    <a:prstGeom prst="rect">
                      <a:avLst/>
                    </a:prstGeom>
                    <a:noFill/>
                    <a:ln>
                      <a:noFill/>
                    </a:ln>
                  </pic:spPr>
                </pic:pic>
              </a:graphicData>
            </a:graphic>
          </wp:inline>
        </w:drawing>
      </w:r>
    </w:p>
    <w:p>
      <w:pPr>
        <w:pStyle w:val="35"/>
        <w:spacing w:line="360" w:lineRule="auto"/>
        <w:ind w:firstLine="480"/>
        <w:jc w:val="center"/>
        <w:rPr>
          <w:rFonts w:ascii="宋体_GB2312" w:hAnsi="宋体_GB2312" w:eastAsia="宋体_GB2312"/>
        </w:rPr>
      </w:pPr>
      <w:bookmarkStart w:id="43" w:name="_Toc62619398"/>
      <w:r>
        <w:rPr>
          <w:rFonts w:hint="eastAsia" w:ascii="宋体_GB2312" w:hAnsi="宋体_GB2312" w:eastAsia="宋体_GB2312"/>
          <w:sz w:val="24"/>
          <w:szCs w:val="24"/>
        </w:rPr>
        <w:t>图15 288芯箱体总体结构示意</w:t>
      </w:r>
    </w:p>
    <w:p>
      <w:pPr>
        <w:widowControl/>
        <w:jc w:val="center"/>
        <w:rPr>
          <w:rFonts w:ascii="宋体_GB2312" w:hAnsi="宋体_GB2312" w:eastAsia="宋体_GB2312" w:cs="宋体"/>
          <w:kern w:val="0"/>
          <w:sz w:val="24"/>
        </w:rPr>
      </w:pPr>
      <w:r>
        <w:rPr>
          <w:rFonts w:hint="eastAsia"/>
          <w:sz w:val="24"/>
        </w:rPr>
        <w:drawing>
          <wp:inline distT="0" distB="0" distL="0" distR="0">
            <wp:extent cx="4564380" cy="2369820"/>
            <wp:effectExtent l="0" t="0" r="762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564380" cy="2369820"/>
                    </a:xfrm>
                    <a:prstGeom prst="rect">
                      <a:avLst/>
                    </a:prstGeom>
                    <a:noFill/>
                    <a:ln>
                      <a:noFill/>
                    </a:ln>
                  </pic:spPr>
                </pic:pic>
              </a:graphicData>
            </a:graphic>
          </wp:inline>
        </w:drawing>
      </w:r>
    </w:p>
    <w:p>
      <w:pPr>
        <w:pStyle w:val="35"/>
        <w:spacing w:line="360" w:lineRule="auto"/>
        <w:ind w:firstLine="480"/>
        <w:jc w:val="center"/>
        <w:rPr>
          <w:rFonts w:ascii="宋体_GB2312" w:hAnsi="宋体_GB2312" w:eastAsia="宋体_GB2312" w:cs="Arial"/>
          <w:i/>
          <w:sz w:val="24"/>
          <w:szCs w:val="24"/>
        </w:rPr>
      </w:pPr>
      <w:r>
        <w:rPr>
          <w:rFonts w:hint="eastAsia" w:ascii="宋体_GB2312" w:hAnsi="宋体_GB2312" w:eastAsia="宋体_GB2312"/>
          <w:sz w:val="24"/>
          <w:szCs w:val="24"/>
        </w:rPr>
        <w:t>图16 576芯双面箱体总体结构示意图</w:t>
      </w:r>
    </w:p>
    <w:bookmarkEnd w:id="43"/>
    <w:p>
      <w:pPr>
        <w:jc w:val="center"/>
        <w:rPr>
          <w:rFonts w:ascii="宋体_GB2312" w:hAnsi="宋体_GB2312" w:eastAsia="宋体_GB2312"/>
        </w:rPr>
      </w:pPr>
      <w:bookmarkStart w:id="44" w:name="_Hlk57030761"/>
      <w:r>
        <w:rPr>
          <w:rFonts w:ascii="黑体"/>
          <w:i/>
        </w:rPr>
        <w:drawing>
          <wp:inline distT="0" distB="0" distL="0" distR="0">
            <wp:extent cx="2971800" cy="26289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971800" cy="2628900"/>
                    </a:xfrm>
                    <a:prstGeom prst="rect">
                      <a:avLst/>
                    </a:prstGeom>
                    <a:noFill/>
                    <a:ln>
                      <a:noFill/>
                    </a:ln>
                  </pic:spPr>
                </pic:pic>
              </a:graphicData>
            </a:graphic>
          </wp:inline>
        </w:drawing>
      </w:r>
      <w:bookmarkEnd w:id="44"/>
    </w:p>
    <w:p>
      <w:pPr>
        <w:pStyle w:val="12"/>
        <w:spacing w:line="360" w:lineRule="auto"/>
        <w:jc w:val="center"/>
        <w:rPr>
          <w:rFonts w:ascii="宋体_GB2312" w:hAnsi="宋体_GB2312" w:eastAsia="宋体_GB2312"/>
          <w:szCs w:val="24"/>
        </w:rPr>
      </w:pPr>
      <w:r>
        <w:rPr>
          <w:rFonts w:hint="eastAsia" w:ascii="宋体_GB2312" w:hAnsi="宋体_GB2312" w:eastAsia="宋体_GB2312"/>
          <w:szCs w:val="24"/>
        </w:rPr>
        <w:t>图17 576芯单面箱体总体结构示意图</w:t>
      </w:r>
    </w:p>
    <w:p>
      <w:pPr>
        <w:pStyle w:val="42"/>
        <w:numPr>
          <w:ilvl w:val="0"/>
          <w:numId w:val="6"/>
        </w:numPr>
        <w:spacing w:line="560" w:lineRule="exact"/>
        <w:ind w:left="0" w:firstLine="0"/>
        <w:rPr>
          <w:rFonts w:ascii="宋体_GB2312" w:hAnsi="宋体_GB2312" w:eastAsia="宋体_GB2312"/>
          <w:sz w:val="24"/>
        </w:rPr>
      </w:pPr>
      <w:r>
        <w:rPr>
          <w:rFonts w:hint="eastAsia" w:ascii="宋体_GB2312" w:hAnsi="宋体_GB2312" w:eastAsia="宋体_GB2312"/>
          <w:sz w:val="24"/>
        </w:rPr>
        <w:t>箱体内部走纤示意图</w:t>
      </w:r>
    </w:p>
    <w:p>
      <w:pPr>
        <w:spacing w:line="360" w:lineRule="auto"/>
        <w:jc w:val="center"/>
        <w:rPr>
          <w:rFonts w:ascii="宋体_GB2312" w:hAnsi="宋体_GB2312" w:eastAsia="宋体_GB2312"/>
          <w:sz w:val="24"/>
        </w:rPr>
      </w:pPr>
    </w:p>
    <w:p>
      <w:pPr>
        <w:spacing w:line="360" w:lineRule="auto"/>
        <w:jc w:val="center"/>
        <w:rPr>
          <w:rFonts w:ascii="宋体_GB2312" w:hAnsi="宋体_GB2312" w:eastAsia="宋体_GB2312"/>
          <w:sz w:val="24"/>
        </w:rPr>
      </w:pPr>
    </w:p>
    <w:p>
      <w:pPr>
        <w:widowControl/>
        <w:jc w:val="center"/>
        <w:rPr>
          <w:rFonts w:ascii="宋体_GB2312" w:hAnsi="宋体_GB2312" w:eastAsia="宋体_GB2312" w:cs="宋体"/>
          <w:kern w:val="0"/>
          <w:sz w:val="24"/>
        </w:rPr>
      </w:pPr>
      <w:r>
        <w:rPr>
          <w:rFonts w:ascii="宋体_GB2312" w:hAnsi="宋体_GB2312" w:eastAsia="宋体_GB2312" w:cs="宋体"/>
          <w:kern w:val="0"/>
          <w:sz w:val="24"/>
        </w:rPr>
        <w:drawing>
          <wp:inline distT="0" distB="0" distL="0" distR="0">
            <wp:extent cx="3617595" cy="3649345"/>
            <wp:effectExtent l="0" t="0" r="0" b="0"/>
            <wp:docPr id="17" name="图片 17" descr="YDPGRAJU5~{5JNB)16I_}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YDPGRAJU5~{5JNB)16I_}O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617595" cy="3649345"/>
                    </a:xfrm>
                    <a:prstGeom prst="rect">
                      <a:avLst/>
                    </a:prstGeom>
                    <a:noFill/>
                    <a:ln>
                      <a:noFill/>
                    </a:ln>
                  </pic:spPr>
                </pic:pic>
              </a:graphicData>
            </a:graphic>
          </wp:inline>
        </w:drawing>
      </w:r>
    </w:p>
    <w:p>
      <w:pPr>
        <w:pStyle w:val="12"/>
        <w:spacing w:line="360" w:lineRule="auto"/>
        <w:jc w:val="center"/>
        <w:rPr>
          <w:rFonts w:ascii="宋体_GB2312" w:hAnsi="宋体_GB2312" w:eastAsia="宋体_GB2312"/>
          <w:szCs w:val="24"/>
        </w:rPr>
      </w:pPr>
      <w:r>
        <w:rPr>
          <w:rFonts w:hint="eastAsia" w:ascii="宋体_GB2312" w:hAnsi="宋体_GB2312" w:eastAsia="宋体_GB2312"/>
          <w:szCs w:val="24"/>
        </w:rPr>
        <w:t>图18 144芯箱体内部走纤示意图</w:t>
      </w:r>
    </w:p>
    <w:p>
      <w:pPr>
        <w:widowControl/>
        <w:jc w:val="center"/>
        <w:rPr>
          <w:rFonts w:ascii="宋体_GB2312" w:hAnsi="宋体_GB2312" w:eastAsia="宋体_GB2312" w:cs="宋体"/>
          <w:kern w:val="0"/>
          <w:sz w:val="24"/>
        </w:rPr>
      </w:pPr>
      <w:r>
        <w:rPr>
          <w:rFonts w:ascii="宋体_GB2312" w:hAnsi="宋体_GB2312" w:eastAsia="宋体_GB2312" w:cs="宋体"/>
          <w:kern w:val="0"/>
          <w:sz w:val="24"/>
        </w:rPr>
        <w:drawing>
          <wp:inline distT="0" distB="0" distL="0" distR="0">
            <wp:extent cx="3967480" cy="4301490"/>
            <wp:effectExtent l="0" t="0" r="0" b="0"/>
            <wp:docPr id="18" name="图片 18" descr="B~`SSCD[`WNKK[FRO{M%Z$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B~`SSCD[`WNKK[FRO{M%Z$V"/>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3967480" cy="4301490"/>
                    </a:xfrm>
                    <a:prstGeom prst="rect">
                      <a:avLst/>
                    </a:prstGeom>
                    <a:noFill/>
                    <a:ln>
                      <a:noFill/>
                    </a:ln>
                  </pic:spPr>
                </pic:pic>
              </a:graphicData>
            </a:graphic>
          </wp:inline>
        </w:drawing>
      </w:r>
    </w:p>
    <w:p>
      <w:pPr>
        <w:pStyle w:val="12"/>
        <w:spacing w:line="360" w:lineRule="auto"/>
        <w:jc w:val="center"/>
        <w:rPr>
          <w:rFonts w:ascii="宋体_GB2312" w:hAnsi="宋体_GB2312" w:eastAsia="宋体_GB2312"/>
          <w:szCs w:val="24"/>
        </w:rPr>
      </w:pPr>
      <w:r>
        <w:rPr>
          <w:rFonts w:hint="eastAsia" w:ascii="宋体_GB2312" w:hAnsi="宋体_GB2312" w:eastAsia="宋体_GB2312"/>
          <w:szCs w:val="24"/>
        </w:rPr>
        <w:t>图19 288芯箱体内部走纤示意图</w:t>
      </w:r>
    </w:p>
    <w:p>
      <w:pPr>
        <w:widowControl/>
        <w:jc w:val="center"/>
        <w:rPr>
          <w:rFonts w:ascii="宋体_GB2312" w:hAnsi="宋体_GB2312" w:eastAsia="宋体_GB2312" w:cs="宋体"/>
          <w:kern w:val="0"/>
          <w:sz w:val="24"/>
        </w:rPr>
      </w:pPr>
      <w:r>
        <w:rPr>
          <w:rFonts w:ascii="宋体_GB2312" w:hAnsi="宋体_GB2312" w:eastAsia="宋体_GB2312" w:cs="宋体"/>
          <w:kern w:val="0"/>
          <w:sz w:val="24"/>
        </w:rPr>
        <w:drawing>
          <wp:inline distT="0" distB="0" distL="0" distR="0">
            <wp:extent cx="3300095" cy="3983355"/>
            <wp:effectExtent l="0" t="0" r="0" b="0"/>
            <wp:docPr id="19" name="图片 19" descr="SPXZ34VZWG8`82Z)UCK0EX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SPXZ34VZWG8`82Z)UCK0EX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300095" cy="3983355"/>
                    </a:xfrm>
                    <a:prstGeom prst="rect">
                      <a:avLst/>
                    </a:prstGeom>
                    <a:noFill/>
                    <a:ln>
                      <a:noFill/>
                    </a:ln>
                  </pic:spPr>
                </pic:pic>
              </a:graphicData>
            </a:graphic>
          </wp:inline>
        </w:drawing>
      </w:r>
    </w:p>
    <w:p>
      <w:pPr>
        <w:spacing w:line="360" w:lineRule="auto"/>
        <w:jc w:val="center"/>
        <w:rPr>
          <w:rFonts w:ascii="宋体_GB2312" w:hAnsi="宋体_GB2312" w:eastAsia="宋体_GB2312"/>
          <w:sz w:val="24"/>
        </w:rPr>
      </w:pPr>
      <w:r>
        <w:rPr>
          <w:rFonts w:hint="eastAsia" w:ascii="宋体_GB2312" w:hAnsi="宋体_GB2312" w:eastAsia="宋体_GB2312"/>
          <w:sz w:val="24"/>
        </w:rPr>
        <w:t>图20 576芯(双面)箱体内部走纤</w:t>
      </w:r>
      <w:r>
        <w:rPr>
          <w:rFonts w:hint="eastAsia" w:ascii="宋体_GB2312" w:hAnsi="宋体_GB2312" w:eastAsia="宋体_GB2312"/>
          <w:b/>
          <w:sz w:val="24"/>
        </w:rPr>
        <w:t>示</w:t>
      </w:r>
      <w:r>
        <w:rPr>
          <w:rFonts w:hint="eastAsia" w:ascii="宋体_GB2312" w:hAnsi="宋体_GB2312" w:eastAsia="宋体_GB2312"/>
          <w:sz w:val="24"/>
        </w:rPr>
        <w:t>意图</w:t>
      </w:r>
    </w:p>
    <w:p>
      <w:pPr>
        <w:widowControl/>
        <w:jc w:val="center"/>
        <w:rPr>
          <w:rFonts w:ascii="宋体_GB2312" w:hAnsi="宋体_GB2312" w:eastAsia="宋体_GB2312" w:cs="宋体"/>
          <w:kern w:val="0"/>
          <w:sz w:val="24"/>
        </w:rPr>
      </w:pPr>
      <w:r>
        <w:rPr>
          <w:rFonts w:ascii="宋体_GB2312" w:hAnsi="宋体_GB2312" w:eastAsia="宋体_GB2312" w:cs="宋体"/>
          <w:kern w:val="0"/>
          <w:sz w:val="24"/>
        </w:rPr>
        <w:drawing>
          <wp:inline distT="0" distB="0" distL="0" distR="0">
            <wp:extent cx="4102735" cy="3641725"/>
            <wp:effectExtent l="0" t="0" r="0" b="0"/>
            <wp:docPr id="20" name="图片 20" descr="6OYI)Z9_[AWIR]S@5$A6Z]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6OYI)Z9_[AWIR]S@5$A6Z]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4102735" cy="3641725"/>
                    </a:xfrm>
                    <a:prstGeom prst="rect">
                      <a:avLst/>
                    </a:prstGeom>
                    <a:noFill/>
                    <a:ln>
                      <a:noFill/>
                    </a:ln>
                  </pic:spPr>
                </pic:pic>
              </a:graphicData>
            </a:graphic>
          </wp:inline>
        </w:drawing>
      </w:r>
    </w:p>
    <w:p>
      <w:pPr>
        <w:pStyle w:val="3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图21 576芯(单面)箱体内部走纤示意图</w:t>
      </w:r>
    </w:p>
    <w:p>
      <w:pPr>
        <w:pStyle w:val="42"/>
        <w:numPr>
          <w:ilvl w:val="0"/>
          <w:numId w:val="6"/>
        </w:numPr>
        <w:spacing w:line="560" w:lineRule="exact"/>
        <w:ind w:left="0" w:firstLine="0"/>
        <w:rPr>
          <w:rFonts w:ascii="宋体_GB2312" w:hAnsi="宋体_GB2312" w:eastAsia="宋体_GB2312"/>
          <w:sz w:val="24"/>
        </w:rPr>
      </w:pPr>
      <w:r>
        <w:rPr>
          <w:rFonts w:hint="eastAsia" w:ascii="宋体_GB2312" w:hAnsi="宋体_GB2312" w:eastAsia="宋体_GB2312"/>
          <w:sz w:val="24"/>
        </w:rPr>
        <w:t>箱体底座</w:t>
      </w:r>
    </w:p>
    <w:p>
      <w:pPr>
        <w:spacing w:line="360" w:lineRule="auto"/>
        <w:jc w:val="center"/>
        <w:rPr>
          <w:rFonts w:ascii="宋体_GB2312" w:hAnsi="宋体_GB2312" w:eastAsia="宋体_GB2312"/>
          <w:sz w:val="24"/>
        </w:rPr>
      </w:pPr>
      <w:r>
        <w:rPr>
          <w:sz w:val="24"/>
        </w:rPr>
        <w:drawing>
          <wp:inline distT="0" distB="0" distL="0" distR="0">
            <wp:extent cx="3050540" cy="2040255"/>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36" cstate="print">
                      <a:extLst>
                        <a:ext uri="{28A0092B-C50C-407E-A947-70E740481C1C}">
                          <a14:useLocalDpi xmlns:a14="http://schemas.microsoft.com/office/drawing/2010/main" val="0"/>
                        </a:ext>
                      </a:extLst>
                    </a:blip>
                    <a:srcRect l="11142" t="9981" r="11142" b="13309"/>
                    <a:stretch>
                      <a:fillRect/>
                    </a:stretch>
                  </pic:blipFill>
                  <pic:spPr>
                    <a:xfrm>
                      <a:off x="0" y="0"/>
                      <a:ext cx="3050540" cy="2040255"/>
                    </a:xfrm>
                    <a:prstGeom prst="rect">
                      <a:avLst/>
                    </a:prstGeom>
                    <a:noFill/>
                    <a:ln>
                      <a:noFill/>
                    </a:ln>
                  </pic:spPr>
                </pic:pic>
              </a:graphicData>
            </a:graphic>
          </wp:inline>
        </w:drawing>
      </w:r>
    </w:p>
    <w:p>
      <w:pPr>
        <w:widowControl/>
        <w:spacing w:line="360" w:lineRule="auto"/>
        <w:ind w:firstLine="480"/>
        <w:jc w:val="center"/>
        <w:rPr>
          <w:rFonts w:ascii="宋体_GB2312" w:hAnsi="宋体_GB2312" w:eastAsia="宋体_GB2312"/>
          <w:sz w:val="24"/>
        </w:rPr>
      </w:pPr>
      <w:r>
        <w:rPr>
          <w:rFonts w:hint="eastAsia" w:ascii="宋体_GB2312" w:hAnsi="宋体_GB2312" w:eastAsia="宋体_GB2312"/>
          <w:sz w:val="24"/>
        </w:rPr>
        <w:t>图22  底座结构示意图</w:t>
      </w:r>
    </w:p>
    <w:p>
      <w:pPr>
        <w:pStyle w:val="42"/>
        <w:numPr>
          <w:ilvl w:val="0"/>
          <w:numId w:val="6"/>
        </w:numPr>
        <w:spacing w:line="560" w:lineRule="exact"/>
        <w:ind w:left="0" w:firstLine="0"/>
        <w:rPr>
          <w:rFonts w:ascii="宋体_GB2312" w:hAnsi="宋体_GB2312" w:eastAsia="宋体_GB2312"/>
          <w:sz w:val="24"/>
        </w:rPr>
      </w:pPr>
      <w:r>
        <w:rPr>
          <w:rFonts w:hint="eastAsia" w:ascii="宋体_GB2312" w:hAnsi="宋体_GB2312" w:eastAsia="宋体_GB2312"/>
          <w:sz w:val="24"/>
        </w:rPr>
        <w:t xml:space="preserve"> 12芯熔配一体化托盘结构图</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12芯熔配一体化托盘为左、右出纤设计，满足外缆的熔接、尾纤的存贮、跳纤终端等功能。托盘熔接盘、终端盘材料采用阻燃ABS、颜色为PANTONE 3405U，盖板材料采用阻燃ABS、颜色为PANTONE 427U。</w:t>
      </w:r>
    </w:p>
    <w:p>
      <w:pPr>
        <w:spacing w:before="156" w:beforeLines="50" w:line="300" w:lineRule="auto"/>
        <w:ind w:firstLine="480" w:firstLineChars="200"/>
        <w:jc w:val="center"/>
        <w:rPr>
          <w:rFonts w:ascii="宋体_GB2312" w:hAnsi="宋体_GB2312" w:eastAsia="宋体_GB2312"/>
          <w:sz w:val="24"/>
        </w:rPr>
      </w:pPr>
      <w:r>
        <w:rPr>
          <w:rFonts w:hint="eastAsia" w:ascii="黑体" w:eastAsia="黑体"/>
          <w:sz w:val="24"/>
        </w:rPr>
        <w:drawing>
          <wp:inline distT="0" distB="0" distL="0" distR="0">
            <wp:extent cx="3267710" cy="2289810"/>
            <wp:effectExtent l="0" t="0" r="889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267710" cy="2289810"/>
                    </a:xfrm>
                    <a:prstGeom prst="rect">
                      <a:avLst/>
                    </a:prstGeom>
                    <a:noFill/>
                    <a:ln>
                      <a:noFill/>
                    </a:ln>
                  </pic:spPr>
                </pic:pic>
              </a:graphicData>
            </a:graphic>
          </wp:inline>
        </w:drawing>
      </w:r>
    </w:p>
    <w:p>
      <w:pPr>
        <w:widowControl/>
        <w:jc w:val="center"/>
        <w:rPr>
          <w:rFonts w:ascii="宋体_GB2312" w:hAnsi="宋体_GB2312" w:eastAsia="宋体_GB2312" w:cs="宋体"/>
          <w:kern w:val="0"/>
          <w:sz w:val="24"/>
        </w:rPr>
      </w:pPr>
    </w:p>
    <w:p>
      <w:pPr>
        <w:pStyle w:val="35"/>
        <w:spacing w:line="360" w:lineRule="auto"/>
        <w:ind w:firstLine="2640" w:firstLineChars="1100"/>
        <w:rPr>
          <w:rFonts w:ascii="宋体_GB2312" w:hAnsi="宋体_GB2312" w:eastAsia="宋体_GB2312"/>
          <w:sz w:val="24"/>
          <w:szCs w:val="24"/>
        </w:rPr>
      </w:pPr>
      <w:r>
        <w:rPr>
          <w:rFonts w:hint="eastAsia" w:ascii="宋体_GB2312" w:hAnsi="宋体_GB2312" w:eastAsia="宋体_GB2312"/>
          <w:sz w:val="24"/>
          <w:szCs w:val="24"/>
        </w:rPr>
        <w:t>图23  12芯熔配一体化托盘结构图</w:t>
      </w:r>
    </w:p>
    <w:p>
      <w:pPr>
        <w:pStyle w:val="42"/>
        <w:numPr>
          <w:ilvl w:val="0"/>
          <w:numId w:val="6"/>
        </w:numPr>
        <w:spacing w:line="560" w:lineRule="exact"/>
        <w:ind w:left="0" w:firstLine="0"/>
        <w:rPr>
          <w:rFonts w:ascii="宋体_GB2312" w:hAnsi="宋体_GB2312" w:eastAsia="宋体_GB2312"/>
          <w:sz w:val="24"/>
        </w:rPr>
      </w:pPr>
      <w:r>
        <w:rPr>
          <w:rFonts w:hint="eastAsia" w:ascii="宋体_GB2312" w:hAnsi="宋体_GB2312" w:eastAsia="宋体_GB2312"/>
          <w:sz w:val="24"/>
        </w:rPr>
        <w:t xml:space="preserve">  6位导轨板结构图</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安装在箱体内的左右立柱上，每组（含2个）6位导轨板，可安装6个12芯熔配一体化托盘或6个1/2×16分路器托盘，如果安装1/2×32分路器托盘，最大可安装3个。</w:t>
      </w:r>
    </w:p>
    <w:p>
      <w:pPr>
        <w:spacing w:before="156" w:beforeLines="50" w:line="300" w:lineRule="auto"/>
        <w:ind w:firstLine="482" w:firstLineChars="200"/>
        <w:jc w:val="center"/>
        <w:rPr>
          <w:rFonts w:ascii="宋体_GB2312" w:hAnsi="宋体_GB2312" w:eastAsia="宋体_GB2312"/>
          <w:sz w:val="24"/>
        </w:rPr>
      </w:pPr>
      <w:r>
        <w:rPr>
          <w:rFonts w:hint="eastAsia"/>
          <w:b/>
          <w:sz w:val="24"/>
        </w:rPr>
        <w:drawing>
          <wp:inline distT="0" distB="0" distL="0" distR="0">
            <wp:extent cx="1971675" cy="2178685"/>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1971675" cy="2178685"/>
                    </a:xfrm>
                    <a:prstGeom prst="rect">
                      <a:avLst/>
                    </a:prstGeom>
                    <a:noFill/>
                    <a:ln>
                      <a:noFill/>
                    </a:ln>
                  </pic:spPr>
                </pic:pic>
              </a:graphicData>
            </a:graphic>
          </wp:inline>
        </w:drawing>
      </w:r>
    </w:p>
    <w:p>
      <w:pPr>
        <w:spacing w:line="360" w:lineRule="auto"/>
        <w:ind w:firstLine="480"/>
        <w:jc w:val="center"/>
        <w:rPr>
          <w:rFonts w:ascii="宋体_GB2312" w:hAnsi="宋体_GB2312" w:eastAsia="宋体_GB2312"/>
          <w:sz w:val="24"/>
        </w:rPr>
      </w:pPr>
      <w:r>
        <w:rPr>
          <w:rFonts w:hint="eastAsia" w:ascii="宋体_GB2312" w:hAnsi="宋体_GB2312" w:eastAsia="宋体_GB2312"/>
          <w:b/>
          <w:sz w:val="24"/>
        </w:rPr>
        <w:t xml:space="preserve"> </w:t>
      </w:r>
      <w:r>
        <w:rPr>
          <w:rFonts w:hint="eastAsia" w:ascii="宋体_GB2312" w:hAnsi="宋体_GB2312" w:eastAsia="宋体_GB2312"/>
          <w:sz w:val="24"/>
        </w:rPr>
        <w:t>图24  6位导轨板结构图</w:t>
      </w:r>
    </w:p>
    <w:p>
      <w:pPr>
        <w:pStyle w:val="42"/>
        <w:numPr>
          <w:ilvl w:val="0"/>
          <w:numId w:val="6"/>
        </w:numPr>
        <w:spacing w:line="560" w:lineRule="exact"/>
        <w:ind w:left="0" w:firstLine="0"/>
        <w:rPr>
          <w:rFonts w:ascii="宋体_GB2312" w:hAnsi="宋体_GB2312" w:eastAsia="宋体_GB2312"/>
          <w:sz w:val="24"/>
        </w:rPr>
      </w:pPr>
      <w:r>
        <w:rPr>
          <w:rFonts w:hint="eastAsia" w:ascii="宋体_GB2312" w:hAnsi="宋体_GB2312" w:eastAsia="宋体_GB2312"/>
          <w:sz w:val="24"/>
        </w:rPr>
        <w:t>光分路器托盘结构示意图</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分路器（1/2×16）托盘结构示意图：</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每个托盘可安装18个适配器，最大满足2×16分纤模式。</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托盘高度25mm，为1个12芯熔配一体化托盘的高度。</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分路器托盘盒体材料采用阻燃ABS、颜色为PANTONE 3405U，盖板材料采用阻燃ABS、颜色为PANTONE 427U。</w:t>
      </w:r>
    </w:p>
    <w:p>
      <w:pPr>
        <w:spacing w:before="156" w:beforeLines="50" w:line="300" w:lineRule="auto"/>
        <w:ind w:firstLine="480" w:firstLineChars="200"/>
        <w:rPr>
          <w:rFonts w:ascii="宋体_GB2312" w:hAnsi="宋体_GB2312" w:eastAsia="宋体_GB2312"/>
          <w:sz w:val="24"/>
        </w:rPr>
      </w:pPr>
    </w:p>
    <w:p>
      <w:pPr>
        <w:spacing w:before="156" w:beforeLines="50" w:line="300" w:lineRule="auto"/>
        <w:ind w:firstLine="480" w:firstLineChars="200"/>
        <w:rPr>
          <w:rFonts w:ascii="宋体_GB2312" w:hAnsi="宋体_GB2312" w:eastAsia="宋体_GB2312"/>
          <w:sz w:val="24"/>
        </w:rPr>
      </w:pPr>
    </w:p>
    <w:p>
      <w:pPr>
        <w:spacing w:before="156" w:beforeLines="50" w:line="300" w:lineRule="auto"/>
        <w:ind w:firstLine="420" w:firstLineChars="200"/>
        <w:jc w:val="center"/>
        <w:rPr>
          <w:rFonts w:ascii="宋体_GB2312" w:hAnsi="宋体_GB2312" w:eastAsia="宋体_GB2312"/>
          <w:sz w:val="24"/>
        </w:rPr>
      </w:pPr>
      <w:r>
        <w:rPr>
          <w:rFonts w:hint="eastAsia" w:ascii="宋体_GB2312" w:hAnsi="宋体_GB2312" w:eastAsia="宋体_GB2312"/>
        </w:rPr>
        <w:drawing>
          <wp:inline distT="0" distB="0" distL="0" distR="0">
            <wp:extent cx="2654935" cy="23241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657178" cy="2325977"/>
                    </a:xfrm>
                    <a:prstGeom prst="rect">
                      <a:avLst/>
                    </a:prstGeom>
                    <a:noFill/>
                    <a:ln>
                      <a:noFill/>
                    </a:ln>
                  </pic:spPr>
                </pic:pic>
              </a:graphicData>
            </a:graphic>
          </wp:inline>
        </w:drawing>
      </w:r>
    </w:p>
    <w:p>
      <w:pPr>
        <w:pStyle w:val="3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图25  1/2×16分路器托盘</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分路器（满足1/2×32）托盘结构示意图：</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托盘可安装34个适配器，最大满足2×32分纤模式。</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托盘高度50mm，为2个12芯熔配一体化托盘的高度。</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分路器托盘盒体材料采用阻燃ABS、颜色为PANTONE 3405U，盖板材料采用阻燃ABS、颜色为PANTONE 427U。</w:t>
      </w:r>
    </w:p>
    <w:p>
      <w:pPr>
        <w:spacing w:before="156" w:beforeLines="50" w:line="300" w:lineRule="auto"/>
        <w:ind w:firstLine="420" w:firstLineChars="200"/>
        <w:jc w:val="center"/>
        <w:rPr>
          <w:rFonts w:ascii="宋体_GB2312" w:hAnsi="宋体_GB2312" w:eastAsia="宋体_GB2312"/>
          <w:sz w:val="24"/>
        </w:rPr>
      </w:pPr>
      <w:r>
        <w:drawing>
          <wp:inline distT="0" distB="0" distL="0" distR="0">
            <wp:extent cx="2423795" cy="1863090"/>
            <wp:effectExtent l="0" t="0" r="0" b="381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2423795" cy="1863090"/>
                    </a:xfrm>
                    <a:prstGeom prst="rect">
                      <a:avLst/>
                    </a:prstGeom>
                    <a:noFill/>
                    <a:ln>
                      <a:noFill/>
                    </a:ln>
                  </pic:spPr>
                </pic:pic>
              </a:graphicData>
            </a:graphic>
          </wp:inline>
        </w:drawing>
      </w:r>
    </w:p>
    <w:p>
      <w:pPr>
        <w:widowControl/>
        <w:jc w:val="center"/>
        <w:rPr>
          <w:rFonts w:ascii="宋体_GB2312" w:hAnsi="宋体_GB2312" w:eastAsia="宋体_GB2312" w:cs="宋体"/>
          <w:kern w:val="0"/>
          <w:sz w:val="24"/>
        </w:rPr>
      </w:pPr>
    </w:p>
    <w:p>
      <w:pPr>
        <w:pStyle w:val="3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图26  1/2×32分路器托盘</w:t>
      </w:r>
    </w:p>
    <w:p>
      <w:pPr>
        <w:pStyle w:val="42"/>
        <w:numPr>
          <w:ilvl w:val="0"/>
          <w:numId w:val="6"/>
        </w:numPr>
        <w:spacing w:line="560" w:lineRule="exact"/>
        <w:ind w:left="0" w:firstLine="0"/>
        <w:rPr>
          <w:rFonts w:ascii="宋体_GB2312" w:hAnsi="宋体_GB2312" w:eastAsia="宋体_GB2312"/>
          <w:sz w:val="24"/>
        </w:rPr>
      </w:pPr>
      <w:r>
        <w:rPr>
          <w:rFonts w:hint="eastAsia" w:ascii="宋体_GB2312" w:hAnsi="宋体_GB2312" w:eastAsia="宋体_GB2312"/>
          <w:sz w:val="24"/>
        </w:rPr>
        <w:t>直熔</w:t>
      </w:r>
      <w:r>
        <w:rPr>
          <w:rFonts w:ascii="宋体_GB2312" w:hAnsi="宋体_GB2312" w:eastAsia="宋体_GB2312"/>
          <w:sz w:val="24"/>
        </w:rPr>
        <w:t>单元</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直熔</w:t>
      </w:r>
      <w:r>
        <w:rPr>
          <w:rFonts w:ascii="宋体_GB2312" w:hAnsi="宋体_GB2312" w:eastAsia="宋体_GB2312"/>
          <w:sz w:val="24"/>
        </w:rPr>
        <w:t>单元</w:t>
      </w:r>
      <w:r>
        <w:rPr>
          <w:rFonts w:hint="eastAsia" w:ascii="宋体_GB2312" w:hAnsi="宋体_GB2312" w:eastAsia="宋体_GB2312"/>
          <w:sz w:val="24"/>
        </w:rPr>
        <w:t>由12芯直熔盘组成，用于过路光缆的熔接。</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12芯直熔盘的材料采用阻燃ABS、颜色为PANTONE 3405U。</w:t>
      </w:r>
    </w:p>
    <w:p>
      <w:pPr>
        <w:spacing w:before="156" w:beforeLines="50" w:line="300" w:lineRule="auto"/>
        <w:ind w:firstLine="480" w:firstLineChars="200"/>
        <w:jc w:val="center"/>
        <w:rPr>
          <w:rFonts w:ascii="宋体_GB2312" w:hAnsi="宋体_GB2312" w:eastAsia="宋体_GB2312"/>
        </w:rPr>
      </w:pPr>
      <w:r>
        <w:rPr>
          <w:rFonts w:hAnsi="宋体"/>
          <w:sz w:val="24"/>
        </w:rPr>
        <w:drawing>
          <wp:inline distT="0" distB="0" distL="0" distR="0">
            <wp:extent cx="2727325" cy="1955800"/>
            <wp:effectExtent l="0" t="0" r="0" b="635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727325" cy="1955800"/>
                    </a:xfrm>
                    <a:prstGeom prst="rect">
                      <a:avLst/>
                    </a:prstGeom>
                    <a:noFill/>
                    <a:ln>
                      <a:noFill/>
                    </a:ln>
                  </pic:spPr>
                </pic:pic>
              </a:graphicData>
            </a:graphic>
          </wp:inline>
        </w:drawing>
      </w:r>
    </w:p>
    <w:p>
      <w:pPr>
        <w:widowControl/>
        <w:jc w:val="center"/>
        <w:rPr>
          <w:rFonts w:ascii="宋体_GB2312" w:hAnsi="宋体_GB2312" w:eastAsia="宋体_GB2312" w:cs="宋体"/>
          <w:kern w:val="0"/>
          <w:sz w:val="24"/>
        </w:rPr>
      </w:pPr>
    </w:p>
    <w:p>
      <w:pPr>
        <w:pStyle w:val="3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图27  12芯直熔盘</w:t>
      </w:r>
    </w:p>
    <w:p>
      <w:pPr>
        <w:pStyle w:val="42"/>
        <w:numPr>
          <w:ilvl w:val="0"/>
          <w:numId w:val="6"/>
        </w:numPr>
        <w:spacing w:line="560" w:lineRule="exact"/>
        <w:ind w:left="0" w:firstLine="0"/>
        <w:rPr>
          <w:rFonts w:ascii="宋体_GB2312" w:hAnsi="宋体_GB2312" w:eastAsia="宋体_GB2312"/>
          <w:sz w:val="24"/>
        </w:rPr>
      </w:pPr>
      <w:r>
        <w:rPr>
          <w:rFonts w:hint="eastAsia" w:ascii="宋体_GB2312" w:hAnsi="宋体_GB2312" w:eastAsia="宋体_GB2312"/>
          <w:sz w:val="24"/>
        </w:rPr>
        <w:t xml:space="preserve"> 光缆固定板</w:t>
      </w:r>
    </w:p>
    <w:p>
      <w:pPr>
        <w:widowControl/>
        <w:jc w:val="center"/>
        <w:rPr>
          <w:rFonts w:ascii="宋体_GB2312" w:hAnsi="宋体_GB2312" w:eastAsia="宋体_GB2312" w:cs="宋体"/>
          <w:kern w:val="0"/>
          <w:sz w:val="24"/>
        </w:rPr>
      </w:pPr>
      <w:r>
        <w:rPr>
          <w:sz w:val="24"/>
        </w:rPr>
        <w:drawing>
          <wp:inline distT="0" distB="0" distL="0" distR="0">
            <wp:extent cx="2812415" cy="1138555"/>
            <wp:effectExtent l="0" t="0" r="6985" b="444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12415" cy="1138555"/>
                    </a:xfrm>
                    <a:prstGeom prst="rect">
                      <a:avLst/>
                    </a:prstGeom>
                    <a:noFill/>
                    <a:ln>
                      <a:noFill/>
                    </a:ln>
                  </pic:spPr>
                </pic:pic>
              </a:graphicData>
            </a:graphic>
          </wp:inline>
        </w:drawing>
      </w:r>
    </w:p>
    <w:p>
      <w:pPr>
        <w:pStyle w:val="35"/>
        <w:spacing w:line="360" w:lineRule="auto"/>
        <w:ind w:firstLine="480"/>
        <w:jc w:val="center"/>
        <w:rPr>
          <w:rFonts w:ascii="宋体_GB2312" w:hAnsi="宋体_GB2312" w:eastAsia="宋体_GB2312"/>
          <w:sz w:val="24"/>
          <w:szCs w:val="24"/>
        </w:rPr>
      </w:pPr>
      <w:r>
        <w:rPr>
          <w:rFonts w:ascii="宋体_GB2312" w:hAnsi="宋体_GB2312" w:eastAsia="宋体_GB2312"/>
          <w:sz w:val="24"/>
          <w:szCs w:val="24"/>
        </w:rPr>
        <w:t>图</w:t>
      </w:r>
      <w:r>
        <w:rPr>
          <w:rFonts w:hint="eastAsia" w:ascii="宋体_GB2312" w:hAnsi="宋体_GB2312" w:eastAsia="宋体_GB2312"/>
          <w:sz w:val="24"/>
          <w:szCs w:val="24"/>
        </w:rPr>
        <w:t>28  光缆固定板示意图</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说明：</w:t>
      </w:r>
    </w:p>
    <w:p>
      <w:pPr>
        <w:pStyle w:val="42"/>
        <w:numPr>
          <w:ilvl w:val="0"/>
          <w:numId w:val="7"/>
        </w:numPr>
        <w:tabs>
          <w:tab w:val="clear" w:pos="420"/>
        </w:tabs>
        <w:spacing w:line="560" w:lineRule="exact"/>
        <w:ind w:left="0" w:firstLine="480" w:firstLineChars="200"/>
        <w:rPr>
          <w:rFonts w:ascii="宋体_GB2312" w:hAnsi="宋体_GB2312" w:eastAsia="宋体_GB2312"/>
          <w:sz w:val="24"/>
          <w:szCs w:val="24"/>
        </w:rPr>
      </w:pPr>
      <w:r>
        <w:rPr>
          <w:rFonts w:hint="eastAsia" w:ascii="宋体_GB2312" w:hAnsi="宋体_GB2312" w:eastAsia="宋体_GB2312"/>
          <w:sz w:val="24"/>
          <w:szCs w:val="24"/>
        </w:rPr>
        <w:t>光缆固定板通过塑料垫圈与机架整体绝缘。</w:t>
      </w:r>
    </w:p>
    <w:p>
      <w:pPr>
        <w:pStyle w:val="42"/>
        <w:numPr>
          <w:ilvl w:val="0"/>
          <w:numId w:val="7"/>
        </w:numPr>
        <w:tabs>
          <w:tab w:val="clear" w:pos="420"/>
        </w:tabs>
        <w:spacing w:line="560" w:lineRule="exact"/>
        <w:ind w:left="0" w:firstLine="480" w:firstLineChars="200"/>
        <w:rPr>
          <w:rFonts w:ascii="宋体_GB2312" w:hAnsi="宋体_GB2312" w:eastAsia="宋体_GB2312"/>
          <w:sz w:val="24"/>
          <w:szCs w:val="24"/>
        </w:rPr>
      </w:pPr>
      <w:r>
        <w:rPr>
          <w:rFonts w:hint="eastAsia" w:ascii="宋体_GB2312" w:hAnsi="宋体_GB2312" w:eastAsia="宋体_GB2312"/>
          <w:sz w:val="24"/>
          <w:szCs w:val="24"/>
        </w:rPr>
        <w:t>防护接地线与整个固定板相连，光缆中金属加强芯与固定板相连，连接线的截面积应不小于6mm</w:t>
      </w:r>
      <w:r>
        <w:rPr>
          <w:rFonts w:hint="eastAsia" w:ascii="宋体_GB2312" w:hAnsi="宋体_GB2312" w:eastAsia="宋体_GB2312"/>
          <w:sz w:val="24"/>
          <w:szCs w:val="24"/>
          <w:vertAlign w:val="superscript"/>
        </w:rPr>
        <w:t>2</w:t>
      </w:r>
      <w:r>
        <w:rPr>
          <w:rFonts w:hint="eastAsia" w:ascii="宋体_GB2312" w:hAnsi="宋体_GB2312" w:eastAsia="宋体_GB2312"/>
          <w:sz w:val="24"/>
          <w:szCs w:val="24"/>
        </w:rPr>
        <w:t>。</w:t>
      </w:r>
    </w:p>
    <w:p>
      <w:pPr>
        <w:pStyle w:val="42"/>
        <w:numPr>
          <w:ilvl w:val="0"/>
          <w:numId w:val="7"/>
        </w:numPr>
        <w:tabs>
          <w:tab w:val="clear" w:pos="420"/>
        </w:tabs>
        <w:spacing w:line="560" w:lineRule="exact"/>
        <w:ind w:left="0" w:firstLine="480" w:firstLineChars="200"/>
        <w:rPr>
          <w:rFonts w:ascii="宋体_GB2312" w:hAnsi="宋体_GB2312" w:eastAsia="宋体_GB2312"/>
          <w:sz w:val="24"/>
          <w:szCs w:val="24"/>
        </w:rPr>
      </w:pPr>
      <w:r>
        <w:rPr>
          <w:rFonts w:hint="eastAsia" w:ascii="宋体_GB2312" w:hAnsi="宋体_GB2312" w:eastAsia="宋体_GB2312"/>
          <w:sz w:val="24"/>
          <w:szCs w:val="24"/>
        </w:rPr>
        <w:t>光缆固定位应满足下表：</w:t>
      </w:r>
    </w:p>
    <w:p>
      <w:pPr>
        <w:pStyle w:val="42"/>
        <w:ind w:firstLine="480" w:firstLineChars="200"/>
        <w:jc w:val="center"/>
        <w:rPr>
          <w:rFonts w:ascii="宋体_GB2312" w:hAnsi="宋体_GB2312" w:eastAsia="宋体_GB2312"/>
          <w:sz w:val="24"/>
          <w:szCs w:val="24"/>
        </w:rPr>
      </w:pPr>
      <w:r>
        <w:rPr>
          <w:rFonts w:hint="eastAsia" w:ascii="宋体_GB2312" w:hAnsi="宋体_GB2312" w:eastAsia="宋体_GB2312"/>
          <w:sz w:val="24"/>
          <w:szCs w:val="24"/>
        </w:rPr>
        <w:t>表2：光交光缆固定位</w:t>
      </w:r>
    </w:p>
    <w:tbl>
      <w:tblPr>
        <w:tblStyle w:val="27"/>
        <w:tblW w:w="5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0"/>
        <w:gridCol w:w="1934"/>
        <w:gridCol w:w="19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1370" w:type="dxa"/>
            <w:vMerge w:val="restart"/>
            <w:vAlign w:val="center"/>
          </w:tcPr>
          <w:p>
            <w:pPr>
              <w:spacing w:line="360" w:lineRule="auto"/>
              <w:jc w:val="center"/>
              <w:rPr>
                <w:rFonts w:ascii="宋体_GB2312" w:hAnsi="宋体_GB2312" w:eastAsia="宋体_GB2312"/>
                <w:sz w:val="24"/>
              </w:rPr>
            </w:pPr>
            <w:r>
              <w:rPr>
                <w:rFonts w:ascii="宋体_GB2312" w:hAnsi="宋体_GB2312" w:eastAsia="宋体_GB2312"/>
                <w:sz w:val="24"/>
              </w:rPr>
              <w:t>箱体容量</w:t>
            </w:r>
          </w:p>
        </w:tc>
        <w:tc>
          <w:tcPr>
            <w:tcW w:w="3870" w:type="dxa"/>
            <w:gridSpan w:val="2"/>
            <w:vAlign w:val="center"/>
          </w:tcPr>
          <w:p>
            <w:pPr>
              <w:spacing w:line="360" w:lineRule="auto"/>
              <w:jc w:val="center"/>
              <w:rPr>
                <w:rFonts w:ascii="宋体_GB2312" w:hAnsi="宋体_GB2312" w:eastAsia="宋体_GB2312"/>
                <w:sz w:val="24"/>
              </w:rPr>
            </w:pPr>
            <w:r>
              <w:rPr>
                <w:rFonts w:ascii="宋体_GB2312" w:hAnsi="宋体_GB2312" w:eastAsia="宋体_GB2312"/>
                <w:sz w:val="24"/>
              </w:rPr>
              <w:t>光缆固定位(个)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0" w:hRule="atLeast"/>
          <w:jc w:val="center"/>
        </w:trPr>
        <w:tc>
          <w:tcPr>
            <w:tcW w:w="1370" w:type="dxa"/>
            <w:vMerge w:val="continue"/>
            <w:vAlign w:val="center"/>
          </w:tcPr>
          <w:p>
            <w:pPr>
              <w:spacing w:line="360" w:lineRule="auto"/>
              <w:jc w:val="center"/>
              <w:rPr>
                <w:rFonts w:ascii="宋体_GB2312" w:hAnsi="宋体_GB2312" w:eastAsia="宋体_GB2312"/>
                <w:sz w:val="24"/>
              </w:rPr>
            </w:pPr>
          </w:p>
        </w:tc>
        <w:tc>
          <w:tcPr>
            <w:tcW w:w="1934" w:type="dxa"/>
            <w:vAlign w:val="center"/>
          </w:tcPr>
          <w:p>
            <w:pPr>
              <w:spacing w:line="360" w:lineRule="auto"/>
              <w:jc w:val="center"/>
              <w:rPr>
                <w:rFonts w:ascii="宋体_GB2312" w:hAnsi="宋体_GB2312" w:eastAsia="宋体_GB2312"/>
                <w:sz w:val="24"/>
              </w:rPr>
            </w:pPr>
            <w:r>
              <w:rPr>
                <w:rFonts w:ascii="宋体_GB2312" w:hAnsi="宋体_GB2312" w:eastAsia="宋体_GB2312"/>
                <w:sz w:val="24"/>
              </w:rPr>
              <w:t>带状光缆</w:t>
            </w:r>
          </w:p>
        </w:tc>
        <w:tc>
          <w:tcPr>
            <w:tcW w:w="1936" w:type="dxa"/>
            <w:vAlign w:val="center"/>
          </w:tcPr>
          <w:p>
            <w:pPr>
              <w:spacing w:line="360" w:lineRule="auto"/>
              <w:jc w:val="center"/>
              <w:rPr>
                <w:rFonts w:ascii="宋体_GB2312" w:hAnsi="宋体_GB2312" w:eastAsia="宋体_GB2312"/>
                <w:sz w:val="24"/>
              </w:rPr>
            </w:pPr>
            <w:r>
              <w:rPr>
                <w:rFonts w:ascii="宋体_GB2312" w:hAnsi="宋体_GB2312" w:eastAsia="宋体_GB2312"/>
                <w:sz w:val="24"/>
              </w:rPr>
              <w:t>束状光缆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0" w:hRule="atLeast"/>
          <w:jc w:val="center"/>
        </w:trPr>
        <w:tc>
          <w:tcPr>
            <w:tcW w:w="1370" w:type="dxa"/>
            <w:vAlign w:val="center"/>
          </w:tcPr>
          <w:p>
            <w:pPr>
              <w:spacing w:line="360" w:lineRule="auto"/>
              <w:jc w:val="center"/>
              <w:rPr>
                <w:rFonts w:ascii="宋体_GB2312" w:hAnsi="宋体_GB2312" w:eastAsia="宋体_GB2312"/>
                <w:sz w:val="24"/>
              </w:rPr>
            </w:pPr>
            <w:r>
              <w:rPr>
                <w:rFonts w:ascii="宋体_GB2312" w:hAnsi="宋体_GB2312" w:eastAsia="宋体_GB2312"/>
                <w:sz w:val="24"/>
              </w:rPr>
              <w:t>144芯</w:t>
            </w:r>
          </w:p>
        </w:tc>
        <w:tc>
          <w:tcPr>
            <w:tcW w:w="1934" w:type="dxa"/>
            <w:vAlign w:val="center"/>
          </w:tcPr>
          <w:p>
            <w:pPr>
              <w:spacing w:line="360" w:lineRule="auto"/>
              <w:jc w:val="center"/>
              <w:rPr>
                <w:rFonts w:ascii="宋体_GB2312" w:hAnsi="宋体_GB2312" w:eastAsia="宋体_GB2312"/>
                <w:sz w:val="24"/>
              </w:rPr>
            </w:pPr>
            <w:r>
              <w:rPr>
                <w:rFonts w:ascii="宋体_GB2312" w:hAnsi="宋体_GB2312" w:eastAsia="宋体_GB2312"/>
                <w:sz w:val="24"/>
              </w:rPr>
              <w:t>4</w:t>
            </w:r>
          </w:p>
        </w:tc>
        <w:tc>
          <w:tcPr>
            <w:tcW w:w="1936" w:type="dxa"/>
            <w:vAlign w:val="center"/>
          </w:tcPr>
          <w:p>
            <w:pPr>
              <w:spacing w:line="360" w:lineRule="auto"/>
              <w:jc w:val="center"/>
              <w:rPr>
                <w:rFonts w:ascii="宋体_GB2312" w:hAnsi="宋体_GB2312" w:eastAsia="宋体_GB2312"/>
                <w:sz w:val="24"/>
              </w:rPr>
            </w:pPr>
            <w:r>
              <w:rPr>
                <w:rFonts w:ascii="宋体_GB2312" w:hAnsi="宋体_GB2312" w:eastAsia="宋体_GB2312"/>
                <w:sz w:val="24"/>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jc w:val="center"/>
        </w:trPr>
        <w:tc>
          <w:tcPr>
            <w:tcW w:w="1370" w:type="dxa"/>
            <w:vAlign w:val="center"/>
          </w:tcPr>
          <w:p>
            <w:pPr>
              <w:spacing w:line="360" w:lineRule="auto"/>
              <w:jc w:val="center"/>
              <w:rPr>
                <w:rFonts w:ascii="宋体_GB2312" w:hAnsi="宋体_GB2312" w:eastAsia="宋体_GB2312"/>
                <w:sz w:val="24"/>
              </w:rPr>
            </w:pPr>
            <w:r>
              <w:rPr>
                <w:rFonts w:ascii="宋体_GB2312" w:hAnsi="宋体_GB2312" w:eastAsia="宋体_GB2312"/>
                <w:sz w:val="24"/>
              </w:rPr>
              <w:t>288芯</w:t>
            </w:r>
          </w:p>
        </w:tc>
        <w:tc>
          <w:tcPr>
            <w:tcW w:w="1934" w:type="dxa"/>
            <w:vAlign w:val="center"/>
          </w:tcPr>
          <w:p>
            <w:pPr>
              <w:spacing w:line="360" w:lineRule="auto"/>
              <w:jc w:val="center"/>
              <w:rPr>
                <w:rFonts w:ascii="宋体_GB2312" w:hAnsi="宋体_GB2312" w:eastAsia="宋体_GB2312"/>
                <w:sz w:val="24"/>
              </w:rPr>
            </w:pPr>
            <w:r>
              <w:rPr>
                <w:rFonts w:ascii="宋体_GB2312" w:hAnsi="宋体_GB2312" w:eastAsia="宋体_GB2312"/>
                <w:sz w:val="24"/>
              </w:rPr>
              <w:t>5</w:t>
            </w:r>
          </w:p>
        </w:tc>
        <w:tc>
          <w:tcPr>
            <w:tcW w:w="1936" w:type="dxa"/>
            <w:vAlign w:val="center"/>
          </w:tcPr>
          <w:p>
            <w:pPr>
              <w:spacing w:line="360" w:lineRule="auto"/>
              <w:jc w:val="center"/>
              <w:rPr>
                <w:rFonts w:ascii="宋体_GB2312" w:hAnsi="宋体_GB2312" w:eastAsia="宋体_GB2312"/>
                <w:sz w:val="24"/>
              </w:rPr>
            </w:pPr>
            <w:r>
              <w:rPr>
                <w:rFonts w:ascii="宋体_GB2312" w:hAnsi="宋体_GB2312" w:eastAsia="宋体_GB2312"/>
                <w:sz w:val="24"/>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 w:hRule="atLeast"/>
          <w:jc w:val="center"/>
        </w:trPr>
        <w:tc>
          <w:tcPr>
            <w:tcW w:w="1370" w:type="dxa"/>
            <w:vAlign w:val="center"/>
          </w:tcPr>
          <w:p>
            <w:pPr>
              <w:spacing w:line="360" w:lineRule="auto"/>
              <w:jc w:val="center"/>
              <w:rPr>
                <w:rFonts w:ascii="宋体_GB2312" w:hAnsi="宋体_GB2312" w:eastAsia="宋体_GB2312"/>
                <w:sz w:val="24"/>
              </w:rPr>
            </w:pPr>
            <w:r>
              <w:rPr>
                <w:rFonts w:ascii="宋体_GB2312" w:hAnsi="宋体_GB2312" w:eastAsia="宋体_GB2312"/>
                <w:sz w:val="24"/>
              </w:rPr>
              <w:t>576芯</w:t>
            </w:r>
          </w:p>
        </w:tc>
        <w:tc>
          <w:tcPr>
            <w:tcW w:w="1934" w:type="dxa"/>
            <w:vAlign w:val="center"/>
          </w:tcPr>
          <w:p>
            <w:pPr>
              <w:spacing w:line="360" w:lineRule="auto"/>
              <w:jc w:val="center"/>
              <w:rPr>
                <w:rFonts w:ascii="宋体_GB2312" w:hAnsi="宋体_GB2312" w:eastAsia="宋体_GB2312"/>
                <w:sz w:val="24"/>
              </w:rPr>
            </w:pPr>
            <w:r>
              <w:rPr>
                <w:rFonts w:ascii="宋体_GB2312" w:hAnsi="宋体_GB2312" w:eastAsia="宋体_GB2312"/>
                <w:sz w:val="24"/>
              </w:rPr>
              <w:t>10</w:t>
            </w:r>
          </w:p>
        </w:tc>
        <w:tc>
          <w:tcPr>
            <w:tcW w:w="1936" w:type="dxa"/>
            <w:vAlign w:val="center"/>
          </w:tcPr>
          <w:p>
            <w:pPr>
              <w:spacing w:line="360" w:lineRule="auto"/>
              <w:jc w:val="center"/>
              <w:rPr>
                <w:rFonts w:ascii="宋体_GB2312" w:hAnsi="宋体_GB2312" w:eastAsia="宋体_GB2312"/>
                <w:sz w:val="24"/>
              </w:rPr>
            </w:pPr>
            <w:r>
              <w:rPr>
                <w:rFonts w:ascii="宋体_GB2312" w:hAnsi="宋体_GB2312" w:eastAsia="宋体_GB2312"/>
                <w:sz w:val="24"/>
              </w:rPr>
              <w:t>30</w:t>
            </w:r>
          </w:p>
        </w:tc>
      </w:tr>
    </w:tbl>
    <w:p>
      <w:pPr>
        <w:pStyle w:val="2"/>
        <w:adjustRightInd w:val="0"/>
        <w:spacing w:before="0" w:after="0" w:line="276" w:lineRule="auto"/>
        <w:textAlignment w:val="baseline"/>
        <w:rPr>
          <w:rFonts w:ascii="宋体_GB2312" w:hAnsi="宋体_GB2312" w:eastAsia="宋体_GB2312"/>
          <w:sz w:val="24"/>
          <w:szCs w:val="24"/>
          <w:lang w:val="en-US"/>
        </w:rPr>
      </w:pPr>
      <w:bookmarkStart w:id="45" w:name="_Toc362878560"/>
      <w:bookmarkStart w:id="46" w:name="_Toc27401440"/>
      <w:bookmarkStart w:id="47" w:name="_Toc11448"/>
      <w:bookmarkStart w:id="48" w:name="_Toc18066"/>
      <w:bookmarkStart w:id="49" w:name="_Toc131219958"/>
      <w:bookmarkStart w:id="50" w:name="_Toc132100057"/>
      <w:bookmarkStart w:id="51" w:name="_Toc362879568"/>
      <w:bookmarkStart w:id="52" w:name="_Toc3172"/>
      <w:r>
        <w:rPr>
          <w:rFonts w:hint="eastAsia" w:ascii="宋体_GB2312" w:hAnsi="宋体_GB2312" w:eastAsia="宋体_GB2312"/>
          <w:sz w:val="24"/>
          <w:szCs w:val="24"/>
          <w:lang w:val="en-US"/>
        </w:rPr>
        <w:t>3 技术要求</w:t>
      </w:r>
      <w:bookmarkEnd w:id="45"/>
      <w:bookmarkEnd w:id="46"/>
      <w:bookmarkEnd w:id="47"/>
      <w:bookmarkEnd w:id="48"/>
      <w:bookmarkEnd w:id="49"/>
      <w:bookmarkEnd w:id="50"/>
      <w:bookmarkEnd w:id="51"/>
      <w:bookmarkEnd w:id="52"/>
      <w:bookmarkStart w:id="53" w:name="_Toc131219960"/>
      <w:bookmarkStart w:id="54" w:name="_Toc131219969"/>
    </w:p>
    <w:bookmarkEnd w:id="53"/>
    <w:bookmarkEnd w:id="54"/>
    <w:p>
      <w:pPr>
        <w:pStyle w:val="2"/>
        <w:adjustRightInd w:val="0"/>
        <w:spacing w:before="0" w:after="0" w:line="276" w:lineRule="auto"/>
        <w:textAlignment w:val="baseline"/>
        <w:rPr>
          <w:rFonts w:ascii="宋体_GB2312" w:hAnsi="宋体_GB2312" w:eastAsia="宋体_GB2312"/>
          <w:sz w:val="24"/>
          <w:szCs w:val="24"/>
          <w:lang w:val="en-US"/>
        </w:rPr>
      </w:pPr>
      <w:bookmarkStart w:id="55" w:name="_Toc362879569"/>
      <w:bookmarkStart w:id="56" w:name="_Toc27401441"/>
      <w:bookmarkStart w:id="57" w:name="_Toc15578"/>
      <w:bookmarkStart w:id="58" w:name="_Toc362878561"/>
      <w:bookmarkStart w:id="59" w:name="_Toc5814"/>
      <w:bookmarkStart w:id="60" w:name="_Toc9928"/>
      <w:r>
        <w:rPr>
          <w:rFonts w:hint="eastAsia" w:ascii="宋体_GB2312" w:hAnsi="宋体_GB2312" w:eastAsia="宋体_GB2312"/>
          <w:sz w:val="24"/>
          <w:szCs w:val="24"/>
          <w:lang w:val="en-US"/>
        </w:rPr>
        <w:t>3</w:t>
      </w:r>
      <w:r>
        <w:rPr>
          <w:rFonts w:ascii="宋体_GB2312" w:hAnsi="宋体_GB2312" w:eastAsia="宋体_GB2312"/>
          <w:sz w:val="24"/>
          <w:szCs w:val="24"/>
          <w:lang w:val="en-US"/>
        </w:rPr>
        <w:t>.</w:t>
      </w:r>
      <w:r>
        <w:rPr>
          <w:rFonts w:hint="eastAsia" w:ascii="宋体_GB2312" w:hAnsi="宋体_GB2312" w:eastAsia="宋体_GB2312"/>
          <w:sz w:val="24"/>
          <w:szCs w:val="24"/>
          <w:lang w:val="en-US"/>
        </w:rPr>
        <w:t xml:space="preserve">1 </w:t>
      </w:r>
      <w:r>
        <w:rPr>
          <w:rFonts w:ascii="宋体_GB2312" w:hAnsi="宋体_GB2312" w:eastAsia="宋体_GB2312"/>
          <w:sz w:val="24"/>
          <w:szCs w:val="24"/>
          <w:lang w:val="en-US"/>
        </w:rPr>
        <w:t>外观与结构</w:t>
      </w:r>
      <w:bookmarkEnd w:id="55"/>
      <w:bookmarkEnd w:id="56"/>
      <w:bookmarkEnd w:id="57"/>
      <w:bookmarkEnd w:id="58"/>
      <w:bookmarkEnd w:id="59"/>
      <w:bookmarkEnd w:id="60"/>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（1）外形尺寸符合表1要求。</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（2）所有紧固件联结应牢固可靠。</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（3）箱体装配结束后，金属件不得有毛刺，结构件不扭曲，箱体表面平整光滑、颜色均匀，不存在机械划伤痕迹、箱体各部件不得有明显色差。</w:t>
      </w:r>
    </w:p>
    <w:p>
      <w:pPr>
        <w:spacing w:before="156" w:beforeLines="50" w:line="300" w:lineRule="auto"/>
        <w:ind w:firstLine="480" w:firstLineChars="200"/>
        <w:rPr>
          <w:rFonts w:ascii="宋体_GB2312" w:hAnsi="宋体_GB2312" w:eastAsia="宋体_GB2312"/>
          <w:sz w:val="24"/>
        </w:rPr>
      </w:pPr>
      <w:bookmarkStart w:id="61" w:name="_Hlk535503574"/>
      <w:r>
        <w:rPr>
          <w:rFonts w:hint="eastAsia" w:ascii="宋体_GB2312" w:hAnsi="宋体_GB2312" w:eastAsia="宋体_GB2312"/>
          <w:sz w:val="24"/>
        </w:rPr>
        <w:t>（4</w:t>
      </w:r>
      <w:r>
        <w:rPr>
          <w:rFonts w:ascii="宋体_GB2312" w:hAnsi="宋体_GB2312" w:eastAsia="宋体_GB2312"/>
          <w:sz w:val="24"/>
        </w:rPr>
        <w:t>）</w:t>
      </w:r>
      <w:r>
        <w:rPr>
          <w:rFonts w:hint="eastAsia" w:ascii="宋体_GB2312" w:hAnsi="宋体_GB2312" w:eastAsia="宋体_GB2312"/>
          <w:sz w:val="24"/>
        </w:rPr>
        <w:t>箱门开启后应有可靠的门限位固定保护，固定后的开启角度应不小于</w:t>
      </w:r>
      <w:r>
        <w:rPr>
          <w:rFonts w:ascii="宋体_GB2312" w:hAnsi="宋体_GB2312" w:eastAsia="宋体_GB2312"/>
          <w:sz w:val="24"/>
        </w:rPr>
        <w:t>120°。</w:t>
      </w:r>
    </w:p>
    <w:bookmarkEnd w:id="61"/>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（5）箱体密封条粘结应平整牢固，门锁的启闭灵活可靠。</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（6）光缆引入时其弯曲半径应不小于光缆直径的20倍。</w:t>
      </w:r>
    </w:p>
    <w:p>
      <w:pPr>
        <w:spacing w:before="156" w:beforeLines="50" w:line="300" w:lineRule="auto"/>
        <w:ind w:firstLine="480" w:firstLineChars="200"/>
        <w:rPr>
          <w:rFonts w:ascii="宋体_GB2312" w:hAnsi="宋体_GB2312" w:eastAsia="宋体_GB2312"/>
          <w:sz w:val="24"/>
        </w:rPr>
      </w:pPr>
      <w:bookmarkStart w:id="62" w:name="_Hlk535503760"/>
      <w:r>
        <w:rPr>
          <w:rFonts w:hint="eastAsia" w:ascii="宋体_GB2312" w:hAnsi="宋体_GB2312" w:eastAsia="宋体_GB2312"/>
          <w:sz w:val="24"/>
        </w:rPr>
        <w:t>（7</w:t>
      </w:r>
      <w:r>
        <w:rPr>
          <w:rFonts w:ascii="宋体_GB2312" w:hAnsi="宋体_GB2312" w:eastAsia="宋体_GB2312"/>
          <w:sz w:val="24"/>
        </w:rPr>
        <w:t>）</w:t>
      </w:r>
      <w:r>
        <w:rPr>
          <w:rFonts w:hint="eastAsia" w:ascii="宋体_GB2312" w:hAnsi="宋体_GB2312" w:eastAsia="宋体_GB2312"/>
          <w:sz w:val="24"/>
        </w:rPr>
        <w:t>光缆及尾纤在设备内布放时，不论在何处转弯，其弯曲半径应不小于</w:t>
      </w:r>
      <w:r>
        <w:rPr>
          <w:rFonts w:ascii="宋体_GB2312" w:hAnsi="宋体_GB2312" w:eastAsia="宋体_GB2312"/>
          <w:sz w:val="24"/>
        </w:rPr>
        <w:t xml:space="preserve"> 30mm</w:t>
      </w:r>
      <w:r>
        <w:rPr>
          <w:rFonts w:hint="eastAsia" w:ascii="宋体_GB2312" w:hAnsi="宋体_GB2312" w:eastAsia="宋体_GB2312"/>
          <w:sz w:val="24"/>
        </w:rPr>
        <w:t>；对弯曲损耗不敏感光纤，其弯曲半径应不小于</w:t>
      </w:r>
      <w:r>
        <w:rPr>
          <w:rFonts w:ascii="宋体_GB2312" w:hAnsi="宋体_GB2312" w:eastAsia="宋体_GB2312"/>
          <w:sz w:val="24"/>
        </w:rPr>
        <w:t>15mm</w:t>
      </w:r>
      <w:r>
        <w:rPr>
          <w:rFonts w:hint="eastAsia" w:ascii="宋体_GB2312" w:hAnsi="宋体_GB2312" w:eastAsia="宋体_GB2312"/>
          <w:sz w:val="24"/>
        </w:rPr>
        <w:t>。</w:t>
      </w:r>
    </w:p>
    <w:bookmarkEnd w:id="62"/>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（8）设备应有明晰的线序示名标志。</w:t>
      </w:r>
    </w:p>
    <w:p>
      <w:pPr>
        <w:pStyle w:val="2"/>
        <w:adjustRightInd w:val="0"/>
        <w:spacing w:before="0" w:after="0" w:line="276" w:lineRule="auto"/>
        <w:textAlignment w:val="baseline"/>
        <w:rPr>
          <w:rFonts w:ascii="宋体_GB2312" w:hAnsi="宋体_GB2312" w:eastAsia="宋体_GB2312"/>
          <w:sz w:val="24"/>
          <w:szCs w:val="24"/>
          <w:lang w:val="en-US"/>
        </w:rPr>
      </w:pPr>
      <w:bookmarkStart w:id="63" w:name="_Toc27401442"/>
      <w:bookmarkStart w:id="64" w:name="_Toc362878562"/>
      <w:bookmarkStart w:id="65" w:name="_Toc32725"/>
      <w:bookmarkStart w:id="66" w:name="_Toc362879570"/>
      <w:bookmarkStart w:id="67" w:name="_Toc22636"/>
      <w:bookmarkStart w:id="68" w:name="_Toc1060"/>
      <w:r>
        <w:rPr>
          <w:rFonts w:hint="eastAsia" w:ascii="宋体_GB2312" w:hAnsi="宋体_GB2312" w:eastAsia="宋体_GB2312"/>
          <w:sz w:val="24"/>
          <w:szCs w:val="24"/>
          <w:lang w:val="en-US"/>
        </w:rPr>
        <w:t xml:space="preserve">3.2 </w:t>
      </w:r>
      <w:r>
        <w:rPr>
          <w:rFonts w:ascii="宋体_GB2312" w:hAnsi="宋体_GB2312" w:eastAsia="宋体_GB2312"/>
          <w:sz w:val="24"/>
          <w:szCs w:val="24"/>
          <w:lang w:val="en-US"/>
        </w:rPr>
        <w:t>机械性能</w:t>
      </w:r>
      <w:bookmarkEnd w:id="63"/>
      <w:bookmarkEnd w:id="64"/>
      <w:bookmarkEnd w:id="65"/>
      <w:bookmarkEnd w:id="66"/>
      <w:bookmarkEnd w:id="67"/>
      <w:bookmarkEnd w:id="68"/>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采用地坑安装方式的箱体顶端表面应能承受不小于</w:t>
      </w:r>
      <w:r>
        <w:rPr>
          <w:rFonts w:ascii="宋体_GB2312" w:hAnsi="宋体_GB2312" w:eastAsia="宋体_GB2312"/>
          <w:sz w:val="24"/>
        </w:rPr>
        <w:t xml:space="preserve"> 2000N 的垂直压力</w:t>
      </w:r>
      <w:r>
        <w:rPr>
          <w:rFonts w:hint="eastAsia" w:ascii="宋体_GB2312" w:hAnsi="宋体_GB2312" w:eastAsia="宋体_GB2312"/>
          <w:sz w:val="24"/>
        </w:rPr>
        <w:t>，</w:t>
      </w:r>
      <w:r>
        <w:rPr>
          <w:rFonts w:ascii="宋体_GB2312" w:hAnsi="宋体_GB2312" w:eastAsia="宋体_GB2312"/>
          <w:sz w:val="24"/>
        </w:rPr>
        <w:t>采用其</w:t>
      </w:r>
      <w:r>
        <w:rPr>
          <w:rFonts w:hint="eastAsia" w:ascii="宋体_GB2312" w:hAnsi="宋体_GB2312" w:eastAsia="宋体_GB2312"/>
          <w:sz w:val="24"/>
        </w:rPr>
        <w:t>它</w:t>
      </w:r>
      <w:r>
        <w:rPr>
          <w:rFonts w:ascii="宋体_GB2312" w:hAnsi="宋体_GB2312" w:eastAsia="宋体_GB2312"/>
          <w:sz w:val="24"/>
        </w:rPr>
        <w:t>安装方式的箱体顶端表面应能承受不小于1000N 的垂直压力，箱门打开后</w:t>
      </w:r>
      <w:r>
        <w:rPr>
          <w:rFonts w:hint="eastAsia" w:ascii="宋体_GB2312" w:hAnsi="宋体_GB2312" w:eastAsia="宋体_GB2312"/>
          <w:sz w:val="24"/>
        </w:rPr>
        <w:t>，</w:t>
      </w:r>
      <w:r>
        <w:rPr>
          <w:rFonts w:ascii="宋体_GB2312" w:hAnsi="宋体_GB2312" w:eastAsia="宋体_GB2312"/>
          <w:sz w:val="24"/>
        </w:rPr>
        <w:t>在门的最外端应能承受不小于 200N 的垂直压力。卸去载荷后</w:t>
      </w:r>
      <w:r>
        <w:rPr>
          <w:rFonts w:hint="eastAsia" w:ascii="宋体_GB2312" w:hAnsi="宋体_GB2312" w:eastAsia="宋体_GB2312"/>
          <w:sz w:val="24"/>
        </w:rPr>
        <w:t>，</w:t>
      </w:r>
      <w:r>
        <w:rPr>
          <w:rFonts w:ascii="宋体_GB2312" w:hAnsi="宋体_GB2312" w:eastAsia="宋体_GB2312"/>
          <w:sz w:val="24"/>
        </w:rPr>
        <w:t xml:space="preserve">箱体无破坏痕迹和永久变形。当有光缆引入时，光缆固定后应能承受不小于1000N 的轴向拉力。经拉伸、扭转试验后检查光缆固定处，光缆应无任何松动、破坏现象。箱体的门限位经固定后，应能在箱门的最外侧边沿中部承受如下大小的垂直推力后箱门应无破坏，限位处应无松动或脱落现象。  </w:t>
      </w:r>
    </w:p>
    <w:p>
      <w:pPr>
        <w:pStyle w:val="42"/>
        <w:spacing w:line="560" w:lineRule="exact"/>
        <w:ind w:firstLine="480" w:firstLineChars="200"/>
        <w:jc w:val="center"/>
        <w:rPr>
          <w:rFonts w:ascii="宋体_GB2312" w:hAnsi="宋体_GB2312" w:eastAsia="宋体_GB2312"/>
          <w:sz w:val="24"/>
          <w:szCs w:val="24"/>
        </w:rPr>
      </w:pPr>
      <w:r>
        <w:rPr>
          <w:rFonts w:ascii="宋体_GB2312" w:hAnsi="宋体_GB2312" w:eastAsia="宋体_GB2312"/>
          <w:sz w:val="24"/>
          <w:szCs w:val="24"/>
        </w:rPr>
        <w:t>F=176.2×W</w:t>
      </w:r>
      <w:r>
        <w:rPr>
          <w:rFonts w:hint="eastAsia" w:ascii="宋体_GB2312" w:hAnsi="宋体_GB2312" w:eastAsia="宋体_GB2312"/>
          <w:sz w:val="24"/>
          <w:szCs w:val="24"/>
        </w:rPr>
        <w:t>×</w:t>
      </w:r>
      <w:r>
        <w:rPr>
          <w:rFonts w:ascii="宋体_GB2312" w:hAnsi="宋体_GB2312" w:eastAsia="宋体_GB2312"/>
          <w:sz w:val="24"/>
          <w:szCs w:val="24"/>
        </w:rPr>
        <w:t>H</w:t>
      </w:r>
    </w:p>
    <w:p>
      <w:pPr>
        <w:spacing w:before="156" w:beforeLines="50" w:line="300" w:lineRule="auto"/>
        <w:ind w:firstLine="480" w:firstLineChars="200"/>
        <w:rPr>
          <w:rFonts w:ascii="宋体_GB2312" w:hAnsi="宋体_GB2312" w:eastAsia="宋体_GB2312"/>
          <w:sz w:val="24"/>
        </w:rPr>
      </w:pPr>
      <w:r>
        <w:rPr>
          <w:rFonts w:ascii="宋体_GB2312" w:hAnsi="宋体_GB2312" w:eastAsia="宋体_GB2312"/>
          <w:sz w:val="24"/>
        </w:rPr>
        <w:t>式中：</w:t>
      </w:r>
    </w:p>
    <w:p>
      <w:pPr>
        <w:spacing w:before="156" w:beforeLines="50" w:line="300" w:lineRule="auto"/>
        <w:ind w:firstLine="480" w:firstLineChars="200"/>
        <w:rPr>
          <w:rFonts w:ascii="宋体_GB2312" w:hAnsi="宋体_GB2312" w:eastAsia="宋体_GB2312"/>
          <w:sz w:val="24"/>
        </w:rPr>
      </w:pPr>
      <w:r>
        <w:rPr>
          <w:rFonts w:ascii="宋体_GB2312" w:hAnsi="宋体_GB2312" w:eastAsia="宋体_GB2312"/>
          <w:sz w:val="24"/>
        </w:rPr>
        <w:t>F — 压力，单位N；</w:t>
      </w:r>
    </w:p>
    <w:p>
      <w:pPr>
        <w:spacing w:before="156" w:beforeLines="50" w:line="300" w:lineRule="auto"/>
        <w:ind w:firstLine="480" w:firstLineChars="200"/>
        <w:rPr>
          <w:rFonts w:ascii="宋体_GB2312" w:hAnsi="宋体_GB2312" w:eastAsia="宋体_GB2312"/>
          <w:sz w:val="24"/>
        </w:rPr>
      </w:pPr>
      <w:r>
        <w:rPr>
          <w:rFonts w:ascii="宋体_GB2312" w:hAnsi="宋体_GB2312" w:eastAsia="宋体_GB2312"/>
          <w:sz w:val="24"/>
        </w:rPr>
        <w:t>W — 门的宽度，单位m ；</w:t>
      </w:r>
    </w:p>
    <w:p>
      <w:pPr>
        <w:spacing w:before="156" w:beforeLines="50" w:line="300" w:lineRule="auto"/>
        <w:ind w:firstLine="480" w:firstLineChars="200"/>
        <w:rPr>
          <w:rFonts w:ascii="宋体_GB2312" w:hAnsi="宋体_GB2312" w:eastAsia="宋体_GB2312"/>
          <w:sz w:val="24"/>
        </w:rPr>
      </w:pPr>
      <w:r>
        <w:rPr>
          <w:rFonts w:ascii="宋体_GB2312" w:hAnsi="宋体_GB2312" w:eastAsia="宋体_GB2312"/>
          <w:sz w:val="24"/>
        </w:rPr>
        <w:t>H — 门的高度，单位 m。</w:t>
      </w:r>
    </w:p>
    <w:p>
      <w:pPr>
        <w:pStyle w:val="42"/>
        <w:spacing w:line="560" w:lineRule="exact"/>
        <w:ind w:firstLine="480" w:firstLineChars="200"/>
        <w:rPr>
          <w:rFonts w:ascii="宋体_GB2312" w:hAnsi="宋体_GB2312" w:eastAsia="宋体_GB2312"/>
          <w:sz w:val="24"/>
          <w:szCs w:val="24"/>
        </w:rPr>
      </w:pPr>
    </w:p>
    <w:p>
      <w:pPr>
        <w:pStyle w:val="2"/>
        <w:adjustRightInd w:val="0"/>
        <w:spacing w:before="0" w:after="0" w:line="276" w:lineRule="auto"/>
        <w:textAlignment w:val="baseline"/>
        <w:rPr>
          <w:rFonts w:ascii="宋体_GB2312" w:hAnsi="宋体_GB2312" w:eastAsia="宋体_GB2312"/>
          <w:sz w:val="24"/>
          <w:szCs w:val="24"/>
          <w:lang w:val="en-US"/>
        </w:rPr>
      </w:pPr>
      <w:bookmarkStart w:id="69" w:name="_Toc27401443"/>
      <w:bookmarkStart w:id="70" w:name="_Toc13272"/>
      <w:bookmarkStart w:id="71" w:name="_Toc17775"/>
      <w:bookmarkStart w:id="72" w:name="_Toc362879571"/>
      <w:bookmarkStart w:id="73" w:name="_Toc362878563"/>
      <w:bookmarkStart w:id="74" w:name="_Toc7015"/>
      <w:r>
        <w:rPr>
          <w:rFonts w:hint="eastAsia" w:ascii="宋体_GB2312" w:hAnsi="宋体_GB2312" w:eastAsia="宋体_GB2312"/>
          <w:color w:val="FF0000"/>
          <w:sz w:val="24"/>
          <w:szCs w:val="24"/>
          <w:lang w:val="en-US"/>
        </w:rPr>
        <w:t>★</w:t>
      </w:r>
      <w:r>
        <w:rPr>
          <w:rFonts w:hint="eastAsia" w:ascii="宋体_GB2312" w:hAnsi="宋体_GB2312" w:eastAsia="宋体_GB2312"/>
          <w:sz w:val="24"/>
          <w:szCs w:val="24"/>
          <w:lang w:val="en-US"/>
        </w:rPr>
        <w:t>3.3密封性能</w:t>
      </w:r>
      <w:bookmarkEnd w:id="69"/>
      <w:bookmarkEnd w:id="70"/>
      <w:bookmarkEnd w:id="71"/>
      <w:bookmarkEnd w:id="72"/>
      <w:bookmarkEnd w:id="73"/>
      <w:bookmarkEnd w:id="74"/>
    </w:p>
    <w:p>
      <w:pPr>
        <w:spacing w:before="156" w:beforeLines="50" w:line="300" w:lineRule="auto"/>
        <w:ind w:firstLine="480" w:firstLineChars="200"/>
        <w:rPr>
          <w:rFonts w:ascii="宋体_GB2312" w:hAnsi="宋体_GB2312" w:eastAsia="宋体_GB2312"/>
          <w:sz w:val="24"/>
        </w:rPr>
      </w:pPr>
      <w:bookmarkStart w:id="75" w:name="_Hlk535498206"/>
      <w:bookmarkStart w:id="76" w:name="_Toc131219968"/>
      <w:r>
        <w:rPr>
          <w:rFonts w:hint="eastAsia" w:ascii="宋体_GB2312" w:hAnsi="宋体_GB2312" w:eastAsia="宋体_GB2312"/>
          <w:sz w:val="24"/>
        </w:rPr>
        <w:t>（1）地坑安装的光缆交接箱箱体密封性能应达到</w:t>
      </w:r>
      <w:r>
        <w:rPr>
          <w:rFonts w:ascii="宋体_GB2312" w:hAnsi="宋体_GB2312" w:eastAsia="宋体_GB2312"/>
          <w:sz w:val="24"/>
        </w:rPr>
        <w:t>GB/T 4208-2017</w:t>
      </w:r>
      <w:r>
        <w:rPr>
          <w:rFonts w:hint="eastAsia" w:ascii="宋体_GB2312" w:hAnsi="宋体_GB2312" w:eastAsia="宋体_GB2312"/>
          <w:sz w:val="24"/>
        </w:rPr>
        <w:t>《外壳防护等级（</w:t>
      </w:r>
      <w:r>
        <w:rPr>
          <w:rFonts w:ascii="宋体_GB2312" w:hAnsi="宋体_GB2312" w:eastAsia="宋体_GB2312"/>
          <w:sz w:val="24"/>
        </w:rPr>
        <w:t>IP</w:t>
      </w:r>
      <w:r>
        <w:rPr>
          <w:rFonts w:hint="eastAsia" w:ascii="宋体_GB2312" w:hAnsi="宋体_GB2312" w:eastAsia="宋体_GB2312"/>
          <w:sz w:val="24"/>
        </w:rPr>
        <w:t>代码）》标准中</w:t>
      </w:r>
      <w:r>
        <w:rPr>
          <w:rFonts w:ascii="宋体_GB2312" w:hAnsi="宋体_GB2312" w:eastAsia="宋体_GB2312"/>
          <w:sz w:val="24"/>
        </w:rPr>
        <w:t xml:space="preserve"> IPX8</w:t>
      </w:r>
      <w:r>
        <w:rPr>
          <w:rFonts w:hint="eastAsia" w:ascii="宋体_GB2312" w:hAnsi="宋体_GB2312" w:eastAsia="宋体_GB2312"/>
          <w:sz w:val="24"/>
        </w:rPr>
        <w:t>级要求。</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（2）其它安装方式的箱体的</w:t>
      </w:r>
      <w:r>
        <w:rPr>
          <w:rFonts w:ascii="宋体_GB2312" w:hAnsi="宋体_GB2312" w:eastAsia="宋体_GB2312"/>
          <w:sz w:val="24"/>
        </w:rPr>
        <w:t>密封性能</w:t>
      </w:r>
      <w:r>
        <w:rPr>
          <w:rFonts w:hint="eastAsia" w:ascii="宋体_GB2312" w:hAnsi="宋体_GB2312" w:eastAsia="宋体_GB2312"/>
          <w:sz w:val="24"/>
        </w:rPr>
        <w:t>应达到</w:t>
      </w:r>
      <w:r>
        <w:rPr>
          <w:rFonts w:ascii="宋体_GB2312" w:hAnsi="宋体_GB2312" w:eastAsia="宋体_GB2312"/>
          <w:sz w:val="24"/>
        </w:rPr>
        <w:t>GB/T 4208-2017</w:t>
      </w:r>
      <w:r>
        <w:rPr>
          <w:rFonts w:hint="eastAsia" w:ascii="宋体_GB2312" w:hAnsi="宋体_GB2312" w:eastAsia="宋体_GB2312"/>
          <w:sz w:val="24"/>
        </w:rPr>
        <w:t>《外壳防护等级（</w:t>
      </w:r>
      <w:r>
        <w:rPr>
          <w:rFonts w:ascii="宋体_GB2312" w:hAnsi="宋体_GB2312" w:eastAsia="宋体_GB2312"/>
          <w:sz w:val="24"/>
        </w:rPr>
        <w:t>IP</w:t>
      </w:r>
      <w:r>
        <w:rPr>
          <w:rFonts w:hint="eastAsia" w:ascii="宋体_GB2312" w:hAnsi="宋体_GB2312" w:eastAsia="宋体_GB2312"/>
          <w:sz w:val="24"/>
        </w:rPr>
        <w:t>代码）》标准中</w:t>
      </w:r>
      <w:r>
        <w:rPr>
          <w:rFonts w:ascii="宋体_GB2312" w:hAnsi="宋体_GB2312" w:eastAsia="宋体_GB2312"/>
          <w:sz w:val="24"/>
        </w:rPr>
        <w:t>IP65级要求。</w:t>
      </w:r>
    </w:p>
    <w:bookmarkEnd w:id="75"/>
    <w:p>
      <w:pPr>
        <w:pStyle w:val="2"/>
        <w:adjustRightInd w:val="0"/>
        <w:spacing w:before="0" w:after="0" w:line="276" w:lineRule="auto"/>
        <w:textAlignment w:val="baseline"/>
        <w:rPr>
          <w:rFonts w:ascii="宋体_GB2312" w:hAnsi="宋体_GB2312" w:eastAsia="宋体_GB2312"/>
          <w:sz w:val="24"/>
          <w:szCs w:val="24"/>
          <w:lang w:val="en-US"/>
        </w:rPr>
      </w:pPr>
      <w:bookmarkStart w:id="77" w:name="_Toc362878564"/>
      <w:bookmarkStart w:id="78" w:name="_Toc27401444"/>
      <w:bookmarkStart w:id="79" w:name="_Toc23325"/>
      <w:bookmarkStart w:id="80" w:name="_Toc20214"/>
      <w:bookmarkStart w:id="81" w:name="_Toc362879572"/>
      <w:bookmarkStart w:id="82" w:name="_Toc26827"/>
      <w:r>
        <w:rPr>
          <w:rFonts w:hint="eastAsia" w:ascii="宋体_GB2312" w:hAnsi="宋体_GB2312" w:eastAsia="宋体_GB2312"/>
          <w:sz w:val="24"/>
          <w:szCs w:val="24"/>
          <w:lang w:val="en-US"/>
        </w:rPr>
        <w:t xml:space="preserve">3.4 </w:t>
      </w:r>
      <w:r>
        <w:rPr>
          <w:rFonts w:ascii="宋体_GB2312" w:hAnsi="宋体_GB2312" w:eastAsia="宋体_GB2312"/>
          <w:sz w:val="24"/>
          <w:szCs w:val="24"/>
          <w:lang w:val="en-US"/>
        </w:rPr>
        <w:t>功能要求</w:t>
      </w:r>
      <w:bookmarkEnd w:id="76"/>
      <w:bookmarkEnd w:id="77"/>
      <w:bookmarkEnd w:id="78"/>
      <w:bookmarkEnd w:id="79"/>
      <w:bookmarkEnd w:id="80"/>
      <w:bookmarkEnd w:id="81"/>
      <w:bookmarkEnd w:id="82"/>
    </w:p>
    <w:p>
      <w:pPr>
        <w:pStyle w:val="42"/>
        <w:spacing w:line="560" w:lineRule="exact"/>
        <w:rPr>
          <w:rFonts w:ascii="宋体_GB2312" w:hAnsi="宋体_GB2312" w:eastAsia="宋体_GB2312"/>
          <w:sz w:val="24"/>
        </w:rPr>
      </w:pPr>
      <w:bookmarkStart w:id="83" w:name="_Toc362878565"/>
      <w:r>
        <w:rPr>
          <w:rFonts w:hint="eastAsia" w:ascii="宋体_GB2312" w:hAnsi="宋体_GB2312" w:eastAsia="宋体_GB2312"/>
          <w:sz w:val="24"/>
        </w:rPr>
        <w:t>3.4.1 光缆的固定和保护功能</w:t>
      </w:r>
      <w:bookmarkEnd w:id="83"/>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光缆引入交接箱时，应有可靠的固定与保护装置，固定后的光缆金属挡潮层、铠装层及加强芯应可靠连接至高压防护接地装置，光缆开剥后应用塑料套管或螺旋管保护并固定引入光纤熔接装置。</w:t>
      </w:r>
    </w:p>
    <w:p>
      <w:pPr>
        <w:pStyle w:val="42"/>
        <w:spacing w:line="560" w:lineRule="exact"/>
        <w:rPr>
          <w:rFonts w:ascii="宋体_GB2312" w:hAnsi="宋体_GB2312" w:eastAsia="宋体_GB2312"/>
          <w:sz w:val="24"/>
        </w:rPr>
      </w:pPr>
      <w:bookmarkStart w:id="84" w:name="_Toc362878566"/>
      <w:r>
        <w:rPr>
          <w:rFonts w:hint="eastAsia" w:ascii="宋体_GB2312" w:hAnsi="宋体_GB2312" w:eastAsia="宋体_GB2312"/>
          <w:sz w:val="24"/>
        </w:rPr>
        <w:t>3.4.2  光缆纤芯的终接功能</w:t>
      </w:r>
      <w:bookmarkEnd w:id="84"/>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设备的光纤终接装置应便于光缆光纤与光缆光纤或尾纤的熔接，安装和维护等操作，同时设备应具备富余光纤光缆的储存空间。</w:t>
      </w:r>
    </w:p>
    <w:p>
      <w:pPr>
        <w:pStyle w:val="42"/>
        <w:spacing w:line="560" w:lineRule="exact"/>
        <w:rPr>
          <w:rFonts w:ascii="宋体_GB2312" w:hAnsi="宋体_GB2312" w:eastAsia="宋体_GB2312"/>
          <w:sz w:val="24"/>
        </w:rPr>
      </w:pPr>
      <w:bookmarkStart w:id="85" w:name="_Toc362878567"/>
      <w:r>
        <w:rPr>
          <w:rFonts w:hint="eastAsia" w:ascii="宋体_GB2312" w:hAnsi="宋体_GB2312" w:eastAsia="宋体_GB2312"/>
          <w:sz w:val="24"/>
        </w:rPr>
        <w:t>3.4.3  光纤熔接接头保护功能</w:t>
      </w:r>
      <w:bookmarkEnd w:id="85"/>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光纤与光纤熔接后，接头部分应用熔接保护套管加以保护。</w:t>
      </w:r>
    </w:p>
    <w:p>
      <w:pPr>
        <w:pStyle w:val="42"/>
        <w:spacing w:line="560" w:lineRule="exact"/>
        <w:rPr>
          <w:rFonts w:ascii="宋体_GB2312" w:hAnsi="宋体_GB2312" w:eastAsia="宋体_GB2312"/>
          <w:sz w:val="24"/>
        </w:rPr>
      </w:pPr>
      <w:bookmarkStart w:id="86" w:name="_Toc362878568"/>
      <w:r>
        <w:rPr>
          <w:rFonts w:hint="eastAsia" w:ascii="宋体_GB2312" w:hAnsi="宋体_GB2312" w:eastAsia="宋体_GB2312"/>
          <w:sz w:val="24"/>
        </w:rPr>
        <w:t>3.4.4  调线功能</w:t>
      </w:r>
      <w:bookmarkEnd w:id="86"/>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通过跳纤，能迅速方便地调度光缆中光纤序号以及改变传输系统的路由。</w:t>
      </w:r>
    </w:p>
    <w:p>
      <w:pPr>
        <w:pStyle w:val="42"/>
        <w:spacing w:line="560" w:lineRule="exact"/>
        <w:rPr>
          <w:rFonts w:ascii="宋体_GB2312" w:hAnsi="宋体_GB2312" w:eastAsia="宋体_GB2312"/>
          <w:sz w:val="24"/>
        </w:rPr>
      </w:pPr>
      <w:bookmarkStart w:id="87" w:name="_Toc362878569"/>
      <w:r>
        <w:rPr>
          <w:rFonts w:hint="eastAsia" w:ascii="宋体_GB2312" w:hAnsi="宋体_GB2312" w:eastAsia="宋体_GB2312"/>
          <w:sz w:val="24"/>
        </w:rPr>
        <w:t>3.4.5  配置要求</w:t>
      </w:r>
      <w:bookmarkEnd w:id="87"/>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光缆的引入和光纤的终接、熔接、存储、配线，在满容量范围内应该方便地成套配置。</w:t>
      </w:r>
    </w:p>
    <w:p>
      <w:pPr>
        <w:pStyle w:val="42"/>
        <w:spacing w:line="560" w:lineRule="exact"/>
        <w:rPr>
          <w:rFonts w:ascii="宋体_GB2312" w:hAnsi="宋体_GB2312" w:eastAsia="宋体_GB2312"/>
          <w:sz w:val="24"/>
          <w:highlight w:val="none"/>
        </w:rPr>
      </w:pPr>
      <w:bookmarkStart w:id="88" w:name="_Toc362878570"/>
      <w:r>
        <w:rPr>
          <w:rFonts w:hint="eastAsia" w:ascii="宋体_GB2312" w:hAnsi="宋体_GB2312" w:eastAsia="宋体_GB2312"/>
          <w:sz w:val="24"/>
        </w:rPr>
        <w:t>3.4.6  箱体</w:t>
      </w:r>
      <w:r>
        <w:rPr>
          <w:rFonts w:hint="eastAsia" w:ascii="宋体_GB2312" w:hAnsi="宋体_GB2312" w:eastAsia="宋体_GB2312"/>
          <w:sz w:val="24"/>
          <w:highlight w:val="none"/>
        </w:rPr>
        <w:t>、门锁及监控功能</w:t>
      </w:r>
      <w:bookmarkEnd w:id="88"/>
    </w:p>
    <w:p>
      <w:pPr>
        <w:spacing w:before="156" w:beforeLines="50" w:line="300" w:lineRule="auto"/>
        <w:ind w:firstLine="480" w:firstLineChars="200"/>
        <w:rPr>
          <w:rFonts w:ascii="宋体_GB2312" w:hAnsi="宋体_GB2312" w:eastAsia="宋体_GB2312"/>
          <w:sz w:val="24"/>
          <w:highlight w:val="none"/>
        </w:rPr>
      </w:pPr>
      <w:r>
        <w:rPr>
          <w:rFonts w:hint="eastAsia" w:ascii="宋体_GB2312" w:hAnsi="宋体_GB2312" w:eastAsia="宋体_GB2312"/>
          <w:sz w:val="24"/>
          <w:highlight w:val="none"/>
        </w:rPr>
        <w:t>（1）</w:t>
      </w:r>
      <w:r>
        <w:rPr>
          <w:rFonts w:hint="eastAsia" w:ascii="宋体_GB2312" w:hAnsi="宋体_GB2312" w:eastAsia="宋体_GB2312"/>
          <w:kern w:val="2"/>
          <w:sz w:val="24"/>
          <w:highlight w:val="none"/>
        </w:rPr>
        <w:t>箱体应具有良好的抗腐蚀耐老化性能，</w:t>
      </w:r>
      <w:r>
        <w:rPr>
          <w:rFonts w:hint="eastAsia" w:ascii="宋体_GB2312" w:hAnsi="宋体_GB2312" w:eastAsia="宋体_GB2312"/>
          <w:sz w:val="24"/>
          <w:highlight w:val="none"/>
        </w:rPr>
        <w:t>门锁可为机械式或电子式，应为防盗结构，具有良好的抗破坏能力，</w:t>
      </w:r>
      <w:r>
        <w:rPr>
          <w:rFonts w:hint="eastAsia" w:ascii="宋体_GB2312" w:hAnsi="宋体_GB2312" w:eastAsia="宋体_GB2312"/>
          <w:kern w:val="2"/>
          <w:sz w:val="24"/>
          <w:highlight w:val="none"/>
        </w:rPr>
        <w:t>抗破坏性能应符合</w:t>
      </w:r>
      <w:r>
        <w:rPr>
          <w:rFonts w:ascii="宋体_GB2312" w:hAnsi="宋体_GB2312" w:eastAsia="宋体_GB2312"/>
          <w:kern w:val="2"/>
          <w:sz w:val="24"/>
          <w:highlight w:val="none"/>
        </w:rPr>
        <w:t>GA/T 73-2015</w:t>
      </w:r>
      <w:r>
        <w:rPr>
          <w:rFonts w:hint="eastAsia" w:ascii="宋体_GB2312" w:hAnsi="宋体_GB2312" w:eastAsia="宋体_GB2312"/>
          <w:kern w:val="2"/>
          <w:sz w:val="24"/>
          <w:highlight w:val="none"/>
        </w:rPr>
        <w:t>《</w:t>
      </w:r>
      <w:r>
        <w:rPr>
          <w:rFonts w:hint="eastAsia" w:ascii="宋体_GB2312" w:hAnsi="宋体_GB2312" w:eastAsia="宋体_GB2312" w:cs="Times New Roman"/>
          <w:color w:val="343A40"/>
          <w:sz w:val="24"/>
          <w:highlight w:val="none"/>
        </w:rPr>
        <w:t>机械防盗锁</w:t>
      </w:r>
      <w:r>
        <w:rPr>
          <w:rFonts w:hint="eastAsia" w:ascii="宋体_GB2312" w:hAnsi="宋体_GB2312" w:eastAsia="宋体_GB2312"/>
          <w:kern w:val="2"/>
          <w:sz w:val="24"/>
          <w:highlight w:val="none"/>
        </w:rPr>
        <w:t>》中的</w:t>
      </w:r>
      <w:r>
        <w:rPr>
          <w:rFonts w:ascii="宋体_GB2312" w:hAnsi="宋体_GB2312" w:eastAsia="宋体_GB2312"/>
          <w:kern w:val="2"/>
          <w:sz w:val="24"/>
          <w:highlight w:val="none"/>
        </w:rPr>
        <w:t xml:space="preserve">B </w:t>
      </w:r>
      <w:r>
        <w:rPr>
          <w:rFonts w:hint="eastAsia" w:ascii="宋体_GB2312" w:hAnsi="宋体_GB2312" w:eastAsia="宋体_GB2312"/>
          <w:kern w:val="2"/>
          <w:sz w:val="24"/>
          <w:highlight w:val="none"/>
        </w:rPr>
        <w:t>级要求</w:t>
      </w:r>
      <w:r>
        <w:rPr>
          <w:rFonts w:hint="eastAsia" w:ascii="宋体_GB2312" w:hAnsi="宋体_GB2312" w:eastAsia="宋体_GB2312"/>
          <w:sz w:val="24"/>
          <w:highlight w:val="none"/>
        </w:rPr>
        <w:t>。并应外加门吊，但应隐蔽美观。</w:t>
      </w:r>
    </w:p>
    <w:p>
      <w:pPr>
        <w:spacing w:before="156" w:beforeLines="50" w:line="300" w:lineRule="auto"/>
        <w:ind w:firstLine="480" w:firstLineChars="200"/>
        <w:rPr>
          <w:rFonts w:ascii="宋体_GB2312" w:hAnsi="宋体_GB2312" w:eastAsia="宋体_GB2312" w:cs="Times New Roman"/>
          <w:kern w:val="2"/>
          <w:sz w:val="24"/>
          <w:szCs w:val="24"/>
          <w:highlight w:val="none"/>
        </w:rPr>
      </w:pPr>
      <w:r>
        <w:rPr>
          <w:rFonts w:hint="eastAsia" w:ascii="宋体_GB2312" w:hAnsi="宋体_GB2312" w:eastAsia="宋体_GB2312"/>
          <w:sz w:val="24"/>
          <w:highlight w:val="none"/>
        </w:rPr>
        <w:t>（2）</w:t>
      </w:r>
      <w:r>
        <w:rPr>
          <w:rFonts w:hint="eastAsia" w:ascii="宋体_GB2312" w:hAnsi="宋体_GB2312" w:eastAsia="宋体_GB2312" w:cs="Times New Roman"/>
          <w:kern w:val="2"/>
          <w:sz w:val="24"/>
          <w:szCs w:val="24"/>
          <w:highlight w:val="none"/>
        </w:rPr>
        <w:t>箱体密封条粘结应平整牢固，门锁的启闭灵活可靠。当有需要时，门锁应具备门禁管理的功能，实现可控制密码的开锁，对锁的开关信息进行计算机管理</w:t>
      </w:r>
      <w:r>
        <w:rPr>
          <w:rFonts w:hint="eastAsia" w:ascii="宋体_GB2312" w:hAnsi="宋体_GB2312" w:eastAsia="宋体_GB2312"/>
          <w:sz w:val="24"/>
          <w:highlight w:val="none"/>
        </w:rPr>
        <w:t>。</w:t>
      </w:r>
      <w:r>
        <w:rPr>
          <w:rFonts w:hint="eastAsia" w:ascii="宋体_GB2312" w:hAnsi="宋体_GB2312" w:eastAsia="宋体_GB2312"/>
          <w:sz w:val="24"/>
          <w:szCs w:val="24"/>
          <w:highlight w:val="none"/>
        </w:rPr>
        <w:t>箱体使用的门锁及门上的开孔应满足无需新增开孔及其它结构件可更换为智能锁。</w:t>
      </w:r>
    </w:p>
    <w:p>
      <w:pPr>
        <w:spacing w:before="156" w:beforeLines="50" w:line="300" w:lineRule="auto"/>
        <w:ind w:firstLine="480" w:firstLineChars="200"/>
        <w:rPr>
          <w:rFonts w:ascii="宋体_GB2312" w:hAnsi="宋体_GB2312" w:eastAsia="宋体_GB2312"/>
          <w:sz w:val="24"/>
        </w:rPr>
      </w:pPr>
      <w:bookmarkStart w:id="89" w:name="_Toc362878571"/>
      <w:r>
        <w:rPr>
          <w:rFonts w:hint="eastAsia" w:ascii="宋体_GB2312" w:hAnsi="宋体_GB2312" w:eastAsia="宋体_GB2312"/>
          <w:sz w:val="24"/>
        </w:rPr>
        <w:t>3.4.7  适用性要求</w:t>
      </w:r>
      <w:bookmarkEnd w:id="89"/>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应能适用符合GB/T 7424.1-200</w:t>
      </w:r>
      <w:r>
        <w:rPr>
          <w:rFonts w:ascii="宋体_GB2312" w:hAnsi="宋体_GB2312" w:eastAsia="宋体_GB2312"/>
          <w:sz w:val="24"/>
        </w:rPr>
        <w:t>3</w:t>
      </w:r>
      <w:r>
        <w:rPr>
          <w:rFonts w:hint="eastAsia" w:ascii="宋体_GB2312" w:hAnsi="宋体_GB2312" w:eastAsia="宋体_GB2312"/>
          <w:sz w:val="24"/>
        </w:rPr>
        <w:t>《光缆总规范</w:t>
      </w:r>
      <w:r>
        <w:rPr>
          <w:rFonts w:ascii="宋体_GB2312" w:hAnsi="宋体_GB2312" w:eastAsia="宋体_GB2312"/>
          <w:sz w:val="24"/>
        </w:rPr>
        <w:t xml:space="preserve"> </w:t>
      </w:r>
      <w:r>
        <w:rPr>
          <w:rFonts w:hint="eastAsia" w:ascii="宋体_GB2312" w:hAnsi="宋体_GB2312" w:eastAsia="宋体_GB2312"/>
          <w:sz w:val="24"/>
        </w:rPr>
        <w:t>第</w:t>
      </w:r>
      <w:r>
        <w:rPr>
          <w:rFonts w:ascii="宋体_GB2312" w:hAnsi="宋体_GB2312" w:eastAsia="宋体_GB2312"/>
          <w:sz w:val="24"/>
        </w:rPr>
        <w:t>1</w:t>
      </w:r>
      <w:r>
        <w:rPr>
          <w:rFonts w:hint="eastAsia" w:ascii="宋体_GB2312" w:hAnsi="宋体_GB2312" w:eastAsia="宋体_GB2312"/>
          <w:sz w:val="24"/>
        </w:rPr>
        <w:t>部分：总则》标准中规定的光缆和GB/T</w:t>
      </w:r>
      <w:r>
        <w:rPr>
          <w:rFonts w:ascii="宋体_GB2312" w:hAnsi="宋体_GB2312" w:eastAsia="宋体_GB2312"/>
          <w:sz w:val="24"/>
        </w:rPr>
        <w:t xml:space="preserve"> </w:t>
      </w:r>
      <w:r>
        <w:rPr>
          <w:rFonts w:hint="eastAsia" w:ascii="宋体_GB2312" w:hAnsi="宋体_GB2312" w:eastAsia="宋体_GB2312"/>
          <w:sz w:val="24"/>
        </w:rPr>
        <w:t>15972规定的光纤。</w:t>
      </w:r>
    </w:p>
    <w:p>
      <w:pPr>
        <w:pStyle w:val="2"/>
        <w:adjustRightInd w:val="0"/>
        <w:spacing w:before="0" w:after="0" w:line="276" w:lineRule="auto"/>
        <w:textAlignment w:val="baseline"/>
        <w:rPr>
          <w:rFonts w:ascii="宋体_GB2312" w:hAnsi="宋体_GB2312" w:eastAsia="宋体_GB2312"/>
          <w:sz w:val="24"/>
          <w:szCs w:val="24"/>
          <w:lang w:val="en-US"/>
        </w:rPr>
      </w:pPr>
      <w:bookmarkStart w:id="90" w:name="_Toc10018"/>
      <w:bookmarkStart w:id="91" w:name="_Toc362879573"/>
      <w:bookmarkStart w:id="92" w:name="_Toc27401445"/>
      <w:bookmarkStart w:id="93" w:name="_Toc362878572"/>
      <w:bookmarkStart w:id="94" w:name="_Toc20879"/>
      <w:bookmarkStart w:id="95" w:name="_Toc9098"/>
      <w:r>
        <w:rPr>
          <w:rFonts w:hint="eastAsia" w:ascii="宋体_GB2312" w:hAnsi="宋体_GB2312" w:eastAsia="宋体_GB2312"/>
          <w:sz w:val="24"/>
          <w:szCs w:val="24"/>
          <w:lang w:val="en-US"/>
        </w:rPr>
        <w:t>3.5  光纤活动连接器技术指标</w:t>
      </w:r>
      <w:bookmarkEnd w:id="90"/>
      <w:bookmarkEnd w:id="91"/>
      <w:bookmarkEnd w:id="92"/>
      <w:bookmarkEnd w:id="93"/>
      <w:bookmarkEnd w:id="94"/>
      <w:bookmarkEnd w:id="95"/>
    </w:p>
    <w:p>
      <w:pPr>
        <w:pStyle w:val="42"/>
        <w:spacing w:line="560" w:lineRule="exact"/>
        <w:rPr>
          <w:rFonts w:ascii="宋体_GB2312" w:hAnsi="宋体_GB2312" w:eastAsia="宋体_GB2312"/>
          <w:sz w:val="24"/>
        </w:rPr>
      </w:pPr>
      <w:bookmarkStart w:id="96" w:name="_Toc362878573"/>
      <w:r>
        <w:rPr>
          <w:rFonts w:hint="eastAsia" w:ascii="宋体_GB2312" w:hAnsi="宋体_GB2312" w:eastAsia="宋体_GB2312"/>
          <w:sz w:val="24"/>
        </w:rPr>
        <w:t>3</w:t>
      </w:r>
      <w:r>
        <w:rPr>
          <w:rFonts w:ascii="宋体_GB2312" w:hAnsi="宋体_GB2312" w:eastAsia="宋体_GB2312"/>
          <w:sz w:val="24"/>
        </w:rPr>
        <w:t>.</w:t>
      </w:r>
      <w:r>
        <w:rPr>
          <w:rFonts w:hint="eastAsia" w:ascii="宋体_GB2312" w:hAnsi="宋体_GB2312" w:eastAsia="宋体_GB2312"/>
          <w:sz w:val="24"/>
        </w:rPr>
        <w:t>5</w:t>
      </w:r>
      <w:r>
        <w:rPr>
          <w:rFonts w:ascii="宋体_GB2312" w:hAnsi="宋体_GB2312" w:eastAsia="宋体_GB2312"/>
          <w:sz w:val="24"/>
        </w:rPr>
        <w:t>.1</w:t>
      </w:r>
      <w:r>
        <w:rPr>
          <w:rFonts w:hint="eastAsia" w:ascii="宋体_GB2312" w:hAnsi="宋体_GB2312" w:eastAsia="宋体_GB2312"/>
          <w:sz w:val="24"/>
        </w:rPr>
        <w:t xml:space="preserve"> 光纤连接器型号</w:t>
      </w:r>
      <w:bookmarkEnd w:id="96"/>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FC、SC光纤连接器。</w:t>
      </w:r>
    </w:p>
    <w:p>
      <w:pPr>
        <w:pStyle w:val="42"/>
        <w:spacing w:line="560" w:lineRule="exact"/>
        <w:rPr>
          <w:rFonts w:ascii="宋体_GB2312" w:hAnsi="宋体_GB2312" w:eastAsia="宋体_GB2312"/>
          <w:sz w:val="24"/>
        </w:rPr>
      </w:pPr>
      <w:bookmarkStart w:id="97" w:name="_Toc362878574"/>
      <w:r>
        <w:rPr>
          <w:rFonts w:hint="eastAsia" w:ascii="宋体_GB2312" w:hAnsi="宋体_GB2312" w:eastAsia="宋体_GB2312"/>
          <w:sz w:val="24"/>
        </w:rPr>
        <w:t>3</w:t>
      </w:r>
      <w:r>
        <w:rPr>
          <w:rFonts w:ascii="宋体_GB2312" w:hAnsi="宋体_GB2312" w:eastAsia="宋体_GB2312"/>
          <w:sz w:val="24"/>
        </w:rPr>
        <w:t>.</w:t>
      </w:r>
      <w:r>
        <w:rPr>
          <w:rFonts w:hint="eastAsia" w:ascii="宋体_GB2312" w:hAnsi="宋体_GB2312" w:eastAsia="宋体_GB2312"/>
          <w:sz w:val="24"/>
        </w:rPr>
        <w:t>5</w:t>
      </w:r>
      <w:r>
        <w:rPr>
          <w:rFonts w:ascii="宋体_GB2312" w:hAnsi="宋体_GB2312" w:eastAsia="宋体_GB2312"/>
          <w:sz w:val="24"/>
        </w:rPr>
        <w:t>.</w:t>
      </w:r>
      <w:r>
        <w:rPr>
          <w:rFonts w:hint="eastAsia" w:ascii="宋体_GB2312" w:hAnsi="宋体_GB2312" w:eastAsia="宋体_GB2312"/>
          <w:sz w:val="24"/>
        </w:rPr>
        <w:t>2 光纤连接器、尾纤光学性能及外观要求</w:t>
      </w:r>
      <w:bookmarkEnd w:id="97"/>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（1）光纤连接器是由跳纤和适配器组成，其光学性能及外观要求应满足表3要求。</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（2）对于尾纤，应与同批次尾纤熔接并与适配器组成光纤连接器，其光学性能及外观要求应符合表3的技术要求。</w:t>
      </w:r>
    </w:p>
    <w:p>
      <w:pPr>
        <w:widowControl/>
        <w:tabs>
          <w:tab w:val="left" w:pos="9072"/>
        </w:tabs>
        <w:autoSpaceDE w:val="0"/>
        <w:autoSpaceDN w:val="0"/>
        <w:spacing w:line="360" w:lineRule="auto"/>
        <w:ind w:right="26" w:firstLine="1848" w:firstLineChars="770"/>
        <w:jc w:val="left"/>
        <w:textAlignment w:val="bottom"/>
        <w:rPr>
          <w:rFonts w:ascii="宋体_GB2312" w:hAnsi="宋体_GB2312" w:eastAsia="宋体_GB2312" w:cs="宋体"/>
          <w:kern w:val="0"/>
          <w:szCs w:val="21"/>
        </w:rPr>
      </w:pPr>
      <w:r>
        <w:rPr>
          <w:rFonts w:hint="eastAsia" w:ascii="宋体_GB2312" w:hAnsi="宋体_GB2312" w:eastAsia="宋体_GB2312"/>
          <w:sz w:val="24"/>
        </w:rPr>
        <w:t xml:space="preserve">表3 光纤活动连接器及尾纤光学性能及外观要求  </w:t>
      </w:r>
      <w:r>
        <w:rPr>
          <w:rFonts w:hint="eastAsia" w:ascii="宋体_GB2312" w:hAnsi="宋体_GB2312" w:eastAsia="宋体_GB2312" w:cs="宋体"/>
          <w:kern w:val="0"/>
          <w:szCs w:val="21"/>
        </w:rPr>
        <w:t xml:space="preserve">      单位：dB</w:t>
      </w:r>
    </w:p>
    <w:tbl>
      <w:tblPr>
        <w:tblStyle w:val="27"/>
        <w:tblW w:w="10481" w:type="dxa"/>
        <w:jc w:val="center"/>
        <w:tblLayout w:type="fixed"/>
        <w:tblCellMar>
          <w:top w:w="0" w:type="dxa"/>
          <w:left w:w="108" w:type="dxa"/>
          <w:bottom w:w="0" w:type="dxa"/>
          <w:right w:w="108" w:type="dxa"/>
        </w:tblCellMar>
      </w:tblPr>
      <w:tblGrid>
        <w:gridCol w:w="652"/>
        <w:gridCol w:w="844"/>
        <w:gridCol w:w="1000"/>
        <w:gridCol w:w="936"/>
        <w:gridCol w:w="760"/>
        <w:gridCol w:w="680"/>
        <w:gridCol w:w="921"/>
        <w:gridCol w:w="900"/>
        <w:gridCol w:w="900"/>
        <w:gridCol w:w="8"/>
        <w:gridCol w:w="2872"/>
        <w:gridCol w:w="8"/>
      </w:tblGrid>
      <w:tr>
        <w:tblPrEx>
          <w:tblCellMar>
            <w:top w:w="0" w:type="dxa"/>
            <w:left w:w="108" w:type="dxa"/>
            <w:bottom w:w="0" w:type="dxa"/>
            <w:right w:w="108" w:type="dxa"/>
          </w:tblCellMar>
        </w:tblPrEx>
        <w:trPr>
          <w:trHeight w:val="285" w:hRule="atLeast"/>
          <w:tblHeader/>
          <w:jc w:val="center"/>
        </w:trPr>
        <w:tc>
          <w:tcPr>
            <w:tcW w:w="1496"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bookmarkStart w:id="98" w:name="_Toc362878575"/>
            <w:bookmarkStart w:id="99" w:name="_Toc361901852"/>
            <w:r>
              <w:rPr>
                <w:rFonts w:hint="eastAsia" w:ascii="宋体_GB2312" w:hAnsi="宋体_GB2312" w:eastAsia="宋体_GB2312" w:cs="宋体"/>
                <w:kern w:val="0"/>
                <w:sz w:val="18"/>
                <w:szCs w:val="18"/>
              </w:rPr>
              <w:t>检验项目</w:t>
            </w:r>
          </w:p>
        </w:tc>
        <w:tc>
          <w:tcPr>
            <w:tcW w:w="6105" w:type="dxa"/>
            <w:gridSpan w:val="8"/>
            <w:tcBorders>
              <w:top w:val="single" w:color="auto" w:sz="4" w:space="0"/>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单模（1310nm及1550nm)</w:t>
            </w:r>
          </w:p>
        </w:tc>
        <w:tc>
          <w:tcPr>
            <w:tcW w:w="2880" w:type="dxa"/>
            <w:gridSpan w:val="2"/>
            <w:tcBorders>
              <w:top w:val="single" w:color="auto" w:sz="4" w:space="0"/>
              <w:left w:val="nil"/>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外观要求</w:t>
            </w:r>
            <w:r>
              <w:rPr>
                <w:rFonts w:ascii="宋体_GB2312" w:hAnsi="宋体_GB2312" w:eastAsia="宋体_GB2312" w:cs="宋体"/>
                <w:b/>
                <w:color w:val="FF0000"/>
                <w:kern w:val="0"/>
                <w:sz w:val="18"/>
                <w:szCs w:val="18"/>
              </w:rPr>
              <w:t>(该项为B类指标)</w:t>
            </w:r>
          </w:p>
        </w:tc>
      </w:tr>
      <w:tr>
        <w:tblPrEx>
          <w:tblCellMar>
            <w:top w:w="0" w:type="dxa"/>
            <w:left w:w="108" w:type="dxa"/>
            <w:bottom w:w="0" w:type="dxa"/>
            <w:right w:w="108" w:type="dxa"/>
          </w:tblCellMar>
        </w:tblPrEx>
        <w:trPr>
          <w:gridAfter w:val="1"/>
          <w:wAfter w:w="8" w:type="dxa"/>
          <w:trHeight w:val="285" w:hRule="atLeast"/>
          <w:tblHeader/>
          <w:jc w:val="center"/>
        </w:trPr>
        <w:tc>
          <w:tcPr>
            <w:tcW w:w="652"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编码</w:t>
            </w:r>
          </w:p>
        </w:tc>
        <w:tc>
          <w:tcPr>
            <w:tcW w:w="844"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项目名称</w:t>
            </w:r>
          </w:p>
        </w:tc>
        <w:tc>
          <w:tcPr>
            <w:tcW w:w="1936" w:type="dxa"/>
            <w:gridSpan w:val="2"/>
            <w:tcBorders>
              <w:top w:val="single" w:color="auto" w:sz="4" w:space="0"/>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插入损耗</w:t>
            </w:r>
          </w:p>
        </w:tc>
        <w:tc>
          <w:tcPr>
            <w:tcW w:w="76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附加</w:t>
            </w:r>
          </w:p>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损耗</w:t>
            </w:r>
          </w:p>
        </w:tc>
        <w:tc>
          <w:tcPr>
            <w:tcW w:w="2501" w:type="dxa"/>
            <w:gridSpan w:val="3"/>
            <w:tcBorders>
              <w:top w:val="single" w:color="auto" w:sz="4" w:space="0"/>
              <w:left w:val="nil"/>
              <w:bottom w:val="single" w:color="auto" w:sz="4" w:space="0"/>
              <w:right w:val="single" w:color="auto" w:sz="4" w:space="0"/>
            </w:tcBorders>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回波损耗</w:t>
            </w:r>
          </w:p>
        </w:tc>
        <w:tc>
          <w:tcPr>
            <w:tcW w:w="900" w:type="dxa"/>
            <w:vMerge w:val="restart"/>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回波损耗变化量</w:t>
            </w:r>
          </w:p>
        </w:tc>
        <w:tc>
          <w:tcPr>
            <w:tcW w:w="2880" w:type="dxa"/>
            <w:gridSpan w:val="2"/>
            <w:vMerge w:val="restart"/>
            <w:tcBorders>
              <w:left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p>
        </w:tc>
      </w:tr>
      <w:tr>
        <w:tblPrEx>
          <w:tblCellMar>
            <w:top w:w="0" w:type="dxa"/>
            <w:left w:w="108" w:type="dxa"/>
            <w:bottom w:w="0" w:type="dxa"/>
            <w:right w:w="108" w:type="dxa"/>
          </w:tblCellMar>
        </w:tblPrEx>
        <w:trPr>
          <w:gridAfter w:val="1"/>
          <w:wAfter w:w="8" w:type="dxa"/>
          <w:trHeight w:val="570" w:hRule="atLeast"/>
          <w:tblHeader/>
          <w:jc w:val="center"/>
        </w:trPr>
        <w:tc>
          <w:tcPr>
            <w:tcW w:w="652" w:type="dxa"/>
            <w:vMerge w:val="continue"/>
            <w:tcBorders>
              <w:top w:val="nil"/>
              <w:left w:val="single" w:color="auto" w:sz="4" w:space="0"/>
              <w:bottom w:val="single" w:color="auto" w:sz="4" w:space="0"/>
              <w:right w:val="single" w:color="auto" w:sz="4" w:space="0"/>
            </w:tcBorders>
            <w:vAlign w:val="center"/>
          </w:tcPr>
          <w:p>
            <w:pPr>
              <w:widowControl/>
              <w:jc w:val="left"/>
              <w:rPr>
                <w:rFonts w:ascii="宋体_GB2312" w:hAnsi="宋体_GB2312" w:eastAsia="宋体_GB2312" w:cs="宋体"/>
                <w:kern w:val="0"/>
                <w:sz w:val="18"/>
                <w:szCs w:val="18"/>
              </w:rPr>
            </w:pPr>
          </w:p>
        </w:tc>
        <w:tc>
          <w:tcPr>
            <w:tcW w:w="844" w:type="dxa"/>
            <w:vMerge w:val="continue"/>
            <w:tcBorders>
              <w:top w:val="nil"/>
              <w:left w:val="single" w:color="auto" w:sz="4" w:space="0"/>
              <w:bottom w:val="single" w:color="auto" w:sz="4" w:space="0"/>
              <w:right w:val="single" w:color="auto" w:sz="4" w:space="0"/>
            </w:tcBorders>
            <w:vAlign w:val="center"/>
          </w:tcPr>
          <w:p>
            <w:pPr>
              <w:widowControl/>
              <w:jc w:val="left"/>
              <w:rPr>
                <w:rFonts w:ascii="宋体_GB2312" w:hAnsi="宋体_GB2312" w:eastAsia="宋体_GB2312" w:cs="宋体"/>
                <w:kern w:val="0"/>
                <w:sz w:val="18"/>
                <w:szCs w:val="18"/>
              </w:rPr>
            </w:pP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PC、UPC型</w:t>
            </w:r>
          </w:p>
        </w:tc>
        <w:tc>
          <w:tcPr>
            <w:tcW w:w="936" w:type="dxa"/>
            <w:tcBorders>
              <w:top w:val="nil"/>
              <w:left w:val="single" w:color="auto" w:sz="4" w:space="0"/>
              <w:bottom w:val="single" w:color="auto" w:sz="4" w:space="0"/>
              <w:right w:val="single" w:color="auto" w:sz="4" w:space="0"/>
            </w:tcBorders>
            <w:vAlign w:val="center"/>
          </w:tcPr>
          <w:p>
            <w:pPr>
              <w:widowControl/>
              <w:jc w:val="left"/>
              <w:rPr>
                <w:rFonts w:ascii="宋体_GB2312" w:hAnsi="宋体_GB2312" w:eastAsia="宋体_GB2312" w:cs="宋体"/>
                <w:kern w:val="0"/>
                <w:sz w:val="18"/>
                <w:szCs w:val="18"/>
              </w:rPr>
            </w:pPr>
            <w:r>
              <w:rPr>
                <w:rFonts w:hint="eastAsia" w:ascii="宋体" w:hAnsi="宋体"/>
                <w:kern w:val="0"/>
                <w:sz w:val="18"/>
                <w:szCs w:val="18"/>
              </w:rPr>
              <w:t>APC型</w:t>
            </w:r>
          </w:p>
        </w:tc>
        <w:tc>
          <w:tcPr>
            <w:tcW w:w="760" w:type="dxa"/>
            <w:vMerge w:val="continue"/>
            <w:tcBorders>
              <w:top w:val="nil"/>
              <w:left w:val="single" w:color="auto" w:sz="4" w:space="0"/>
              <w:bottom w:val="single" w:color="auto" w:sz="4" w:space="0"/>
              <w:right w:val="single" w:color="auto" w:sz="4" w:space="0"/>
            </w:tcBorders>
            <w:vAlign w:val="center"/>
          </w:tcPr>
          <w:p>
            <w:pPr>
              <w:widowControl/>
              <w:jc w:val="left"/>
              <w:rPr>
                <w:rFonts w:ascii="宋体_GB2312" w:hAnsi="宋体_GB2312" w:eastAsia="宋体_GB2312" w:cs="宋体"/>
                <w:kern w:val="0"/>
                <w:sz w:val="18"/>
                <w:szCs w:val="18"/>
              </w:rPr>
            </w:pPr>
          </w:p>
        </w:tc>
        <w:tc>
          <w:tcPr>
            <w:tcW w:w="68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PC型</w:t>
            </w:r>
          </w:p>
        </w:tc>
        <w:tc>
          <w:tcPr>
            <w:tcW w:w="921"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UPC型</w:t>
            </w:r>
          </w:p>
        </w:tc>
        <w:tc>
          <w:tcPr>
            <w:tcW w:w="9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ascii="宋体_GB2312" w:hAnsi="宋体_GB2312" w:eastAsia="宋体_GB2312" w:cs="宋体"/>
                <w:kern w:val="0"/>
                <w:sz w:val="18"/>
                <w:szCs w:val="18"/>
              </w:rPr>
              <w:t>A</w:t>
            </w:r>
            <w:r>
              <w:rPr>
                <w:rFonts w:hint="eastAsia" w:ascii="宋体_GB2312" w:hAnsi="宋体_GB2312" w:eastAsia="宋体_GB2312" w:cs="宋体"/>
                <w:kern w:val="0"/>
                <w:sz w:val="18"/>
                <w:szCs w:val="18"/>
              </w:rPr>
              <w:t>PC型</w:t>
            </w:r>
          </w:p>
        </w:tc>
        <w:tc>
          <w:tcPr>
            <w:tcW w:w="900" w:type="dxa"/>
            <w:vMerge w:val="continue"/>
            <w:tcBorders>
              <w:top w:val="nil"/>
              <w:left w:val="single" w:color="auto" w:sz="4" w:space="0"/>
              <w:bottom w:val="single" w:color="auto" w:sz="4" w:space="0"/>
              <w:right w:val="single" w:color="auto" w:sz="4" w:space="0"/>
            </w:tcBorders>
            <w:vAlign w:val="center"/>
          </w:tcPr>
          <w:p>
            <w:pPr>
              <w:widowControl/>
              <w:jc w:val="left"/>
              <w:rPr>
                <w:rFonts w:ascii="宋体_GB2312" w:hAnsi="宋体_GB2312" w:eastAsia="宋体_GB2312" w:cs="宋体"/>
                <w:kern w:val="0"/>
                <w:sz w:val="18"/>
                <w:szCs w:val="18"/>
              </w:rPr>
            </w:pPr>
          </w:p>
        </w:tc>
        <w:tc>
          <w:tcPr>
            <w:tcW w:w="2880" w:type="dxa"/>
            <w:gridSpan w:val="2"/>
            <w:vMerge w:val="continue"/>
            <w:tcBorders>
              <w:left w:val="single" w:color="auto" w:sz="4" w:space="0"/>
              <w:bottom w:val="single" w:color="auto" w:sz="4" w:space="0"/>
              <w:right w:val="single" w:color="auto" w:sz="4" w:space="0"/>
            </w:tcBorders>
            <w:vAlign w:val="center"/>
          </w:tcPr>
          <w:p>
            <w:pPr>
              <w:widowControl/>
              <w:jc w:val="left"/>
              <w:rPr>
                <w:rFonts w:ascii="宋体_GB2312" w:hAnsi="宋体_GB2312" w:eastAsia="宋体_GB2312" w:cs="宋体"/>
                <w:kern w:val="0"/>
                <w:sz w:val="18"/>
                <w:szCs w:val="18"/>
              </w:rPr>
            </w:pPr>
          </w:p>
        </w:tc>
      </w:tr>
      <w:tr>
        <w:tblPrEx>
          <w:tblCellMar>
            <w:top w:w="0" w:type="dxa"/>
            <w:left w:w="108" w:type="dxa"/>
            <w:bottom w:w="0" w:type="dxa"/>
            <w:right w:w="108" w:type="dxa"/>
          </w:tblCellMar>
        </w:tblPrEx>
        <w:trPr>
          <w:gridAfter w:val="1"/>
          <w:wAfter w:w="8" w:type="dxa"/>
          <w:trHeight w:val="285" w:hRule="atLeast"/>
          <w:jc w:val="center"/>
        </w:trPr>
        <w:tc>
          <w:tcPr>
            <w:tcW w:w="65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olor w:val="FF0000"/>
                <w:sz w:val="24"/>
              </w:rPr>
              <w:t>★</w:t>
            </w:r>
            <w:r>
              <w:rPr>
                <w:rFonts w:hint="eastAsia" w:ascii="宋体_GB2312" w:hAnsi="宋体_GB2312" w:eastAsia="宋体_GB2312" w:cs="宋体"/>
                <w:kern w:val="0"/>
                <w:sz w:val="18"/>
                <w:szCs w:val="18"/>
              </w:rPr>
              <w:t>1</w:t>
            </w:r>
          </w:p>
        </w:tc>
        <w:tc>
          <w:tcPr>
            <w:tcW w:w="844"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试验前</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hint="default" w:ascii="宋体_GB2312" w:hAnsi="宋体_GB2312" w:eastAsia="宋体_GB2312" w:cs="宋体"/>
                <w:kern w:val="0"/>
                <w:sz w:val="18"/>
                <w:szCs w:val="18"/>
                <w:lang w:val="en-US" w:eastAsia="zh-CN"/>
              </w:rPr>
            </w:pPr>
            <w:r>
              <w:rPr>
                <w:rFonts w:hint="eastAsia" w:ascii="宋体_GB2312" w:hAnsi="宋体_GB2312" w:eastAsia="宋体_GB2312" w:cs="宋体"/>
                <w:kern w:val="0"/>
                <w:sz w:val="18"/>
                <w:szCs w:val="18"/>
              </w:rPr>
              <w:t>≤0.</w:t>
            </w:r>
            <w:r>
              <w:rPr>
                <w:rFonts w:hint="eastAsia" w:ascii="宋体_GB2312" w:hAnsi="宋体_GB2312" w:eastAsia="宋体_GB2312" w:cs="宋体"/>
                <w:kern w:val="0"/>
                <w:sz w:val="18"/>
                <w:szCs w:val="18"/>
                <w:lang w:val="en-US" w:eastAsia="zh-CN"/>
              </w:rPr>
              <w:t>35</w:t>
            </w:r>
          </w:p>
        </w:tc>
        <w:tc>
          <w:tcPr>
            <w:tcW w:w="936"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 w:hAnsi="宋体"/>
                <w:kern w:val="0"/>
                <w:sz w:val="18"/>
                <w:szCs w:val="18"/>
              </w:rPr>
              <w:t>≤0.45</w:t>
            </w:r>
          </w:p>
        </w:tc>
        <w:tc>
          <w:tcPr>
            <w:tcW w:w="76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p>
        </w:tc>
        <w:tc>
          <w:tcPr>
            <w:tcW w:w="68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≥45</w:t>
            </w:r>
          </w:p>
        </w:tc>
        <w:tc>
          <w:tcPr>
            <w:tcW w:w="921"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≥50</w:t>
            </w:r>
          </w:p>
        </w:tc>
        <w:tc>
          <w:tcPr>
            <w:tcW w:w="9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r>
              <w:rPr>
                <w:rFonts w:ascii="宋体_GB2312" w:hAnsi="宋体_GB2312" w:eastAsia="宋体_GB2312" w:cs="宋体"/>
                <w:kern w:val="0"/>
                <w:sz w:val="18"/>
                <w:szCs w:val="18"/>
              </w:rPr>
              <w:t>6</w:t>
            </w:r>
            <w:r>
              <w:rPr>
                <w:rFonts w:hint="eastAsia" w:ascii="宋体_GB2312" w:hAnsi="宋体_GB2312" w:eastAsia="宋体_GB2312" w:cs="宋体"/>
                <w:kern w:val="0"/>
                <w:sz w:val="18"/>
                <w:szCs w:val="18"/>
              </w:rPr>
              <w:t>0</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p>
        </w:tc>
        <w:tc>
          <w:tcPr>
            <w:tcW w:w="2880" w:type="dxa"/>
            <w:gridSpan w:val="2"/>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p>
        </w:tc>
      </w:tr>
      <w:tr>
        <w:tblPrEx>
          <w:tblCellMar>
            <w:top w:w="0" w:type="dxa"/>
            <w:left w:w="108" w:type="dxa"/>
            <w:bottom w:w="0" w:type="dxa"/>
            <w:right w:w="108" w:type="dxa"/>
          </w:tblCellMar>
        </w:tblPrEx>
        <w:trPr>
          <w:gridAfter w:val="1"/>
          <w:wAfter w:w="8" w:type="dxa"/>
          <w:trHeight w:val="285" w:hRule="atLeast"/>
          <w:jc w:val="center"/>
        </w:trPr>
        <w:tc>
          <w:tcPr>
            <w:tcW w:w="65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2</w:t>
            </w:r>
          </w:p>
        </w:tc>
        <w:tc>
          <w:tcPr>
            <w:tcW w:w="844"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互换性试验</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≤0.5</w:t>
            </w:r>
          </w:p>
        </w:tc>
        <w:tc>
          <w:tcPr>
            <w:tcW w:w="936"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 w:hAnsi="宋体"/>
                <w:kern w:val="0"/>
                <w:sz w:val="18"/>
                <w:szCs w:val="18"/>
              </w:rPr>
              <w:t>≤0.6</w:t>
            </w:r>
          </w:p>
        </w:tc>
        <w:tc>
          <w:tcPr>
            <w:tcW w:w="76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　</w:t>
            </w:r>
          </w:p>
        </w:tc>
        <w:tc>
          <w:tcPr>
            <w:tcW w:w="68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≥43</w:t>
            </w:r>
          </w:p>
        </w:tc>
        <w:tc>
          <w:tcPr>
            <w:tcW w:w="921"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≥48</w:t>
            </w:r>
          </w:p>
        </w:tc>
        <w:tc>
          <w:tcPr>
            <w:tcW w:w="9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r>
              <w:rPr>
                <w:rFonts w:ascii="宋体_GB2312" w:hAnsi="宋体_GB2312" w:eastAsia="宋体_GB2312" w:cs="宋体"/>
                <w:kern w:val="0"/>
                <w:sz w:val="18"/>
                <w:szCs w:val="18"/>
              </w:rPr>
              <w:t>58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　</w:t>
            </w:r>
          </w:p>
        </w:tc>
        <w:tc>
          <w:tcPr>
            <w:tcW w:w="2880"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试验后，不得有机械损伤，插针表面无明显划痕</w:t>
            </w:r>
          </w:p>
        </w:tc>
      </w:tr>
      <w:tr>
        <w:tblPrEx>
          <w:tblCellMar>
            <w:top w:w="0" w:type="dxa"/>
            <w:left w:w="108" w:type="dxa"/>
            <w:bottom w:w="0" w:type="dxa"/>
            <w:right w:w="108" w:type="dxa"/>
          </w:tblCellMar>
        </w:tblPrEx>
        <w:trPr>
          <w:gridAfter w:val="1"/>
          <w:wAfter w:w="8" w:type="dxa"/>
          <w:trHeight w:val="285" w:hRule="atLeast"/>
          <w:jc w:val="center"/>
        </w:trPr>
        <w:tc>
          <w:tcPr>
            <w:tcW w:w="65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3</w:t>
            </w:r>
          </w:p>
        </w:tc>
        <w:tc>
          <w:tcPr>
            <w:tcW w:w="844"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机械耐久性</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≤0.5</w:t>
            </w:r>
          </w:p>
        </w:tc>
        <w:tc>
          <w:tcPr>
            <w:tcW w:w="936"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 w:hAnsi="宋体"/>
                <w:kern w:val="0"/>
                <w:sz w:val="18"/>
                <w:szCs w:val="18"/>
              </w:rPr>
              <w:t>≤0.6</w:t>
            </w:r>
          </w:p>
        </w:tc>
        <w:tc>
          <w:tcPr>
            <w:tcW w:w="76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≤0.2</w:t>
            </w:r>
          </w:p>
        </w:tc>
        <w:tc>
          <w:tcPr>
            <w:tcW w:w="68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≥43</w:t>
            </w:r>
          </w:p>
        </w:tc>
        <w:tc>
          <w:tcPr>
            <w:tcW w:w="921"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≥48</w:t>
            </w:r>
          </w:p>
        </w:tc>
        <w:tc>
          <w:tcPr>
            <w:tcW w:w="9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r>
              <w:rPr>
                <w:rFonts w:ascii="宋体_GB2312" w:hAnsi="宋体_GB2312" w:eastAsia="宋体_GB2312" w:cs="宋体"/>
                <w:kern w:val="0"/>
                <w:sz w:val="18"/>
                <w:szCs w:val="18"/>
              </w:rPr>
              <w:t>58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≤5</w:t>
            </w:r>
          </w:p>
        </w:tc>
        <w:tc>
          <w:tcPr>
            <w:tcW w:w="2880"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试验后，不得有机械损伤，插针表面无明显划痕</w:t>
            </w:r>
          </w:p>
        </w:tc>
      </w:tr>
      <w:tr>
        <w:tblPrEx>
          <w:tblCellMar>
            <w:top w:w="0" w:type="dxa"/>
            <w:left w:w="108" w:type="dxa"/>
            <w:bottom w:w="0" w:type="dxa"/>
            <w:right w:w="108" w:type="dxa"/>
          </w:tblCellMar>
        </w:tblPrEx>
        <w:trPr>
          <w:gridAfter w:val="1"/>
          <w:wAfter w:w="8" w:type="dxa"/>
          <w:trHeight w:val="285" w:hRule="atLeast"/>
          <w:jc w:val="center"/>
        </w:trPr>
        <w:tc>
          <w:tcPr>
            <w:tcW w:w="65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w:t>
            </w:r>
          </w:p>
        </w:tc>
        <w:tc>
          <w:tcPr>
            <w:tcW w:w="844"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抗拉试验</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≤0.5</w:t>
            </w:r>
          </w:p>
        </w:tc>
        <w:tc>
          <w:tcPr>
            <w:tcW w:w="936"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 w:hAnsi="宋体"/>
                <w:kern w:val="0"/>
                <w:sz w:val="18"/>
                <w:szCs w:val="18"/>
              </w:rPr>
              <w:t>≤0.6</w:t>
            </w:r>
          </w:p>
        </w:tc>
        <w:tc>
          <w:tcPr>
            <w:tcW w:w="76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≤0.1</w:t>
            </w:r>
          </w:p>
        </w:tc>
        <w:tc>
          <w:tcPr>
            <w:tcW w:w="68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≥43</w:t>
            </w:r>
          </w:p>
        </w:tc>
        <w:tc>
          <w:tcPr>
            <w:tcW w:w="921"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≥48</w:t>
            </w:r>
          </w:p>
        </w:tc>
        <w:tc>
          <w:tcPr>
            <w:tcW w:w="9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r>
              <w:rPr>
                <w:rFonts w:ascii="宋体_GB2312" w:hAnsi="宋体_GB2312" w:eastAsia="宋体_GB2312" w:cs="宋体"/>
                <w:kern w:val="0"/>
                <w:sz w:val="18"/>
                <w:szCs w:val="18"/>
              </w:rPr>
              <w:t>58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≤5</w:t>
            </w:r>
          </w:p>
        </w:tc>
        <w:tc>
          <w:tcPr>
            <w:tcW w:w="2880"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试验后，不得有机械损伤，插针表面无明显划痕</w:t>
            </w:r>
          </w:p>
        </w:tc>
      </w:tr>
      <w:tr>
        <w:tblPrEx>
          <w:tblCellMar>
            <w:top w:w="0" w:type="dxa"/>
            <w:left w:w="108" w:type="dxa"/>
            <w:bottom w:w="0" w:type="dxa"/>
            <w:right w:w="108" w:type="dxa"/>
          </w:tblCellMar>
        </w:tblPrEx>
        <w:trPr>
          <w:gridAfter w:val="1"/>
          <w:wAfter w:w="8" w:type="dxa"/>
          <w:trHeight w:val="285" w:hRule="atLeast"/>
          <w:jc w:val="center"/>
        </w:trPr>
        <w:tc>
          <w:tcPr>
            <w:tcW w:w="65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5</w:t>
            </w:r>
          </w:p>
        </w:tc>
        <w:tc>
          <w:tcPr>
            <w:tcW w:w="844"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扭转试验</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≤0.5</w:t>
            </w:r>
          </w:p>
        </w:tc>
        <w:tc>
          <w:tcPr>
            <w:tcW w:w="936"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 w:hAnsi="宋体"/>
                <w:kern w:val="0"/>
                <w:sz w:val="18"/>
                <w:szCs w:val="18"/>
              </w:rPr>
              <w:t>≤0.6</w:t>
            </w:r>
          </w:p>
        </w:tc>
        <w:tc>
          <w:tcPr>
            <w:tcW w:w="76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≤0.2</w:t>
            </w:r>
          </w:p>
        </w:tc>
        <w:tc>
          <w:tcPr>
            <w:tcW w:w="68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≥43</w:t>
            </w:r>
          </w:p>
        </w:tc>
        <w:tc>
          <w:tcPr>
            <w:tcW w:w="921"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≥48</w:t>
            </w:r>
          </w:p>
        </w:tc>
        <w:tc>
          <w:tcPr>
            <w:tcW w:w="9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r>
              <w:rPr>
                <w:rFonts w:ascii="宋体_GB2312" w:hAnsi="宋体_GB2312" w:eastAsia="宋体_GB2312" w:cs="宋体"/>
                <w:kern w:val="0"/>
                <w:sz w:val="18"/>
                <w:szCs w:val="18"/>
              </w:rPr>
              <w:t>58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≤5</w:t>
            </w:r>
          </w:p>
        </w:tc>
        <w:tc>
          <w:tcPr>
            <w:tcW w:w="2880"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试验后，不得有机械损伤，插针表面无明显划痕</w:t>
            </w:r>
          </w:p>
        </w:tc>
      </w:tr>
      <w:tr>
        <w:tblPrEx>
          <w:tblCellMar>
            <w:top w:w="0" w:type="dxa"/>
            <w:left w:w="108" w:type="dxa"/>
            <w:bottom w:w="0" w:type="dxa"/>
            <w:right w:w="108" w:type="dxa"/>
          </w:tblCellMar>
        </w:tblPrEx>
        <w:trPr>
          <w:gridAfter w:val="1"/>
          <w:wAfter w:w="8" w:type="dxa"/>
          <w:trHeight w:val="285" w:hRule="atLeast"/>
          <w:jc w:val="center"/>
        </w:trPr>
        <w:tc>
          <w:tcPr>
            <w:tcW w:w="65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6</w:t>
            </w:r>
          </w:p>
        </w:tc>
        <w:tc>
          <w:tcPr>
            <w:tcW w:w="844"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跌落试验</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≤0.5</w:t>
            </w:r>
          </w:p>
        </w:tc>
        <w:tc>
          <w:tcPr>
            <w:tcW w:w="936"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 w:hAnsi="宋体"/>
                <w:kern w:val="0"/>
                <w:sz w:val="18"/>
                <w:szCs w:val="18"/>
              </w:rPr>
              <w:t>≤0.6</w:t>
            </w:r>
          </w:p>
        </w:tc>
        <w:tc>
          <w:tcPr>
            <w:tcW w:w="76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≤0.2</w:t>
            </w:r>
          </w:p>
        </w:tc>
        <w:tc>
          <w:tcPr>
            <w:tcW w:w="68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≥43</w:t>
            </w:r>
          </w:p>
        </w:tc>
        <w:tc>
          <w:tcPr>
            <w:tcW w:w="921"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≥48</w:t>
            </w:r>
          </w:p>
        </w:tc>
        <w:tc>
          <w:tcPr>
            <w:tcW w:w="9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r>
              <w:rPr>
                <w:rFonts w:ascii="宋体_GB2312" w:hAnsi="宋体_GB2312" w:eastAsia="宋体_GB2312" w:cs="宋体"/>
                <w:kern w:val="0"/>
                <w:sz w:val="18"/>
                <w:szCs w:val="18"/>
              </w:rPr>
              <w:t>58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≤5</w:t>
            </w:r>
          </w:p>
        </w:tc>
        <w:tc>
          <w:tcPr>
            <w:tcW w:w="2880"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试验后，不得有机械损伤，插针表面无明显划痕</w:t>
            </w:r>
          </w:p>
        </w:tc>
      </w:tr>
      <w:tr>
        <w:tblPrEx>
          <w:tblCellMar>
            <w:top w:w="0" w:type="dxa"/>
            <w:left w:w="108" w:type="dxa"/>
            <w:bottom w:w="0" w:type="dxa"/>
            <w:right w:w="108" w:type="dxa"/>
          </w:tblCellMar>
        </w:tblPrEx>
        <w:trPr>
          <w:gridAfter w:val="1"/>
          <w:wAfter w:w="8" w:type="dxa"/>
          <w:trHeight w:val="285" w:hRule="atLeast"/>
          <w:jc w:val="center"/>
        </w:trPr>
        <w:tc>
          <w:tcPr>
            <w:tcW w:w="65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7</w:t>
            </w:r>
          </w:p>
        </w:tc>
        <w:tc>
          <w:tcPr>
            <w:tcW w:w="844"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重复性</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≤0.5</w:t>
            </w:r>
          </w:p>
        </w:tc>
        <w:tc>
          <w:tcPr>
            <w:tcW w:w="936"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 w:hAnsi="宋体"/>
                <w:kern w:val="0"/>
                <w:sz w:val="18"/>
                <w:szCs w:val="18"/>
              </w:rPr>
              <w:t>≤0.6</w:t>
            </w:r>
          </w:p>
        </w:tc>
        <w:tc>
          <w:tcPr>
            <w:tcW w:w="76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≤0.2</w:t>
            </w:r>
          </w:p>
        </w:tc>
        <w:tc>
          <w:tcPr>
            <w:tcW w:w="68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≥43</w:t>
            </w:r>
          </w:p>
        </w:tc>
        <w:tc>
          <w:tcPr>
            <w:tcW w:w="921"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≥48</w:t>
            </w:r>
          </w:p>
        </w:tc>
        <w:tc>
          <w:tcPr>
            <w:tcW w:w="9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r>
              <w:rPr>
                <w:rFonts w:ascii="宋体_GB2312" w:hAnsi="宋体_GB2312" w:eastAsia="宋体_GB2312" w:cs="宋体"/>
                <w:kern w:val="0"/>
                <w:sz w:val="18"/>
                <w:szCs w:val="18"/>
              </w:rPr>
              <w:t>58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≤5</w:t>
            </w:r>
          </w:p>
        </w:tc>
        <w:tc>
          <w:tcPr>
            <w:tcW w:w="2880"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试验后，不得有机械损伤，插针表面无明显划痕</w:t>
            </w:r>
          </w:p>
        </w:tc>
      </w:tr>
      <w:tr>
        <w:tblPrEx>
          <w:tblCellMar>
            <w:top w:w="0" w:type="dxa"/>
            <w:left w:w="108" w:type="dxa"/>
            <w:bottom w:w="0" w:type="dxa"/>
            <w:right w:w="108" w:type="dxa"/>
          </w:tblCellMar>
        </w:tblPrEx>
        <w:trPr>
          <w:gridAfter w:val="1"/>
          <w:wAfter w:w="8" w:type="dxa"/>
          <w:trHeight w:val="285" w:hRule="atLeast"/>
          <w:jc w:val="center"/>
        </w:trPr>
        <w:tc>
          <w:tcPr>
            <w:tcW w:w="65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8</w:t>
            </w:r>
          </w:p>
        </w:tc>
        <w:tc>
          <w:tcPr>
            <w:tcW w:w="844"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运输试验</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≤0.5</w:t>
            </w:r>
          </w:p>
        </w:tc>
        <w:tc>
          <w:tcPr>
            <w:tcW w:w="936"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 w:hAnsi="宋体"/>
                <w:kern w:val="0"/>
                <w:sz w:val="18"/>
                <w:szCs w:val="18"/>
              </w:rPr>
              <w:t>≤0.6</w:t>
            </w:r>
          </w:p>
        </w:tc>
        <w:tc>
          <w:tcPr>
            <w:tcW w:w="76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≤0.1</w:t>
            </w:r>
          </w:p>
        </w:tc>
        <w:tc>
          <w:tcPr>
            <w:tcW w:w="68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≥43</w:t>
            </w:r>
          </w:p>
        </w:tc>
        <w:tc>
          <w:tcPr>
            <w:tcW w:w="921"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≥48</w:t>
            </w:r>
          </w:p>
        </w:tc>
        <w:tc>
          <w:tcPr>
            <w:tcW w:w="9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r>
              <w:rPr>
                <w:rFonts w:ascii="宋体_GB2312" w:hAnsi="宋体_GB2312" w:eastAsia="宋体_GB2312" w:cs="宋体"/>
                <w:kern w:val="0"/>
                <w:sz w:val="18"/>
                <w:szCs w:val="18"/>
              </w:rPr>
              <w:t>58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≤5</w:t>
            </w:r>
          </w:p>
        </w:tc>
        <w:tc>
          <w:tcPr>
            <w:tcW w:w="2880"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试验后，不得有机械损伤，插针表面无明显划痕</w:t>
            </w:r>
          </w:p>
        </w:tc>
      </w:tr>
      <w:tr>
        <w:tblPrEx>
          <w:tblCellMar>
            <w:top w:w="0" w:type="dxa"/>
            <w:left w:w="108" w:type="dxa"/>
            <w:bottom w:w="0" w:type="dxa"/>
            <w:right w:w="108" w:type="dxa"/>
          </w:tblCellMar>
        </w:tblPrEx>
        <w:trPr>
          <w:gridAfter w:val="1"/>
          <w:wAfter w:w="8" w:type="dxa"/>
          <w:trHeight w:val="285" w:hRule="atLeast"/>
          <w:jc w:val="center"/>
        </w:trPr>
        <w:tc>
          <w:tcPr>
            <w:tcW w:w="65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9</w:t>
            </w:r>
          </w:p>
        </w:tc>
        <w:tc>
          <w:tcPr>
            <w:tcW w:w="844"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高温试验</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≤0.5</w:t>
            </w:r>
          </w:p>
        </w:tc>
        <w:tc>
          <w:tcPr>
            <w:tcW w:w="936"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 w:hAnsi="宋体"/>
                <w:kern w:val="0"/>
                <w:sz w:val="18"/>
                <w:szCs w:val="18"/>
              </w:rPr>
              <w:t>≤0.6</w:t>
            </w:r>
          </w:p>
        </w:tc>
        <w:tc>
          <w:tcPr>
            <w:tcW w:w="76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≤0.2</w:t>
            </w:r>
          </w:p>
        </w:tc>
        <w:tc>
          <w:tcPr>
            <w:tcW w:w="68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≥43</w:t>
            </w:r>
          </w:p>
        </w:tc>
        <w:tc>
          <w:tcPr>
            <w:tcW w:w="921"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≥48</w:t>
            </w:r>
          </w:p>
        </w:tc>
        <w:tc>
          <w:tcPr>
            <w:tcW w:w="9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r>
              <w:rPr>
                <w:rFonts w:ascii="宋体_GB2312" w:hAnsi="宋体_GB2312" w:eastAsia="宋体_GB2312" w:cs="宋体"/>
                <w:kern w:val="0"/>
                <w:sz w:val="18"/>
                <w:szCs w:val="18"/>
              </w:rPr>
              <w:t>58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≤5</w:t>
            </w:r>
          </w:p>
        </w:tc>
        <w:tc>
          <w:tcPr>
            <w:tcW w:w="2880"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试验后，不得有机械损伤，插针表面无明显划痕</w:t>
            </w:r>
          </w:p>
        </w:tc>
      </w:tr>
      <w:tr>
        <w:tblPrEx>
          <w:tblCellMar>
            <w:top w:w="0" w:type="dxa"/>
            <w:left w:w="108" w:type="dxa"/>
            <w:bottom w:w="0" w:type="dxa"/>
            <w:right w:w="108" w:type="dxa"/>
          </w:tblCellMar>
        </w:tblPrEx>
        <w:trPr>
          <w:gridAfter w:val="1"/>
          <w:wAfter w:w="8" w:type="dxa"/>
          <w:trHeight w:val="285" w:hRule="atLeast"/>
          <w:jc w:val="center"/>
        </w:trPr>
        <w:tc>
          <w:tcPr>
            <w:tcW w:w="65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10</w:t>
            </w:r>
          </w:p>
        </w:tc>
        <w:tc>
          <w:tcPr>
            <w:tcW w:w="844"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低温试验</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≤0.5</w:t>
            </w:r>
          </w:p>
        </w:tc>
        <w:tc>
          <w:tcPr>
            <w:tcW w:w="936"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 w:hAnsi="宋体"/>
                <w:kern w:val="0"/>
                <w:sz w:val="18"/>
                <w:szCs w:val="18"/>
              </w:rPr>
              <w:t>≤0.6</w:t>
            </w:r>
          </w:p>
        </w:tc>
        <w:tc>
          <w:tcPr>
            <w:tcW w:w="76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≤0.2</w:t>
            </w:r>
          </w:p>
        </w:tc>
        <w:tc>
          <w:tcPr>
            <w:tcW w:w="68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≥43</w:t>
            </w:r>
          </w:p>
        </w:tc>
        <w:tc>
          <w:tcPr>
            <w:tcW w:w="921"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≥48</w:t>
            </w:r>
          </w:p>
        </w:tc>
        <w:tc>
          <w:tcPr>
            <w:tcW w:w="9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r>
              <w:rPr>
                <w:rFonts w:ascii="宋体_GB2312" w:hAnsi="宋体_GB2312" w:eastAsia="宋体_GB2312" w:cs="宋体"/>
                <w:kern w:val="0"/>
                <w:sz w:val="18"/>
                <w:szCs w:val="18"/>
              </w:rPr>
              <w:t>58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≤5</w:t>
            </w:r>
          </w:p>
        </w:tc>
        <w:tc>
          <w:tcPr>
            <w:tcW w:w="2880"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试验后，不得有机械损伤，插针表面无明显划痕</w:t>
            </w:r>
          </w:p>
        </w:tc>
      </w:tr>
      <w:tr>
        <w:tblPrEx>
          <w:tblCellMar>
            <w:top w:w="0" w:type="dxa"/>
            <w:left w:w="108" w:type="dxa"/>
            <w:bottom w:w="0" w:type="dxa"/>
            <w:right w:w="108" w:type="dxa"/>
          </w:tblCellMar>
        </w:tblPrEx>
        <w:trPr>
          <w:gridAfter w:val="1"/>
          <w:wAfter w:w="8" w:type="dxa"/>
          <w:trHeight w:val="285" w:hRule="atLeast"/>
          <w:jc w:val="center"/>
        </w:trPr>
        <w:tc>
          <w:tcPr>
            <w:tcW w:w="65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ascii="宋体_GB2312" w:hAnsi="宋体_GB2312" w:eastAsia="宋体_GB2312" w:cs="宋体"/>
                <w:kern w:val="0"/>
                <w:sz w:val="18"/>
                <w:szCs w:val="18"/>
              </w:rPr>
              <w:t>1</w:t>
            </w:r>
            <w:r>
              <w:rPr>
                <w:rFonts w:hint="eastAsia" w:ascii="宋体_GB2312" w:hAnsi="宋体_GB2312" w:eastAsia="宋体_GB2312" w:cs="宋体"/>
                <w:kern w:val="0"/>
                <w:sz w:val="18"/>
                <w:szCs w:val="18"/>
              </w:rPr>
              <w:t>1</w:t>
            </w:r>
          </w:p>
        </w:tc>
        <w:tc>
          <w:tcPr>
            <w:tcW w:w="844"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湿热试验</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≤0.5</w:t>
            </w:r>
          </w:p>
        </w:tc>
        <w:tc>
          <w:tcPr>
            <w:tcW w:w="936"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 w:hAnsi="宋体"/>
                <w:kern w:val="0"/>
                <w:sz w:val="18"/>
                <w:szCs w:val="18"/>
              </w:rPr>
              <w:t>≤0.6</w:t>
            </w:r>
          </w:p>
        </w:tc>
        <w:tc>
          <w:tcPr>
            <w:tcW w:w="76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≤0.2</w:t>
            </w:r>
          </w:p>
        </w:tc>
        <w:tc>
          <w:tcPr>
            <w:tcW w:w="68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≥43</w:t>
            </w:r>
          </w:p>
        </w:tc>
        <w:tc>
          <w:tcPr>
            <w:tcW w:w="921"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≥48</w:t>
            </w:r>
          </w:p>
        </w:tc>
        <w:tc>
          <w:tcPr>
            <w:tcW w:w="9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r>
              <w:rPr>
                <w:rFonts w:ascii="宋体_GB2312" w:hAnsi="宋体_GB2312" w:eastAsia="宋体_GB2312" w:cs="宋体"/>
                <w:kern w:val="0"/>
                <w:sz w:val="18"/>
                <w:szCs w:val="18"/>
              </w:rPr>
              <w:t>58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≤5</w:t>
            </w:r>
          </w:p>
        </w:tc>
        <w:tc>
          <w:tcPr>
            <w:tcW w:w="2880"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试验后，不得有机械损伤，插针表面无明显划痕</w:t>
            </w:r>
          </w:p>
        </w:tc>
      </w:tr>
      <w:tr>
        <w:tblPrEx>
          <w:tblCellMar>
            <w:top w:w="0" w:type="dxa"/>
            <w:left w:w="108" w:type="dxa"/>
            <w:bottom w:w="0" w:type="dxa"/>
            <w:right w:w="108" w:type="dxa"/>
          </w:tblCellMar>
        </w:tblPrEx>
        <w:trPr>
          <w:gridAfter w:val="1"/>
          <w:wAfter w:w="8" w:type="dxa"/>
          <w:trHeight w:val="285" w:hRule="atLeast"/>
          <w:jc w:val="center"/>
        </w:trPr>
        <w:tc>
          <w:tcPr>
            <w:tcW w:w="652"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12</w:t>
            </w:r>
          </w:p>
        </w:tc>
        <w:tc>
          <w:tcPr>
            <w:tcW w:w="844"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盐雾试验</w:t>
            </w:r>
          </w:p>
        </w:tc>
        <w:tc>
          <w:tcPr>
            <w:tcW w:w="10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≤0.5</w:t>
            </w:r>
          </w:p>
        </w:tc>
        <w:tc>
          <w:tcPr>
            <w:tcW w:w="936"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 w:hAnsi="宋体"/>
                <w:kern w:val="0"/>
                <w:sz w:val="18"/>
                <w:szCs w:val="18"/>
              </w:rPr>
              <w:t>≤0.6</w:t>
            </w:r>
          </w:p>
        </w:tc>
        <w:tc>
          <w:tcPr>
            <w:tcW w:w="76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≤0.2</w:t>
            </w:r>
          </w:p>
        </w:tc>
        <w:tc>
          <w:tcPr>
            <w:tcW w:w="68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≥43</w:t>
            </w:r>
          </w:p>
        </w:tc>
        <w:tc>
          <w:tcPr>
            <w:tcW w:w="921" w:type="dxa"/>
            <w:tcBorders>
              <w:top w:val="nil"/>
              <w:left w:val="nil"/>
              <w:bottom w:val="single" w:color="auto" w:sz="4" w:space="0"/>
              <w:right w:val="single" w:color="auto" w:sz="4" w:space="0"/>
            </w:tcBorders>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≥48</w:t>
            </w:r>
          </w:p>
        </w:tc>
        <w:tc>
          <w:tcPr>
            <w:tcW w:w="900" w:type="dxa"/>
            <w:tcBorders>
              <w:top w:val="nil"/>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w:t>
            </w:r>
            <w:r>
              <w:rPr>
                <w:rFonts w:ascii="宋体_GB2312" w:hAnsi="宋体_GB2312" w:eastAsia="宋体_GB2312" w:cs="宋体"/>
                <w:kern w:val="0"/>
                <w:sz w:val="18"/>
                <w:szCs w:val="18"/>
              </w:rPr>
              <w:t>58</w:t>
            </w:r>
          </w:p>
        </w:tc>
        <w:tc>
          <w:tcPr>
            <w:tcW w:w="900" w:type="dxa"/>
            <w:tcBorders>
              <w:top w:val="nil"/>
              <w:left w:val="nil"/>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 w:val="18"/>
                <w:szCs w:val="18"/>
              </w:rPr>
            </w:pPr>
            <w:r>
              <w:rPr>
                <w:rFonts w:hint="eastAsia" w:ascii="宋体_GB2312" w:hAnsi="宋体_GB2312" w:eastAsia="宋体_GB2312" w:cs="宋体"/>
                <w:kern w:val="0"/>
                <w:sz w:val="18"/>
                <w:szCs w:val="18"/>
              </w:rPr>
              <w:t>≤5</w:t>
            </w:r>
          </w:p>
        </w:tc>
        <w:tc>
          <w:tcPr>
            <w:tcW w:w="2880" w:type="dxa"/>
            <w:gridSpan w:val="2"/>
            <w:tcBorders>
              <w:top w:val="nil"/>
              <w:left w:val="nil"/>
              <w:bottom w:val="single" w:color="auto" w:sz="4" w:space="0"/>
              <w:right w:val="single" w:color="auto" w:sz="4" w:space="0"/>
            </w:tcBorders>
            <w:shd w:val="clear" w:color="auto" w:fill="auto"/>
            <w:vAlign w:val="center"/>
          </w:tcPr>
          <w:p>
            <w:pPr>
              <w:widowControl/>
              <w:rPr>
                <w:rFonts w:ascii="宋体_GB2312" w:hAnsi="宋体_GB2312" w:eastAsia="宋体_GB2312" w:cs="宋体"/>
                <w:kern w:val="0"/>
                <w:sz w:val="18"/>
                <w:szCs w:val="18"/>
              </w:rPr>
            </w:pPr>
            <w:r>
              <w:rPr>
                <w:rFonts w:hint="eastAsia" w:ascii="宋体_GB2312" w:hAnsi="宋体_GB2312" w:eastAsia="宋体_GB2312" w:cs="宋体"/>
                <w:kern w:val="0"/>
                <w:sz w:val="18"/>
                <w:szCs w:val="18"/>
              </w:rPr>
              <w:t>试验后，不得有机械损伤，插针表面无明显划痕</w:t>
            </w:r>
          </w:p>
        </w:tc>
      </w:tr>
    </w:tbl>
    <w:p>
      <w:pPr>
        <w:pStyle w:val="42"/>
        <w:spacing w:line="560" w:lineRule="exact"/>
        <w:rPr>
          <w:rFonts w:ascii="宋体_GB2312" w:hAnsi="宋体_GB2312" w:eastAsia="宋体_GB2312"/>
          <w:sz w:val="24"/>
        </w:rPr>
      </w:pPr>
      <w:r>
        <w:rPr>
          <w:rFonts w:hint="eastAsia" w:ascii="宋体_GB2312" w:hAnsi="宋体_GB2312" w:eastAsia="宋体_GB2312"/>
          <w:sz w:val="24"/>
        </w:rPr>
        <w:t>3</w:t>
      </w:r>
      <w:r>
        <w:rPr>
          <w:rFonts w:ascii="宋体_GB2312" w:hAnsi="宋体_GB2312" w:eastAsia="宋体_GB2312"/>
          <w:sz w:val="24"/>
        </w:rPr>
        <w:t>.</w:t>
      </w:r>
      <w:r>
        <w:rPr>
          <w:rFonts w:hint="eastAsia" w:ascii="宋体_GB2312" w:hAnsi="宋体_GB2312" w:eastAsia="宋体_GB2312"/>
          <w:sz w:val="24"/>
        </w:rPr>
        <w:t>5</w:t>
      </w:r>
      <w:r>
        <w:rPr>
          <w:rFonts w:ascii="宋体_GB2312" w:hAnsi="宋体_GB2312" w:eastAsia="宋体_GB2312"/>
          <w:sz w:val="24"/>
        </w:rPr>
        <w:t>.</w:t>
      </w:r>
      <w:r>
        <w:rPr>
          <w:rFonts w:hint="eastAsia" w:ascii="宋体_GB2312" w:hAnsi="宋体_GB2312" w:eastAsia="宋体_GB2312"/>
          <w:sz w:val="24"/>
        </w:rPr>
        <w:t>3 光纤连接器及尾纤几何尺寸指标</w:t>
      </w:r>
      <w:bookmarkEnd w:id="98"/>
    </w:p>
    <w:p>
      <w:pPr>
        <w:spacing w:before="156" w:beforeLines="50" w:line="300" w:lineRule="auto"/>
        <w:ind w:firstLine="480" w:firstLineChars="200"/>
        <w:rPr>
          <w:rFonts w:ascii="宋体_GB2312" w:hAnsi="宋体_GB2312" w:eastAsia="宋体_GB2312"/>
          <w:sz w:val="24"/>
          <w:highlight w:val="none"/>
        </w:rPr>
      </w:pPr>
      <w:r>
        <w:rPr>
          <w:rFonts w:hint="eastAsia" w:ascii="宋体_GB2312" w:hAnsi="宋体_GB2312" w:eastAsia="宋体_GB2312"/>
          <w:sz w:val="24"/>
        </w:rPr>
        <w:t>光纤连接器及尾纤端面几何</w:t>
      </w:r>
      <w:r>
        <w:rPr>
          <w:rFonts w:hint="eastAsia" w:ascii="宋体_GB2312" w:hAnsi="宋体_GB2312" w:eastAsia="宋体_GB2312"/>
          <w:sz w:val="24"/>
          <w:highlight w:val="none"/>
        </w:rPr>
        <w:t>尺寸指标应符合表4的要求。</w:t>
      </w:r>
    </w:p>
    <w:p>
      <w:pPr>
        <w:widowControl/>
        <w:spacing w:line="360" w:lineRule="auto"/>
        <w:jc w:val="center"/>
        <w:rPr>
          <w:rFonts w:ascii="宋体_GB2312" w:hAnsi="宋体_GB2312" w:eastAsia="宋体_GB2312"/>
          <w:kern w:val="21"/>
          <w:sz w:val="24"/>
          <w:highlight w:val="none"/>
        </w:rPr>
      </w:pPr>
      <w:r>
        <w:rPr>
          <w:rFonts w:hint="eastAsia" w:ascii="宋体_GB2312" w:hAnsi="宋体_GB2312" w:eastAsia="宋体_GB2312"/>
          <w:kern w:val="21"/>
          <w:sz w:val="24"/>
          <w:highlight w:val="none"/>
        </w:rPr>
        <w:t>表4  光纤连接器端面几何尺寸指标</w:t>
      </w:r>
    </w:p>
    <w:tbl>
      <w:tblPr>
        <w:tblStyle w:val="27"/>
        <w:tblW w:w="95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75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6" w:hRule="atLeast"/>
        </w:trPr>
        <w:tc>
          <w:tcPr>
            <w:tcW w:w="1951" w:type="dxa"/>
            <w:shd w:val="clear" w:color="auto" w:fill="auto"/>
            <w:vAlign w:val="center"/>
          </w:tcPr>
          <w:p>
            <w:pPr>
              <w:spacing w:line="360" w:lineRule="auto"/>
              <w:jc w:val="center"/>
              <w:rPr>
                <w:rFonts w:ascii="宋体_GB2312" w:hAnsi="宋体_GB2312" w:eastAsia="宋体_GB2312"/>
                <w:kern w:val="0"/>
                <w:sz w:val="24"/>
                <w:highlight w:val="none"/>
              </w:rPr>
            </w:pPr>
            <w:r>
              <w:rPr>
                <w:rFonts w:ascii="宋体_GB2312" w:hAnsi="宋体_GB2312" w:eastAsia="宋体_GB2312"/>
                <w:kern w:val="0"/>
                <w:sz w:val="24"/>
                <w:highlight w:val="none"/>
              </w:rPr>
              <w:t>PC</w:t>
            </w:r>
            <w:r>
              <w:rPr>
                <w:rFonts w:hint="eastAsia" w:ascii="宋体_GB2312" w:hAnsi="宋体_GB2312" w:eastAsia="宋体_GB2312"/>
                <w:kern w:val="0"/>
                <w:sz w:val="24"/>
                <w:highlight w:val="none"/>
                <w:lang w:eastAsia="zh-CN"/>
              </w:rPr>
              <w:t>、</w:t>
            </w:r>
            <w:r>
              <w:rPr>
                <w:rFonts w:hint="eastAsia" w:ascii="宋体_GB2312" w:hAnsi="宋体_GB2312" w:eastAsia="宋体_GB2312"/>
                <w:kern w:val="0"/>
                <w:sz w:val="24"/>
                <w:highlight w:val="none"/>
                <w:lang w:val="en-US" w:eastAsia="zh-CN"/>
              </w:rPr>
              <w:t>UPC</w:t>
            </w:r>
            <w:r>
              <w:rPr>
                <w:rFonts w:ascii="宋体_GB2312" w:hAnsi="宋体_GB2312" w:eastAsia="宋体_GB2312"/>
                <w:kern w:val="0"/>
                <w:sz w:val="24"/>
                <w:highlight w:val="none"/>
              </w:rPr>
              <w:t>端面</w:t>
            </w:r>
          </w:p>
          <w:p>
            <w:pPr>
              <w:spacing w:line="360" w:lineRule="auto"/>
              <w:jc w:val="center"/>
              <w:rPr>
                <w:rFonts w:ascii="宋体_GB2312" w:hAnsi="宋体_GB2312" w:eastAsia="宋体_GB2312"/>
                <w:kern w:val="21"/>
                <w:sz w:val="24"/>
                <w:highlight w:val="none"/>
              </w:rPr>
            </w:pPr>
            <w:r>
              <w:rPr>
                <w:rFonts w:ascii="宋体_GB2312" w:hAnsi="宋体_GB2312" w:eastAsia="宋体_GB2312"/>
                <w:kern w:val="0"/>
                <w:sz w:val="24"/>
                <w:highlight w:val="none"/>
              </w:rPr>
              <w:t>几何尺寸</w:t>
            </w:r>
          </w:p>
        </w:tc>
        <w:tc>
          <w:tcPr>
            <w:tcW w:w="7563" w:type="dxa"/>
            <w:shd w:val="clear" w:color="auto" w:fill="auto"/>
          </w:tcPr>
          <w:p>
            <w:pPr>
              <w:spacing w:line="360" w:lineRule="auto"/>
              <w:rPr>
                <w:rFonts w:ascii="宋体_GB2312" w:hAnsi="宋体_GB2312" w:eastAsia="宋体_GB2312"/>
                <w:kern w:val="21"/>
                <w:sz w:val="24"/>
                <w:highlight w:val="none"/>
              </w:rPr>
            </w:pPr>
            <w:r>
              <w:rPr>
                <w:rFonts w:ascii="宋体_GB2312" w:hAnsi="宋体_GB2312" w:eastAsia="宋体_GB2312"/>
                <w:kern w:val="21"/>
                <w:sz w:val="24"/>
                <w:highlight w:val="none"/>
              </w:rPr>
              <w:t>试验条件: 试验前用端面几何尺寸测量仪检测，打印测量结果。</w:t>
            </w:r>
          </w:p>
          <w:p>
            <w:pPr>
              <w:spacing w:line="360" w:lineRule="auto"/>
              <w:rPr>
                <w:rFonts w:ascii="宋体_GB2312" w:hAnsi="宋体_GB2312" w:eastAsia="宋体_GB2312"/>
                <w:kern w:val="21"/>
                <w:sz w:val="24"/>
                <w:highlight w:val="none"/>
              </w:rPr>
            </w:pPr>
            <w:r>
              <w:rPr>
                <w:rFonts w:ascii="宋体_GB2312" w:hAnsi="宋体_GB2312" w:eastAsia="宋体_GB2312"/>
                <w:kern w:val="21"/>
                <w:sz w:val="24"/>
                <w:highlight w:val="none"/>
              </w:rPr>
              <w:t>判定标准：</w:t>
            </w:r>
          </w:p>
          <w:tbl>
            <w:tblPr>
              <w:tblStyle w:val="27"/>
              <w:tblW w:w="6407" w:type="dxa"/>
              <w:tblInd w:w="32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04"/>
              <w:gridCol w:w="51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vMerge w:val="restart"/>
                  <w:shd w:val="clear" w:color="auto" w:fill="auto"/>
                  <w:vAlign w:val="center"/>
                </w:tcPr>
                <w:p>
                  <w:pPr>
                    <w:spacing w:line="360" w:lineRule="auto"/>
                    <w:jc w:val="center"/>
                    <w:rPr>
                      <w:rFonts w:ascii="宋体_GB2312" w:hAnsi="宋体_GB2312" w:eastAsia="宋体_GB2312"/>
                      <w:kern w:val="21"/>
                      <w:sz w:val="24"/>
                      <w:highlight w:val="none"/>
                    </w:rPr>
                  </w:pPr>
                  <w:r>
                    <w:rPr>
                      <w:rFonts w:ascii="宋体_GB2312" w:hAnsi="宋体_GB2312" w:eastAsia="宋体_GB2312"/>
                      <w:kern w:val="21"/>
                      <w:sz w:val="24"/>
                      <w:highlight w:val="none"/>
                    </w:rPr>
                    <w:t>纤芯下陷</w:t>
                  </w:r>
                </w:p>
              </w:tc>
              <w:tc>
                <w:tcPr>
                  <w:tcW w:w="5103" w:type="dxa"/>
                  <w:shd w:val="clear" w:color="auto" w:fill="auto"/>
                </w:tcPr>
                <w:p>
                  <w:pPr>
                    <w:spacing w:line="360" w:lineRule="auto"/>
                    <w:rPr>
                      <w:rFonts w:ascii="宋体_GB2312" w:hAnsi="宋体_GB2312" w:eastAsia="宋体_GB2312"/>
                      <w:kern w:val="21"/>
                      <w:sz w:val="24"/>
                      <w:highlight w:val="none"/>
                    </w:rPr>
                  </w:pPr>
                  <w:r>
                    <w:rPr>
                      <w:rFonts w:ascii="宋体_GB2312" w:hAnsi="宋体_GB2312" w:eastAsia="宋体_GB2312"/>
                      <w:i/>
                      <w:kern w:val="0"/>
                      <w:sz w:val="24"/>
                      <w:highlight w:val="none"/>
                    </w:rPr>
                    <w:t>X</w:t>
                  </w:r>
                  <w:r>
                    <w:rPr>
                      <w:rFonts w:ascii="宋体_GB2312" w:hAnsi="宋体_GB2312" w:eastAsia="宋体_GB2312"/>
                      <w:kern w:val="0"/>
                      <w:sz w:val="24"/>
                      <w:highlight w:val="none"/>
                    </w:rPr>
                    <w:t>≤125nm(</w:t>
                  </w:r>
                  <w:r>
                    <w:rPr>
                      <w:rFonts w:ascii="宋体_GB2312" w:hAnsi="宋体_GB2312" w:eastAsia="宋体_GB2312"/>
                      <w:kern w:val="21"/>
                      <w:sz w:val="24"/>
                      <w:highlight w:val="none"/>
                    </w:rPr>
                    <w:t>曲率半径在7～10mm)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vMerge w:val="continue"/>
                  <w:shd w:val="clear" w:color="auto" w:fill="auto"/>
                </w:tcPr>
                <w:p>
                  <w:pPr>
                    <w:spacing w:line="360" w:lineRule="auto"/>
                    <w:rPr>
                      <w:rFonts w:ascii="宋体_GB2312" w:hAnsi="宋体_GB2312" w:eastAsia="宋体_GB2312"/>
                      <w:kern w:val="21"/>
                      <w:sz w:val="24"/>
                      <w:highlight w:val="none"/>
                    </w:rPr>
                  </w:pPr>
                </w:p>
              </w:tc>
              <w:tc>
                <w:tcPr>
                  <w:tcW w:w="5103" w:type="dxa"/>
                  <w:shd w:val="clear" w:color="auto" w:fill="auto"/>
                </w:tcPr>
                <w:p>
                  <w:pPr>
                    <w:spacing w:line="360" w:lineRule="auto"/>
                    <w:rPr>
                      <w:rFonts w:ascii="宋体_GB2312" w:hAnsi="宋体_GB2312" w:eastAsia="宋体_GB2312"/>
                      <w:kern w:val="21"/>
                      <w:sz w:val="24"/>
                      <w:highlight w:val="none"/>
                    </w:rPr>
                  </w:pPr>
                  <w:r>
                    <w:rPr>
                      <w:rFonts w:ascii="宋体_GB2312" w:hAnsi="宋体_GB2312" w:eastAsia="宋体_GB2312"/>
                      <w:i/>
                      <w:kern w:val="0"/>
                      <w:sz w:val="24"/>
                      <w:highlight w:val="none"/>
                    </w:rPr>
                    <w:t>X</w:t>
                  </w:r>
                  <w:r>
                    <w:rPr>
                      <w:rFonts w:ascii="宋体_GB2312" w:hAnsi="宋体_GB2312" w:eastAsia="宋体_GB2312"/>
                      <w:kern w:val="0"/>
                      <w:sz w:val="24"/>
                      <w:highlight w:val="none"/>
                    </w:rPr>
                    <w:t>≤-0.02R</w:t>
                  </w:r>
                  <w:r>
                    <w:rPr>
                      <w:rFonts w:ascii="宋体_GB2312" w:hAnsi="宋体_GB2312" w:eastAsia="宋体_GB2312"/>
                      <w:kern w:val="0"/>
                      <w:sz w:val="24"/>
                      <w:highlight w:val="none"/>
                      <w:vertAlign w:val="superscript"/>
                    </w:rPr>
                    <w:t>3</w:t>
                  </w:r>
                  <w:r>
                    <w:rPr>
                      <w:rFonts w:ascii="宋体_GB2312" w:hAnsi="宋体_GB2312" w:eastAsia="宋体_GB2312"/>
                      <w:kern w:val="0"/>
                      <w:sz w:val="24"/>
                      <w:highlight w:val="none"/>
                    </w:rPr>
                    <w:t>+1.3R</w:t>
                  </w:r>
                  <w:r>
                    <w:rPr>
                      <w:rFonts w:ascii="宋体_GB2312" w:hAnsi="宋体_GB2312" w:eastAsia="宋体_GB2312"/>
                      <w:kern w:val="0"/>
                      <w:sz w:val="24"/>
                      <w:highlight w:val="none"/>
                      <w:vertAlign w:val="superscript"/>
                    </w:rPr>
                    <w:t>2</w:t>
                  </w:r>
                  <w:r>
                    <w:rPr>
                      <w:rFonts w:ascii="宋体_GB2312" w:hAnsi="宋体_GB2312" w:eastAsia="宋体_GB2312"/>
                      <w:kern w:val="0"/>
                      <w:sz w:val="24"/>
                      <w:highlight w:val="none"/>
                    </w:rPr>
                    <w:t>-31R+325</w:t>
                  </w:r>
                  <w:r>
                    <w:rPr>
                      <w:rFonts w:hint="eastAsia" w:ascii="宋体_GB2312" w:hAnsi="宋体_GB2312" w:eastAsia="宋体_GB2312"/>
                      <w:kern w:val="0"/>
                      <w:sz w:val="24"/>
                      <w:highlight w:val="none"/>
                    </w:rPr>
                    <w:t>（</w:t>
                  </w:r>
                  <w:r>
                    <w:rPr>
                      <w:rFonts w:ascii="宋体_GB2312" w:hAnsi="宋体_GB2312" w:eastAsia="宋体_GB2312"/>
                      <w:kern w:val="0"/>
                      <w:sz w:val="24"/>
                      <w:highlight w:val="none"/>
                    </w:rPr>
                    <w:t>nm</w:t>
                  </w:r>
                  <w:r>
                    <w:rPr>
                      <w:rFonts w:hint="eastAsia" w:ascii="宋体_GB2312" w:hAnsi="宋体_GB2312" w:eastAsia="宋体_GB2312"/>
                      <w:kern w:val="0"/>
                      <w:sz w:val="24"/>
                      <w:highlight w:val="none"/>
                    </w:rPr>
                    <w:t>）</w:t>
                  </w:r>
                  <w:r>
                    <w:rPr>
                      <w:rFonts w:ascii="宋体_GB2312" w:hAnsi="宋体_GB2312" w:eastAsia="宋体_GB2312"/>
                      <w:kern w:val="0"/>
                      <w:sz w:val="24"/>
                      <w:highlight w:val="none"/>
                    </w:rPr>
                    <w:t>(其</w:t>
                  </w:r>
                  <w:r>
                    <w:rPr>
                      <w:rFonts w:hint="eastAsia" w:ascii="宋体_GB2312" w:hAnsi="宋体_GB2312" w:eastAsia="宋体_GB2312"/>
                      <w:kern w:val="0"/>
                      <w:sz w:val="24"/>
                      <w:highlight w:val="none"/>
                    </w:rPr>
                    <w:t>它</w:t>
                  </w:r>
                  <w:r>
                    <w:rPr>
                      <w:rFonts w:ascii="宋体_GB2312" w:hAnsi="宋体_GB2312" w:eastAsia="宋体_GB2312"/>
                      <w:kern w:val="21"/>
                      <w:sz w:val="24"/>
                      <w:highlight w:val="none"/>
                    </w:rPr>
                    <w:t>曲率半径)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shd w:val="clear" w:color="auto" w:fill="auto"/>
                </w:tcPr>
                <w:p>
                  <w:pPr>
                    <w:spacing w:line="360" w:lineRule="auto"/>
                    <w:jc w:val="center"/>
                    <w:rPr>
                      <w:rFonts w:ascii="宋体_GB2312" w:hAnsi="宋体_GB2312" w:eastAsia="宋体_GB2312"/>
                      <w:kern w:val="21"/>
                      <w:sz w:val="24"/>
                      <w:highlight w:val="none"/>
                    </w:rPr>
                  </w:pPr>
                  <w:r>
                    <w:rPr>
                      <w:rFonts w:ascii="宋体_GB2312" w:hAnsi="宋体_GB2312" w:eastAsia="宋体_GB2312"/>
                      <w:kern w:val="21"/>
                      <w:sz w:val="24"/>
                      <w:highlight w:val="none"/>
                    </w:rPr>
                    <w:t>纤芯突出</w:t>
                  </w:r>
                </w:p>
              </w:tc>
              <w:tc>
                <w:tcPr>
                  <w:tcW w:w="5103" w:type="dxa"/>
                  <w:shd w:val="clear" w:color="auto" w:fill="auto"/>
                </w:tcPr>
                <w:p>
                  <w:pPr>
                    <w:spacing w:line="360" w:lineRule="auto"/>
                    <w:rPr>
                      <w:rFonts w:ascii="宋体_GB2312" w:hAnsi="宋体_GB2312" w:eastAsia="宋体_GB2312"/>
                      <w:kern w:val="21"/>
                      <w:sz w:val="24"/>
                      <w:highlight w:val="none"/>
                    </w:rPr>
                  </w:pPr>
                  <w:r>
                    <w:rPr>
                      <w:rFonts w:ascii="宋体_GB2312" w:hAnsi="宋体_GB2312" w:eastAsia="宋体_GB2312"/>
                      <w:i/>
                      <w:kern w:val="21"/>
                      <w:sz w:val="24"/>
                      <w:highlight w:val="none"/>
                    </w:rPr>
                    <w:t>Y</w:t>
                  </w:r>
                  <w:r>
                    <w:rPr>
                      <w:rFonts w:ascii="宋体_GB2312" w:hAnsi="宋体_GB2312" w:eastAsia="宋体_GB2312"/>
                      <w:kern w:val="0"/>
                      <w:sz w:val="24"/>
                      <w:highlight w:val="none"/>
                    </w:rPr>
                    <w:t>≤50nm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shd w:val="clear" w:color="auto" w:fill="auto"/>
                </w:tcPr>
                <w:p>
                  <w:pPr>
                    <w:spacing w:line="360" w:lineRule="auto"/>
                    <w:jc w:val="center"/>
                    <w:rPr>
                      <w:rFonts w:ascii="宋体_GB2312" w:hAnsi="宋体_GB2312" w:eastAsia="宋体_GB2312"/>
                      <w:kern w:val="21"/>
                      <w:sz w:val="24"/>
                      <w:highlight w:val="none"/>
                    </w:rPr>
                  </w:pPr>
                  <w:r>
                    <w:rPr>
                      <w:rFonts w:ascii="宋体_GB2312" w:hAnsi="宋体_GB2312" w:eastAsia="宋体_GB2312"/>
                      <w:kern w:val="21"/>
                      <w:sz w:val="24"/>
                      <w:highlight w:val="none"/>
                    </w:rPr>
                    <w:t>曲率半径</w:t>
                  </w:r>
                </w:p>
              </w:tc>
              <w:tc>
                <w:tcPr>
                  <w:tcW w:w="5103" w:type="dxa"/>
                  <w:shd w:val="clear" w:color="auto" w:fill="auto"/>
                </w:tcPr>
                <w:p>
                  <w:pPr>
                    <w:spacing w:line="360" w:lineRule="auto"/>
                    <w:rPr>
                      <w:rFonts w:ascii="宋体_GB2312" w:hAnsi="宋体_GB2312" w:eastAsia="宋体_GB2312"/>
                      <w:kern w:val="21"/>
                      <w:sz w:val="24"/>
                      <w:highlight w:val="none"/>
                    </w:rPr>
                  </w:pPr>
                  <w:r>
                    <w:rPr>
                      <w:rFonts w:ascii="宋体_GB2312" w:hAnsi="宋体_GB2312" w:eastAsia="宋体_GB2312"/>
                      <w:i/>
                      <w:kern w:val="21"/>
                      <w:sz w:val="24"/>
                      <w:highlight w:val="none"/>
                    </w:rPr>
                    <w:t>R</w:t>
                  </w:r>
                  <w:r>
                    <w:rPr>
                      <w:rFonts w:ascii="宋体_GB2312" w:hAnsi="宋体_GB2312" w:eastAsia="宋体_GB2312"/>
                      <w:kern w:val="21"/>
                      <w:sz w:val="24"/>
                      <w:highlight w:val="none"/>
                    </w:rPr>
                    <w:t>=7～25mm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4" w:type="dxa"/>
                  <w:shd w:val="clear" w:color="auto" w:fill="auto"/>
                </w:tcPr>
                <w:p>
                  <w:pPr>
                    <w:spacing w:line="360" w:lineRule="auto"/>
                    <w:jc w:val="center"/>
                    <w:rPr>
                      <w:rFonts w:ascii="宋体_GB2312" w:hAnsi="宋体_GB2312" w:eastAsia="宋体_GB2312"/>
                      <w:kern w:val="21"/>
                      <w:sz w:val="24"/>
                      <w:highlight w:val="none"/>
                    </w:rPr>
                  </w:pPr>
                  <w:r>
                    <w:rPr>
                      <w:rFonts w:ascii="宋体_GB2312" w:hAnsi="宋体_GB2312" w:eastAsia="宋体_GB2312"/>
                      <w:kern w:val="21"/>
                      <w:sz w:val="24"/>
                      <w:highlight w:val="none"/>
                    </w:rPr>
                    <w:t>顶点偏移</w:t>
                  </w:r>
                </w:p>
              </w:tc>
              <w:tc>
                <w:tcPr>
                  <w:tcW w:w="5103" w:type="dxa"/>
                  <w:shd w:val="clear" w:color="auto" w:fill="auto"/>
                </w:tcPr>
                <w:p>
                  <w:pPr>
                    <w:spacing w:line="360" w:lineRule="auto"/>
                    <w:rPr>
                      <w:rFonts w:ascii="宋体_GB2312" w:hAnsi="宋体_GB2312" w:eastAsia="宋体_GB2312"/>
                      <w:kern w:val="21"/>
                      <w:sz w:val="24"/>
                      <w:highlight w:val="none"/>
                    </w:rPr>
                  </w:pPr>
                  <w:r>
                    <w:rPr>
                      <w:rFonts w:ascii="宋体_GB2312" w:hAnsi="宋体_GB2312" w:eastAsia="宋体_GB2312"/>
                      <w:kern w:val="21"/>
                      <w:sz w:val="24"/>
                      <w:highlight w:val="none"/>
                    </w:rPr>
                    <w:t>0～50μm</w:t>
                  </w:r>
                </w:p>
              </w:tc>
            </w:tr>
          </w:tbl>
          <w:p>
            <w:pPr>
              <w:spacing w:line="360" w:lineRule="auto"/>
              <w:rPr>
                <w:rFonts w:ascii="宋体_GB2312" w:hAnsi="宋体_GB2312" w:eastAsia="宋体_GB2312"/>
                <w:kern w:val="21"/>
                <w:sz w:val="24"/>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3" w:hRule="atLeast"/>
        </w:trPr>
        <w:tc>
          <w:tcPr>
            <w:tcW w:w="1951" w:type="dxa"/>
            <w:shd w:val="clear" w:color="auto" w:fill="auto"/>
            <w:vAlign w:val="center"/>
          </w:tcPr>
          <w:p>
            <w:pPr>
              <w:spacing w:line="360" w:lineRule="auto"/>
              <w:jc w:val="center"/>
              <w:rPr>
                <w:rFonts w:ascii="宋体_GB2312" w:hAnsi="宋体_GB2312" w:eastAsia="宋体_GB2312"/>
                <w:kern w:val="0"/>
                <w:sz w:val="24"/>
                <w:highlight w:val="none"/>
              </w:rPr>
            </w:pPr>
            <w:r>
              <w:rPr>
                <w:rFonts w:ascii="宋体_GB2312" w:hAnsi="宋体_GB2312" w:eastAsia="宋体_GB2312"/>
                <w:kern w:val="0"/>
                <w:sz w:val="24"/>
                <w:highlight w:val="none"/>
              </w:rPr>
              <w:t>APC端面</w:t>
            </w:r>
          </w:p>
          <w:p>
            <w:pPr>
              <w:spacing w:line="360" w:lineRule="auto"/>
              <w:jc w:val="center"/>
              <w:rPr>
                <w:rFonts w:ascii="宋体_GB2312" w:hAnsi="宋体_GB2312" w:eastAsia="宋体_GB2312"/>
                <w:kern w:val="21"/>
                <w:sz w:val="24"/>
                <w:highlight w:val="none"/>
              </w:rPr>
            </w:pPr>
            <w:r>
              <w:rPr>
                <w:rFonts w:ascii="宋体_GB2312" w:hAnsi="宋体_GB2312" w:eastAsia="宋体_GB2312"/>
                <w:kern w:val="0"/>
                <w:sz w:val="24"/>
                <w:highlight w:val="none"/>
              </w:rPr>
              <w:t>几何尺寸</w:t>
            </w:r>
          </w:p>
        </w:tc>
        <w:tc>
          <w:tcPr>
            <w:tcW w:w="7563" w:type="dxa"/>
            <w:shd w:val="clear" w:color="auto" w:fill="auto"/>
          </w:tcPr>
          <w:p>
            <w:pPr>
              <w:spacing w:line="360" w:lineRule="auto"/>
              <w:rPr>
                <w:rFonts w:ascii="宋体_GB2312" w:hAnsi="宋体_GB2312" w:eastAsia="宋体_GB2312"/>
                <w:kern w:val="21"/>
                <w:sz w:val="24"/>
                <w:highlight w:val="none"/>
              </w:rPr>
            </w:pPr>
            <w:r>
              <w:rPr>
                <w:rFonts w:ascii="宋体_GB2312" w:hAnsi="宋体_GB2312" w:eastAsia="宋体_GB2312"/>
                <w:kern w:val="21"/>
                <w:sz w:val="24"/>
                <w:highlight w:val="none"/>
              </w:rPr>
              <w:t>试验条件：试验前用端面几何尺寸测量仪检测，打印测量结果。</w:t>
            </w:r>
          </w:p>
          <w:p>
            <w:pPr>
              <w:spacing w:line="360" w:lineRule="auto"/>
              <w:rPr>
                <w:rFonts w:ascii="宋体_GB2312" w:hAnsi="宋体_GB2312" w:eastAsia="宋体_GB2312"/>
                <w:kern w:val="21"/>
                <w:sz w:val="24"/>
                <w:highlight w:val="none"/>
              </w:rPr>
            </w:pPr>
            <w:r>
              <w:rPr>
                <w:rFonts w:ascii="宋体_GB2312" w:hAnsi="宋体_GB2312" w:eastAsia="宋体_GB2312"/>
                <w:kern w:val="21"/>
                <w:sz w:val="24"/>
                <w:highlight w:val="none"/>
              </w:rPr>
              <w:t>判定标准：1 曲率半径:5～12mm；2 顶点偏移:0～50μm；3 纤芯凹陷:±100nm。</w:t>
            </w:r>
          </w:p>
        </w:tc>
      </w:tr>
      <w:bookmarkEnd w:id="99"/>
    </w:tbl>
    <w:p>
      <w:pPr>
        <w:pStyle w:val="42"/>
        <w:spacing w:line="560" w:lineRule="exact"/>
        <w:rPr>
          <w:rFonts w:ascii="宋体_GB2312" w:hAnsi="宋体_GB2312" w:eastAsia="宋体_GB2312"/>
          <w:sz w:val="24"/>
          <w:szCs w:val="24"/>
        </w:rPr>
      </w:pPr>
      <w:bookmarkStart w:id="100" w:name="_Toc362878576"/>
      <w:bookmarkStart w:id="101" w:name="_Toc361901853"/>
      <w:r>
        <w:rPr>
          <w:rFonts w:hint="eastAsia" w:ascii="宋体_GB2312" w:hAnsi="宋体_GB2312" w:eastAsia="宋体_GB2312"/>
          <w:sz w:val="24"/>
        </w:rPr>
        <w:t>3</w:t>
      </w:r>
      <w:r>
        <w:rPr>
          <w:rFonts w:ascii="宋体_GB2312" w:hAnsi="宋体_GB2312" w:eastAsia="宋体_GB2312"/>
          <w:sz w:val="24"/>
        </w:rPr>
        <w:t>.</w:t>
      </w:r>
      <w:r>
        <w:rPr>
          <w:rFonts w:hint="eastAsia" w:ascii="宋体_GB2312" w:hAnsi="宋体_GB2312" w:eastAsia="宋体_GB2312"/>
          <w:sz w:val="24"/>
        </w:rPr>
        <w:t>5</w:t>
      </w:r>
      <w:r>
        <w:rPr>
          <w:rFonts w:ascii="宋体_GB2312" w:hAnsi="宋体_GB2312" w:eastAsia="宋体_GB2312"/>
          <w:sz w:val="24"/>
        </w:rPr>
        <w:t>.</w:t>
      </w:r>
      <w:r>
        <w:rPr>
          <w:rFonts w:hint="eastAsia" w:ascii="宋体_GB2312" w:hAnsi="宋体_GB2312" w:eastAsia="宋体_GB2312"/>
          <w:sz w:val="24"/>
        </w:rPr>
        <w:t xml:space="preserve">4 </w:t>
      </w:r>
      <w:bookmarkEnd w:id="100"/>
      <w:r>
        <w:rPr>
          <w:rFonts w:hint="eastAsia" w:ascii="宋体_GB2312" w:hAnsi="宋体_GB2312" w:eastAsia="宋体_GB2312"/>
          <w:sz w:val="24"/>
          <w:szCs w:val="24"/>
        </w:rPr>
        <w:t>光纤活动连接器及尾纤各试验条件见表5。</w:t>
      </w:r>
    </w:p>
    <w:p>
      <w:pPr>
        <w:spacing w:line="360" w:lineRule="auto"/>
        <w:ind w:firstLine="960" w:firstLineChars="400"/>
        <w:jc w:val="center"/>
        <w:rPr>
          <w:rFonts w:ascii="宋体_GB2312" w:hAnsi="宋体_GB2312" w:eastAsia="宋体_GB2312"/>
          <w:kern w:val="21"/>
          <w:sz w:val="24"/>
        </w:rPr>
      </w:pPr>
      <w:r>
        <w:rPr>
          <w:rFonts w:ascii="宋体_GB2312" w:hAnsi="宋体_GB2312" w:eastAsia="宋体_GB2312"/>
          <w:kern w:val="21"/>
          <w:sz w:val="24"/>
        </w:rPr>
        <w:t>表5  光纤活动连接器及尾纤各试验条件</w:t>
      </w:r>
    </w:p>
    <w:tbl>
      <w:tblPr>
        <w:tblStyle w:val="27"/>
        <w:tblW w:w="8884" w:type="dxa"/>
        <w:jc w:val="center"/>
        <w:tblLayout w:type="fixed"/>
        <w:tblCellMar>
          <w:top w:w="0" w:type="dxa"/>
          <w:left w:w="108" w:type="dxa"/>
          <w:bottom w:w="0" w:type="dxa"/>
          <w:right w:w="108" w:type="dxa"/>
        </w:tblCellMar>
      </w:tblPr>
      <w:tblGrid>
        <w:gridCol w:w="753"/>
        <w:gridCol w:w="2160"/>
        <w:gridCol w:w="5971"/>
      </w:tblGrid>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rFonts w:ascii="宋体_GB2312" w:hAnsi="宋体_GB2312" w:eastAsia="宋体_GB2312"/>
                <w:kern w:val="0"/>
                <w:szCs w:val="21"/>
              </w:rPr>
            </w:pPr>
            <w:r>
              <w:rPr>
                <w:rFonts w:hint="eastAsia" w:ascii="宋体_GB2312" w:hAnsi="宋体_GB2312" w:eastAsia="宋体_GB2312"/>
                <w:kern w:val="0"/>
                <w:szCs w:val="21"/>
              </w:rPr>
              <w:t>编号</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left"/>
              <w:rPr>
                <w:rFonts w:ascii="宋体_GB2312" w:hAnsi="宋体_GB2312" w:eastAsia="宋体_GB2312"/>
                <w:kern w:val="0"/>
                <w:szCs w:val="21"/>
              </w:rPr>
            </w:pPr>
            <w:r>
              <w:rPr>
                <w:rFonts w:hint="eastAsia" w:ascii="宋体_GB2312" w:hAnsi="宋体_GB2312" w:eastAsia="宋体_GB2312"/>
                <w:kern w:val="0"/>
                <w:szCs w:val="21"/>
              </w:rPr>
              <w:t>项目名称</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center"/>
              <w:rPr>
                <w:rFonts w:ascii="宋体_GB2312" w:hAnsi="宋体_GB2312" w:eastAsia="宋体_GB2312"/>
                <w:kern w:val="0"/>
                <w:szCs w:val="21"/>
              </w:rPr>
            </w:pPr>
            <w:r>
              <w:rPr>
                <w:rFonts w:hint="eastAsia" w:ascii="宋体_GB2312" w:hAnsi="宋体_GB2312" w:eastAsia="宋体_GB2312"/>
                <w:kern w:val="0"/>
                <w:szCs w:val="21"/>
              </w:rPr>
              <w:t>条件要求</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rPr>
            </w:pPr>
            <w:r>
              <w:rPr>
                <w:rFonts w:hint="eastAsia" w:ascii="宋体_GB2312" w:hAnsi="宋体_GB2312" w:eastAsia="宋体_GB2312"/>
                <w:kern w:val="0"/>
                <w:szCs w:val="21"/>
              </w:rPr>
              <w:t>1</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left"/>
              <w:rPr>
                <w:rFonts w:ascii="宋体_GB2312" w:hAnsi="宋体_GB2312" w:eastAsia="宋体_GB2312"/>
                <w:kern w:val="0"/>
                <w:szCs w:val="21"/>
              </w:rPr>
            </w:pPr>
            <w:r>
              <w:rPr>
                <w:rFonts w:hint="eastAsia" w:ascii="宋体_GB2312" w:hAnsi="宋体_GB2312" w:eastAsia="宋体_GB2312"/>
                <w:kern w:val="0"/>
                <w:szCs w:val="21"/>
              </w:rPr>
              <w:t>机械耐久性</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center"/>
              <w:rPr>
                <w:rFonts w:ascii="宋体_GB2312" w:hAnsi="宋体_GB2312" w:eastAsia="宋体_GB2312"/>
                <w:kern w:val="0"/>
                <w:szCs w:val="21"/>
              </w:rPr>
            </w:pPr>
            <w:r>
              <w:rPr>
                <w:rFonts w:hint="eastAsia" w:ascii="宋体_GB2312" w:hAnsi="宋体_GB2312" w:eastAsia="宋体_GB2312"/>
                <w:kern w:val="0"/>
                <w:szCs w:val="21"/>
              </w:rPr>
              <w:t>插拔</w:t>
            </w:r>
            <w:r>
              <w:rPr>
                <w:rFonts w:ascii="宋体_GB2312" w:hAnsi="宋体_GB2312" w:eastAsia="宋体_GB2312"/>
                <w:kern w:val="0"/>
                <w:szCs w:val="21"/>
              </w:rPr>
              <w:t>1000</w:t>
            </w:r>
            <w:r>
              <w:rPr>
                <w:rFonts w:hint="eastAsia" w:ascii="宋体_GB2312" w:hAnsi="宋体_GB2312" w:eastAsia="宋体_GB2312"/>
                <w:kern w:val="0"/>
                <w:szCs w:val="21"/>
              </w:rPr>
              <w:t>次</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rPr>
            </w:pPr>
            <w:r>
              <w:rPr>
                <w:rFonts w:hint="eastAsia" w:ascii="宋体_GB2312" w:hAnsi="宋体_GB2312" w:eastAsia="宋体_GB2312"/>
                <w:kern w:val="0"/>
                <w:szCs w:val="21"/>
              </w:rPr>
              <w:t>2</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left"/>
              <w:rPr>
                <w:rFonts w:ascii="宋体_GB2312" w:hAnsi="宋体_GB2312" w:eastAsia="宋体_GB2312"/>
                <w:kern w:val="0"/>
                <w:szCs w:val="21"/>
              </w:rPr>
            </w:pPr>
            <w:r>
              <w:rPr>
                <w:rFonts w:hint="eastAsia" w:ascii="宋体_GB2312" w:hAnsi="宋体_GB2312" w:eastAsia="宋体_GB2312"/>
                <w:kern w:val="0"/>
                <w:szCs w:val="21"/>
              </w:rPr>
              <w:t>抗拉试验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80" w:firstLineChars="200"/>
              <w:jc w:val="center"/>
              <w:rPr>
                <w:rFonts w:ascii="宋体_GB2312" w:hAnsi="宋体_GB2312" w:eastAsia="宋体_GB2312"/>
                <w:kern w:val="0"/>
                <w:szCs w:val="21"/>
              </w:rPr>
            </w:pPr>
            <w:r>
              <w:rPr>
                <w:rFonts w:hint="eastAsia" w:ascii="宋体_GB2312" w:hAnsi="宋体_GB2312" w:eastAsia="宋体_GB2312"/>
                <w:sz w:val="24"/>
                <w:lang w:val="en-US" w:eastAsia="zh-CN"/>
              </w:rPr>
              <w:t>按</w:t>
            </w:r>
            <w:r>
              <w:rPr>
                <w:rFonts w:hint="eastAsia" w:ascii="宋体_GB2312" w:hAnsi="宋体_GB2312" w:eastAsia="宋体_GB2312"/>
                <w:sz w:val="24"/>
              </w:rPr>
              <w:fldChar w:fldCharType="begin"/>
            </w:r>
            <w:r>
              <w:rPr>
                <w:rFonts w:hint="eastAsia" w:ascii="宋体_GB2312" w:hAnsi="宋体_GB2312" w:eastAsia="宋体_GB2312"/>
                <w:sz w:val="24"/>
              </w:rPr>
              <w:instrText xml:space="preserve"> HYPERLINK "http://www.ccsa.org.cn/tech_doc/show.php3?source=yd&amp;id=1480" </w:instrText>
            </w:r>
            <w:r>
              <w:rPr>
                <w:rFonts w:hint="eastAsia" w:ascii="宋体_GB2312" w:hAnsi="宋体_GB2312" w:eastAsia="宋体_GB2312"/>
                <w:sz w:val="24"/>
              </w:rPr>
              <w:fldChar w:fldCharType="separate"/>
            </w:r>
            <w:r>
              <w:rPr>
                <w:rFonts w:ascii="宋体_GB2312" w:hAnsi="宋体_GB2312" w:eastAsia="宋体_GB2312"/>
                <w:sz w:val="24"/>
              </w:rPr>
              <w:t>YD/T 1272</w:t>
            </w:r>
            <w:r>
              <w:rPr>
                <w:rFonts w:hint="eastAsia" w:ascii="宋体_GB2312" w:hAnsi="宋体_GB2312" w:eastAsia="宋体_GB2312"/>
                <w:sz w:val="24"/>
                <w:lang w:val="en-US" w:eastAsia="zh-CN"/>
              </w:rPr>
              <w:t>要求</w:t>
            </w:r>
            <w:r>
              <w:rPr>
                <w:rFonts w:hint="eastAsia" w:ascii="宋体_GB2312" w:hAnsi="宋体_GB2312" w:eastAsia="宋体_GB2312"/>
                <w:sz w:val="24"/>
              </w:rPr>
              <w:fldChar w:fldCharType="end"/>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rPr>
            </w:pPr>
            <w:r>
              <w:rPr>
                <w:rFonts w:hint="eastAsia" w:ascii="宋体_GB2312" w:hAnsi="宋体_GB2312" w:eastAsia="宋体_GB2312"/>
                <w:kern w:val="0"/>
                <w:szCs w:val="21"/>
              </w:rPr>
              <w:t>3</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left"/>
              <w:rPr>
                <w:rFonts w:ascii="宋体_GB2312" w:hAnsi="宋体_GB2312" w:eastAsia="宋体_GB2312"/>
                <w:kern w:val="0"/>
                <w:szCs w:val="21"/>
              </w:rPr>
            </w:pPr>
            <w:r>
              <w:rPr>
                <w:rFonts w:hint="eastAsia" w:ascii="宋体_GB2312" w:hAnsi="宋体_GB2312" w:eastAsia="宋体_GB2312"/>
                <w:kern w:val="0"/>
                <w:szCs w:val="21"/>
              </w:rPr>
              <w:t>高温试验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center"/>
              <w:rPr>
                <w:rFonts w:ascii="宋体_GB2312" w:hAnsi="宋体_GB2312" w:eastAsia="宋体_GB2312"/>
                <w:kern w:val="0"/>
                <w:szCs w:val="21"/>
              </w:rPr>
            </w:pPr>
            <w:r>
              <w:rPr>
                <w:rFonts w:hint="eastAsia" w:ascii="宋体_GB2312" w:hAnsi="宋体_GB2312" w:eastAsia="宋体_GB2312"/>
                <w:kern w:val="0"/>
                <w:szCs w:val="21"/>
              </w:rPr>
              <w:t>交接箱+60℃±2℃</w:t>
            </w:r>
            <w:r>
              <w:rPr>
                <w:rFonts w:ascii="宋体_GB2312" w:hAnsi="宋体_GB2312" w:eastAsia="宋体_GB2312"/>
                <w:kern w:val="0"/>
                <w:szCs w:val="21"/>
              </w:rPr>
              <w:t>，8h</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rPr>
            </w:pPr>
            <w:r>
              <w:rPr>
                <w:rFonts w:hint="eastAsia" w:ascii="宋体_GB2312" w:hAnsi="宋体_GB2312" w:eastAsia="宋体_GB2312"/>
                <w:kern w:val="0"/>
                <w:szCs w:val="21"/>
              </w:rPr>
              <w:t>4</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left"/>
              <w:rPr>
                <w:rFonts w:ascii="宋体_GB2312" w:hAnsi="宋体_GB2312" w:eastAsia="宋体_GB2312"/>
                <w:kern w:val="0"/>
                <w:szCs w:val="21"/>
              </w:rPr>
            </w:pPr>
            <w:r>
              <w:rPr>
                <w:rFonts w:hint="eastAsia" w:ascii="宋体_GB2312" w:hAnsi="宋体_GB2312" w:eastAsia="宋体_GB2312"/>
                <w:kern w:val="0"/>
                <w:szCs w:val="21"/>
              </w:rPr>
              <w:t>低温试验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center"/>
              <w:rPr>
                <w:rFonts w:ascii="宋体_GB2312" w:hAnsi="宋体_GB2312" w:eastAsia="宋体_GB2312"/>
                <w:kern w:val="0"/>
                <w:szCs w:val="21"/>
              </w:rPr>
            </w:pPr>
            <w:r>
              <w:rPr>
                <w:rFonts w:hint="eastAsia" w:ascii="宋体_GB2312" w:hAnsi="宋体_GB2312" w:eastAsia="宋体_GB2312" w:cs="宋体"/>
                <w:kern w:val="0"/>
                <w:szCs w:val="21"/>
              </w:rPr>
              <w:t>交接箱-40℃±3℃，8h</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rPr>
            </w:pPr>
            <w:r>
              <w:rPr>
                <w:rFonts w:hint="eastAsia" w:ascii="宋体_GB2312" w:hAnsi="宋体_GB2312" w:eastAsia="宋体_GB2312"/>
                <w:kern w:val="0"/>
                <w:szCs w:val="21"/>
              </w:rPr>
              <w:t>5</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left"/>
              <w:rPr>
                <w:rFonts w:ascii="宋体_GB2312" w:hAnsi="宋体_GB2312" w:eastAsia="宋体_GB2312"/>
                <w:kern w:val="0"/>
                <w:szCs w:val="21"/>
              </w:rPr>
            </w:pPr>
            <w:r>
              <w:rPr>
                <w:rFonts w:hint="eastAsia" w:ascii="宋体_GB2312" w:hAnsi="宋体_GB2312" w:eastAsia="宋体_GB2312"/>
                <w:kern w:val="0"/>
                <w:szCs w:val="21"/>
              </w:rPr>
              <w:t>湿热试验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cs="宋体"/>
                <w:kern w:val="0"/>
                <w:szCs w:val="21"/>
              </w:rPr>
            </w:pPr>
            <w:r>
              <w:rPr>
                <w:rFonts w:hint="eastAsia" w:ascii="宋体_GB2312" w:hAnsi="宋体_GB2312" w:eastAsia="宋体_GB2312" w:cs="宋体"/>
                <w:kern w:val="0"/>
                <w:szCs w:val="21"/>
              </w:rPr>
              <w:t>交接箱+40℃±2℃</w:t>
            </w:r>
            <w:r>
              <w:rPr>
                <w:rFonts w:ascii="宋体_GB2312" w:hAnsi="宋体_GB2312" w:eastAsia="宋体_GB2312" w:cs="宋体"/>
                <w:kern w:val="0"/>
                <w:szCs w:val="21"/>
              </w:rPr>
              <w:t>，</w:t>
            </w:r>
            <w:r>
              <w:rPr>
                <w:rFonts w:hint="eastAsia" w:ascii="宋体_GB2312" w:hAnsi="宋体_GB2312" w:eastAsia="宋体_GB2312" w:cs="宋体"/>
                <w:kern w:val="0"/>
                <w:szCs w:val="21"/>
              </w:rPr>
              <w:t>1</w:t>
            </w:r>
            <w:r>
              <w:rPr>
                <w:rFonts w:ascii="宋体_GB2312" w:hAnsi="宋体_GB2312" w:eastAsia="宋体_GB2312" w:cs="宋体"/>
                <w:kern w:val="0"/>
                <w:szCs w:val="21"/>
              </w:rPr>
              <w:t>44</w:t>
            </w:r>
            <w:r>
              <w:rPr>
                <w:rFonts w:hint="eastAsia" w:ascii="宋体_GB2312" w:hAnsi="宋体_GB2312" w:eastAsia="宋体_GB2312" w:cs="宋体"/>
                <w:kern w:val="0"/>
                <w:szCs w:val="21"/>
              </w:rPr>
              <w:t>h</w:t>
            </w:r>
          </w:p>
          <w:p>
            <w:pPr>
              <w:widowControl/>
              <w:ind w:firstLine="420" w:firstLineChars="200"/>
              <w:jc w:val="center"/>
              <w:rPr>
                <w:rFonts w:ascii="宋体_GB2312" w:hAnsi="宋体_GB2312" w:eastAsia="宋体_GB2312"/>
                <w:kern w:val="0"/>
                <w:szCs w:val="21"/>
              </w:rPr>
            </w:pPr>
            <w:r>
              <w:rPr>
                <w:rFonts w:hint="eastAsia" w:ascii="宋体_GB2312" w:hAnsi="宋体_GB2312" w:eastAsia="宋体_GB2312" w:cs="宋体"/>
                <w:kern w:val="0"/>
                <w:szCs w:val="21"/>
              </w:rPr>
              <w:t>相对湿度93%±3%，48</w:t>
            </w:r>
            <w:r>
              <w:rPr>
                <w:rFonts w:ascii="宋体_GB2312" w:hAnsi="宋体_GB2312" w:eastAsia="宋体_GB2312" w:cs="宋体"/>
                <w:kern w:val="0"/>
                <w:szCs w:val="21"/>
              </w:rPr>
              <w:t>h</w:t>
            </w:r>
            <w:r>
              <w:rPr>
                <w:rFonts w:hint="eastAsia" w:ascii="宋体_GB2312" w:hAnsi="宋体_GB2312" w:eastAsia="宋体_GB2312" w:cs="宋体"/>
                <w:kern w:val="0"/>
                <w:szCs w:val="21"/>
              </w:rPr>
              <w:t>（GB/T 2423.3）</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rPr>
            </w:pPr>
            <w:r>
              <w:rPr>
                <w:rFonts w:hint="eastAsia" w:ascii="宋体_GB2312" w:hAnsi="宋体_GB2312" w:eastAsia="宋体_GB2312"/>
                <w:kern w:val="0"/>
                <w:szCs w:val="21"/>
              </w:rPr>
              <w:t>6</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left"/>
              <w:rPr>
                <w:rFonts w:ascii="宋体_GB2312" w:hAnsi="宋体_GB2312" w:eastAsia="宋体_GB2312"/>
                <w:kern w:val="0"/>
                <w:szCs w:val="21"/>
              </w:rPr>
            </w:pPr>
            <w:r>
              <w:rPr>
                <w:rFonts w:hint="eastAsia" w:ascii="宋体_GB2312" w:hAnsi="宋体_GB2312" w:eastAsia="宋体_GB2312"/>
                <w:kern w:val="0"/>
                <w:szCs w:val="21"/>
              </w:rPr>
              <w:t>盐雾试验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center"/>
              <w:rPr>
                <w:rFonts w:ascii="宋体_GB2312" w:hAnsi="宋体_GB2312" w:eastAsia="宋体_GB2312"/>
                <w:kern w:val="0"/>
                <w:szCs w:val="21"/>
              </w:rPr>
            </w:pPr>
            <w:r>
              <w:rPr>
                <w:rFonts w:hint="eastAsia" w:ascii="宋体_GB2312" w:hAnsi="宋体_GB2312" w:eastAsia="宋体_GB2312"/>
                <w:kern w:val="0"/>
                <w:szCs w:val="21"/>
              </w:rPr>
              <w:t>盐水浓度5%（质量百分比），PH值6.5～7.2（35±2℃）之间，48h</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rPr>
            </w:pPr>
            <w:r>
              <w:rPr>
                <w:rFonts w:hint="eastAsia" w:ascii="宋体_GB2312" w:hAnsi="宋体_GB2312" w:eastAsia="宋体_GB2312"/>
                <w:kern w:val="0"/>
                <w:szCs w:val="21"/>
              </w:rPr>
              <w:t>7</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left"/>
              <w:rPr>
                <w:rFonts w:ascii="宋体_GB2312" w:hAnsi="宋体_GB2312" w:eastAsia="宋体_GB2312"/>
                <w:kern w:val="0"/>
                <w:szCs w:val="21"/>
              </w:rPr>
            </w:pPr>
            <w:r>
              <w:rPr>
                <w:rFonts w:hint="eastAsia" w:ascii="宋体_GB2312" w:hAnsi="宋体_GB2312" w:eastAsia="宋体_GB2312"/>
                <w:kern w:val="0"/>
                <w:szCs w:val="21"/>
              </w:rPr>
              <w:t>运输试验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center"/>
              <w:rPr>
                <w:rFonts w:ascii="宋体_GB2312" w:hAnsi="宋体_GB2312" w:eastAsia="宋体_GB2312"/>
                <w:kern w:val="0"/>
                <w:szCs w:val="21"/>
              </w:rPr>
            </w:pPr>
            <w:r>
              <w:rPr>
                <w:rFonts w:hint="eastAsia" w:ascii="宋体_GB2312" w:hAnsi="宋体_GB2312" w:eastAsia="宋体_GB2312"/>
                <w:kern w:val="0"/>
                <w:szCs w:val="21"/>
              </w:rPr>
              <w:t>频率</w:t>
            </w:r>
            <w:r>
              <w:rPr>
                <w:rFonts w:ascii="宋体_GB2312" w:hAnsi="宋体_GB2312" w:eastAsia="宋体_GB2312"/>
                <w:kern w:val="0"/>
                <w:szCs w:val="21"/>
              </w:rPr>
              <w:t>(10</w:t>
            </w:r>
            <w:r>
              <w:rPr>
                <w:rFonts w:hint="eastAsia" w:ascii="宋体_GB2312" w:hAnsi="宋体_GB2312" w:eastAsia="宋体_GB2312"/>
                <w:kern w:val="0"/>
                <w:szCs w:val="21"/>
              </w:rPr>
              <w:t>～</w:t>
            </w:r>
            <w:r>
              <w:rPr>
                <w:rFonts w:ascii="宋体_GB2312" w:hAnsi="宋体_GB2312" w:eastAsia="宋体_GB2312"/>
                <w:kern w:val="0"/>
                <w:szCs w:val="21"/>
              </w:rPr>
              <w:t>55)Hz</w:t>
            </w:r>
            <w:r>
              <w:rPr>
                <w:rFonts w:hint="eastAsia" w:ascii="宋体_GB2312" w:hAnsi="宋体_GB2312" w:eastAsia="宋体_GB2312"/>
                <w:kern w:val="0"/>
                <w:szCs w:val="21"/>
              </w:rPr>
              <w:t>；振幅0.75</w:t>
            </w:r>
            <w:r>
              <w:rPr>
                <w:rFonts w:ascii="宋体_GB2312" w:hAnsi="宋体_GB2312" w:eastAsia="宋体_GB2312"/>
                <w:kern w:val="0"/>
                <w:szCs w:val="21"/>
              </w:rPr>
              <w:t>mm</w:t>
            </w:r>
            <w:r>
              <w:rPr>
                <w:rFonts w:hint="eastAsia" w:ascii="宋体_GB2312" w:hAnsi="宋体_GB2312" w:eastAsia="宋体_GB2312"/>
                <w:kern w:val="0"/>
                <w:szCs w:val="21"/>
              </w:rPr>
              <w:t>；扫描速度</w:t>
            </w:r>
            <w:r>
              <w:rPr>
                <w:rFonts w:ascii="宋体_GB2312" w:hAnsi="宋体_GB2312" w:eastAsia="宋体_GB2312"/>
                <w:kern w:val="0"/>
                <w:szCs w:val="21"/>
              </w:rPr>
              <w:t>loct/min</w:t>
            </w:r>
            <w:r>
              <w:rPr>
                <w:rFonts w:hint="eastAsia" w:ascii="宋体_GB2312" w:hAnsi="宋体_GB2312" w:eastAsia="宋体_GB2312"/>
                <w:kern w:val="0"/>
                <w:szCs w:val="21"/>
              </w:rPr>
              <w:t>，容差10%；每个方向持续30min</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rPr>
            </w:pPr>
            <w:r>
              <w:rPr>
                <w:rFonts w:hint="eastAsia" w:ascii="宋体_GB2312" w:hAnsi="宋体_GB2312" w:eastAsia="宋体_GB2312"/>
                <w:kern w:val="0"/>
                <w:szCs w:val="21"/>
              </w:rPr>
              <w:t>8</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left"/>
              <w:rPr>
                <w:rFonts w:ascii="宋体_GB2312" w:hAnsi="宋体_GB2312" w:eastAsia="宋体_GB2312"/>
                <w:kern w:val="0"/>
                <w:szCs w:val="21"/>
              </w:rPr>
            </w:pPr>
            <w:r>
              <w:rPr>
                <w:rFonts w:hint="eastAsia" w:ascii="宋体_GB2312" w:hAnsi="宋体_GB2312" w:eastAsia="宋体_GB2312"/>
                <w:kern w:val="0"/>
                <w:szCs w:val="21"/>
              </w:rPr>
              <w:t>扭转试验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center"/>
              <w:rPr>
                <w:rFonts w:ascii="宋体_GB2312" w:hAnsi="宋体_GB2312" w:eastAsia="宋体_GB2312"/>
                <w:kern w:val="0"/>
                <w:szCs w:val="21"/>
              </w:rPr>
            </w:pPr>
            <w:r>
              <w:rPr>
                <w:rFonts w:hint="eastAsia" w:ascii="宋体_GB2312" w:hAnsi="宋体_GB2312" w:eastAsia="宋体_GB2312"/>
                <w:kern w:val="0"/>
                <w:szCs w:val="21"/>
              </w:rPr>
              <w:t>负载量</w:t>
            </w:r>
            <w:r>
              <w:rPr>
                <w:rFonts w:ascii="宋体_GB2312" w:hAnsi="宋体_GB2312" w:eastAsia="宋体_GB2312"/>
                <w:kern w:val="0"/>
                <w:szCs w:val="21"/>
              </w:rPr>
              <w:t>14.7N，10次/min，200次（Φ1.0mm以下尾纤（缆）的连接器不适用）</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rPr>
            </w:pPr>
            <w:r>
              <w:rPr>
                <w:rFonts w:hint="eastAsia" w:ascii="宋体_GB2312" w:hAnsi="宋体_GB2312" w:eastAsia="宋体_GB2312"/>
                <w:kern w:val="0"/>
                <w:szCs w:val="21"/>
              </w:rPr>
              <w:t>9</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left"/>
              <w:rPr>
                <w:rFonts w:ascii="宋体_GB2312" w:hAnsi="宋体_GB2312" w:eastAsia="宋体_GB2312"/>
                <w:kern w:val="0"/>
                <w:szCs w:val="21"/>
              </w:rPr>
            </w:pPr>
            <w:r>
              <w:rPr>
                <w:rFonts w:hint="eastAsia" w:ascii="宋体_GB2312" w:hAnsi="宋体_GB2312" w:eastAsia="宋体_GB2312"/>
                <w:kern w:val="0"/>
                <w:szCs w:val="21"/>
              </w:rPr>
              <w:t>跌落试验</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center"/>
              <w:rPr>
                <w:rFonts w:ascii="宋体_GB2312" w:hAnsi="宋体_GB2312" w:eastAsia="宋体_GB2312"/>
                <w:kern w:val="0"/>
                <w:szCs w:val="21"/>
              </w:rPr>
            </w:pPr>
            <w:r>
              <w:rPr>
                <w:rFonts w:hint="eastAsia" w:ascii="宋体_GB2312" w:hAnsi="宋体_GB2312" w:eastAsia="宋体_GB2312"/>
                <w:kern w:val="0"/>
                <w:szCs w:val="21"/>
              </w:rPr>
              <w:t>高度1m，跌落5次</w:t>
            </w:r>
          </w:p>
        </w:tc>
      </w:tr>
      <w:tr>
        <w:tblPrEx>
          <w:tblCellMar>
            <w:top w:w="0" w:type="dxa"/>
            <w:left w:w="108" w:type="dxa"/>
            <w:bottom w:w="0" w:type="dxa"/>
            <w:right w:w="108" w:type="dxa"/>
          </w:tblCellMar>
        </w:tblPrEx>
        <w:trPr>
          <w:trHeight w:val="460" w:hRule="atLeast"/>
          <w:tblHeader/>
          <w:jc w:val="center"/>
        </w:trPr>
        <w:tc>
          <w:tcPr>
            <w:tcW w:w="75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宋体_GB2312" w:hAnsi="宋体_GB2312" w:eastAsia="宋体_GB2312"/>
                <w:kern w:val="0"/>
                <w:szCs w:val="21"/>
              </w:rPr>
            </w:pPr>
            <w:r>
              <w:rPr>
                <w:rFonts w:hint="eastAsia" w:ascii="宋体_GB2312" w:hAnsi="宋体_GB2312" w:eastAsia="宋体_GB2312"/>
                <w:kern w:val="0"/>
                <w:szCs w:val="21"/>
              </w:rPr>
              <w:t>10</w:t>
            </w:r>
          </w:p>
        </w:tc>
        <w:tc>
          <w:tcPr>
            <w:tcW w:w="2160"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left"/>
              <w:rPr>
                <w:rFonts w:ascii="宋体_GB2312" w:hAnsi="宋体_GB2312" w:eastAsia="宋体_GB2312"/>
                <w:kern w:val="0"/>
                <w:szCs w:val="21"/>
              </w:rPr>
            </w:pPr>
            <w:r>
              <w:rPr>
                <w:rFonts w:hint="eastAsia" w:ascii="宋体_GB2312" w:hAnsi="宋体_GB2312" w:eastAsia="宋体_GB2312"/>
                <w:kern w:val="0"/>
                <w:szCs w:val="21"/>
              </w:rPr>
              <w:t>重复性</w:t>
            </w:r>
          </w:p>
        </w:tc>
        <w:tc>
          <w:tcPr>
            <w:tcW w:w="5971"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ind w:firstLine="420" w:firstLineChars="200"/>
              <w:jc w:val="center"/>
              <w:rPr>
                <w:rFonts w:ascii="宋体_GB2312" w:hAnsi="宋体_GB2312" w:eastAsia="宋体_GB2312"/>
                <w:kern w:val="0"/>
                <w:szCs w:val="21"/>
              </w:rPr>
            </w:pPr>
            <w:r>
              <w:rPr>
                <w:rFonts w:hint="eastAsia" w:ascii="宋体_GB2312" w:hAnsi="宋体_GB2312" w:eastAsia="宋体_GB2312"/>
                <w:kern w:val="0"/>
                <w:szCs w:val="21"/>
              </w:rPr>
              <w:t>连续插拔10次</w:t>
            </w:r>
          </w:p>
        </w:tc>
      </w:tr>
      <w:bookmarkEnd w:id="101"/>
    </w:tbl>
    <w:p>
      <w:pPr>
        <w:pStyle w:val="42"/>
        <w:spacing w:line="560" w:lineRule="exact"/>
        <w:rPr>
          <w:rFonts w:ascii="宋体_GB2312" w:hAnsi="宋体_GB2312" w:eastAsia="宋体_GB2312"/>
          <w:sz w:val="24"/>
        </w:rPr>
      </w:pPr>
      <w:bookmarkStart w:id="102" w:name="_Toc362878577"/>
      <w:bookmarkStart w:id="103" w:name="_Toc362879574"/>
      <w:r>
        <w:rPr>
          <w:rFonts w:hint="eastAsia" w:ascii="宋体_GB2312" w:hAnsi="宋体_GB2312" w:eastAsia="宋体_GB2312"/>
          <w:sz w:val="24"/>
        </w:rPr>
        <w:t>3</w:t>
      </w:r>
      <w:r>
        <w:rPr>
          <w:rFonts w:ascii="宋体_GB2312" w:hAnsi="宋体_GB2312" w:eastAsia="宋体_GB2312"/>
          <w:sz w:val="24"/>
        </w:rPr>
        <w:t>.</w:t>
      </w:r>
      <w:r>
        <w:rPr>
          <w:rFonts w:hint="eastAsia" w:ascii="宋体_GB2312" w:hAnsi="宋体_GB2312" w:eastAsia="宋体_GB2312"/>
          <w:sz w:val="24"/>
        </w:rPr>
        <w:t>5</w:t>
      </w:r>
      <w:r>
        <w:rPr>
          <w:rFonts w:ascii="宋体_GB2312" w:hAnsi="宋体_GB2312" w:eastAsia="宋体_GB2312"/>
          <w:sz w:val="24"/>
        </w:rPr>
        <w:t>.</w:t>
      </w:r>
      <w:r>
        <w:rPr>
          <w:rFonts w:hint="eastAsia" w:ascii="宋体_GB2312" w:hAnsi="宋体_GB2312" w:eastAsia="宋体_GB2312"/>
          <w:sz w:val="24"/>
        </w:rPr>
        <w:t>5 护套外径</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护套外径：标称值为Φ0.9mm、Φ2.0mm、Φ3.0mm，最大值偏差不超过标称值的10%。</w:t>
      </w:r>
    </w:p>
    <w:p>
      <w:pPr>
        <w:pStyle w:val="42"/>
        <w:spacing w:line="560" w:lineRule="exact"/>
        <w:rPr>
          <w:rFonts w:ascii="宋体_GB2312" w:hAnsi="宋体_GB2312" w:eastAsia="宋体_GB2312"/>
          <w:sz w:val="24"/>
        </w:rPr>
      </w:pPr>
      <w:r>
        <w:rPr>
          <w:rFonts w:hint="eastAsia" w:ascii="宋体_GB2312" w:hAnsi="宋体_GB2312" w:eastAsia="宋体_GB2312"/>
          <w:sz w:val="24"/>
        </w:rPr>
        <w:t>3</w:t>
      </w:r>
      <w:r>
        <w:rPr>
          <w:rFonts w:ascii="宋体_GB2312" w:hAnsi="宋体_GB2312" w:eastAsia="宋体_GB2312"/>
          <w:sz w:val="24"/>
        </w:rPr>
        <w:t>.</w:t>
      </w:r>
      <w:r>
        <w:rPr>
          <w:rFonts w:hint="eastAsia" w:ascii="宋体_GB2312" w:hAnsi="宋体_GB2312" w:eastAsia="宋体_GB2312"/>
          <w:sz w:val="24"/>
        </w:rPr>
        <w:t>5</w:t>
      </w:r>
      <w:r>
        <w:rPr>
          <w:rFonts w:ascii="宋体_GB2312" w:hAnsi="宋体_GB2312" w:eastAsia="宋体_GB2312"/>
          <w:sz w:val="24"/>
        </w:rPr>
        <w:t>.</w:t>
      </w:r>
      <w:r>
        <w:rPr>
          <w:rFonts w:hint="eastAsia" w:ascii="宋体_GB2312" w:hAnsi="宋体_GB2312" w:eastAsia="宋体_GB2312"/>
          <w:sz w:val="24"/>
        </w:rPr>
        <w:t>6 尾纤及软光纤的</w:t>
      </w:r>
      <w:r>
        <w:rPr>
          <w:rFonts w:ascii="宋体_GB2312" w:hAnsi="宋体_GB2312" w:eastAsia="宋体_GB2312"/>
          <w:sz w:val="24"/>
        </w:rPr>
        <w:t>2m</w:t>
      </w:r>
      <w:r>
        <w:rPr>
          <w:rFonts w:hint="eastAsia" w:ascii="宋体_GB2312" w:hAnsi="宋体_GB2312" w:eastAsia="宋体_GB2312"/>
          <w:sz w:val="24"/>
        </w:rPr>
        <w:t xml:space="preserve">截止波长 </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λ</w:t>
      </w:r>
      <w:r>
        <w:rPr>
          <w:rFonts w:ascii="宋体_GB2312" w:hAnsi="宋体_GB2312" w:eastAsia="宋体_GB2312"/>
          <w:sz w:val="24"/>
        </w:rPr>
        <w:t>c</w:t>
      </w:r>
      <w:r>
        <w:rPr>
          <w:rFonts w:hint="eastAsia" w:ascii="宋体_GB2312" w:hAnsi="宋体_GB2312" w:eastAsia="宋体_GB2312"/>
          <w:sz w:val="24"/>
        </w:rPr>
        <w:t>≤1250</w:t>
      </w:r>
      <w:r>
        <w:rPr>
          <w:rFonts w:ascii="宋体_GB2312" w:hAnsi="宋体_GB2312" w:eastAsia="宋体_GB2312"/>
          <w:sz w:val="24"/>
        </w:rPr>
        <w:t>nm</w:t>
      </w:r>
      <w:r>
        <w:rPr>
          <w:rFonts w:hint="eastAsia" w:ascii="宋体_GB2312" w:hAnsi="宋体_GB2312" w:eastAsia="宋体_GB2312"/>
          <w:sz w:val="24"/>
        </w:rPr>
        <w:t>(G</w:t>
      </w:r>
      <w:r>
        <w:rPr>
          <w:rFonts w:ascii="宋体_GB2312" w:hAnsi="宋体_GB2312" w:eastAsia="宋体_GB2312"/>
          <w:sz w:val="24"/>
        </w:rPr>
        <w:t>.65</w:t>
      </w:r>
      <w:r>
        <w:rPr>
          <w:rFonts w:hint="eastAsia" w:ascii="宋体_GB2312" w:hAnsi="宋体_GB2312" w:eastAsia="宋体_GB2312"/>
          <w:sz w:val="24"/>
        </w:rPr>
        <w:t>2D光纤)         λ</w:t>
      </w:r>
      <w:r>
        <w:rPr>
          <w:rFonts w:ascii="宋体_GB2312" w:hAnsi="宋体_GB2312" w:eastAsia="宋体_GB2312"/>
          <w:sz w:val="24"/>
        </w:rPr>
        <w:t>c</w:t>
      </w:r>
      <w:r>
        <w:rPr>
          <w:rFonts w:hint="eastAsia" w:ascii="宋体_GB2312" w:hAnsi="宋体_GB2312" w:eastAsia="宋体_GB2312"/>
          <w:sz w:val="24"/>
        </w:rPr>
        <w:t>≤1260</w:t>
      </w:r>
      <w:r>
        <w:rPr>
          <w:rFonts w:ascii="宋体_GB2312" w:hAnsi="宋体_GB2312" w:eastAsia="宋体_GB2312"/>
          <w:sz w:val="24"/>
        </w:rPr>
        <w:t>nm</w:t>
      </w:r>
      <w:r>
        <w:rPr>
          <w:rFonts w:hint="eastAsia" w:ascii="宋体_GB2312" w:hAnsi="宋体_GB2312" w:eastAsia="宋体_GB2312"/>
          <w:sz w:val="24"/>
        </w:rPr>
        <w:t>(G.657</w:t>
      </w:r>
      <w:r>
        <w:rPr>
          <w:rFonts w:ascii="宋体_GB2312" w:hAnsi="宋体_GB2312" w:eastAsia="宋体_GB2312"/>
          <w:sz w:val="24"/>
        </w:rPr>
        <w:t>A2</w:t>
      </w:r>
      <w:r>
        <w:rPr>
          <w:rFonts w:hint="eastAsia" w:ascii="宋体_GB2312" w:hAnsi="宋体_GB2312" w:eastAsia="宋体_GB2312"/>
          <w:sz w:val="24"/>
        </w:rPr>
        <w:t>光纤)</w:t>
      </w:r>
    </w:p>
    <w:bookmarkEnd w:id="102"/>
    <w:bookmarkEnd w:id="103"/>
    <w:p>
      <w:pPr>
        <w:pStyle w:val="2"/>
        <w:adjustRightInd w:val="0"/>
        <w:spacing w:before="0" w:after="0" w:line="276" w:lineRule="auto"/>
        <w:textAlignment w:val="baseline"/>
        <w:rPr>
          <w:rFonts w:ascii="宋体_GB2312" w:hAnsi="宋体_GB2312" w:eastAsia="宋体_GB2312"/>
          <w:sz w:val="24"/>
          <w:szCs w:val="24"/>
          <w:lang w:val="en-US"/>
        </w:rPr>
      </w:pPr>
      <w:bookmarkStart w:id="104" w:name="_Toc362878580"/>
      <w:bookmarkStart w:id="105" w:name="_Toc29253"/>
      <w:bookmarkStart w:id="106" w:name="_Toc8617"/>
      <w:bookmarkStart w:id="107" w:name="_Toc362879575"/>
      <w:bookmarkStart w:id="108" w:name="_Toc27401446"/>
      <w:bookmarkStart w:id="109" w:name="_Toc13628"/>
      <w:bookmarkStart w:id="110" w:name="_Toc131219970"/>
      <w:r>
        <w:rPr>
          <w:rFonts w:hint="eastAsia" w:ascii="宋体_GB2312" w:hAnsi="宋体_GB2312" w:eastAsia="宋体_GB2312"/>
          <w:b w:val="0"/>
          <w:color w:val="FF0000"/>
          <w:sz w:val="24"/>
        </w:rPr>
        <w:t>★</w:t>
      </w:r>
      <w:r>
        <w:rPr>
          <w:rFonts w:hint="eastAsia" w:ascii="宋体_GB2312" w:hAnsi="宋体_GB2312" w:eastAsia="宋体_GB2312"/>
          <w:sz w:val="24"/>
          <w:szCs w:val="24"/>
          <w:lang w:val="en-US"/>
        </w:rPr>
        <w:t>3.6 高压防护接地装置</w:t>
      </w:r>
      <w:bookmarkEnd w:id="104"/>
      <w:bookmarkEnd w:id="105"/>
      <w:bookmarkEnd w:id="106"/>
      <w:bookmarkEnd w:id="107"/>
      <w:bookmarkEnd w:id="108"/>
      <w:bookmarkEnd w:id="109"/>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（1）高压防护接地装置与光缆中金属加强芯及金属挡潮层、铠装层相连，连接导线或导体的截面积应不小于6mm</w:t>
      </w:r>
      <w:r>
        <w:rPr>
          <w:rFonts w:hint="eastAsia" w:ascii="宋体_GB2312" w:hAnsi="宋体_GB2312" w:eastAsia="宋体_GB2312"/>
          <w:sz w:val="24"/>
          <w:vertAlign w:val="superscript"/>
        </w:rPr>
        <w:t>2</w:t>
      </w:r>
      <w:r>
        <w:rPr>
          <w:rFonts w:hint="eastAsia" w:ascii="宋体_GB2312" w:hAnsi="宋体_GB2312" w:eastAsia="宋体_GB2312"/>
          <w:sz w:val="24"/>
        </w:rPr>
        <w:t>。</w:t>
      </w:r>
    </w:p>
    <w:p>
      <w:pPr>
        <w:spacing w:before="156" w:beforeLines="50" w:line="300" w:lineRule="auto"/>
        <w:ind w:firstLine="480" w:firstLineChars="200"/>
        <w:rPr>
          <w:rFonts w:ascii="宋体_GB2312" w:hAnsi="宋体_GB2312" w:eastAsia="宋体_GB2312"/>
          <w:sz w:val="24"/>
          <w:highlight w:val="none"/>
        </w:rPr>
      </w:pPr>
      <w:r>
        <w:rPr>
          <w:rFonts w:hint="eastAsia" w:ascii="宋体_GB2312" w:hAnsi="宋体_GB2312" w:eastAsia="宋体_GB2312"/>
          <w:sz w:val="24"/>
        </w:rPr>
        <w:t>（2）</w:t>
      </w:r>
      <w:r>
        <w:rPr>
          <w:rFonts w:hint="eastAsia" w:ascii="宋体_GB2312" w:hAnsi="宋体_GB2312" w:eastAsia="宋体_GB2312"/>
          <w:sz w:val="24"/>
          <w:highlight w:val="none"/>
        </w:rPr>
        <w:t>箱体高压防护接地装置应有接地螺母和螺栓（规格为</w:t>
      </w:r>
      <w:r>
        <w:rPr>
          <w:rFonts w:ascii="宋体_GB2312" w:hAnsi="宋体_GB2312" w:eastAsia="宋体_GB2312"/>
          <w:sz w:val="24"/>
          <w:highlight w:val="none"/>
        </w:rPr>
        <w:t>M6）</w:t>
      </w:r>
      <w:r>
        <w:rPr>
          <w:rFonts w:hint="eastAsia" w:ascii="宋体_GB2312" w:hAnsi="宋体_GB2312" w:eastAsia="宋体_GB2312"/>
          <w:sz w:val="24"/>
          <w:highlight w:val="none"/>
        </w:rPr>
        <w:t>，高压防护接地装置与地相连的连接端子的截面积应不小于35mm</w:t>
      </w:r>
      <w:r>
        <w:rPr>
          <w:rFonts w:hint="eastAsia" w:ascii="宋体_GB2312" w:hAnsi="宋体_GB2312" w:eastAsia="宋体_GB2312"/>
          <w:sz w:val="24"/>
          <w:highlight w:val="none"/>
          <w:vertAlign w:val="superscript"/>
        </w:rPr>
        <w:t>2</w:t>
      </w:r>
      <w:r>
        <w:rPr>
          <w:rFonts w:hint="eastAsia" w:ascii="宋体_GB2312" w:hAnsi="宋体_GB2312" w:eastAsia="宋体_GB2312"/>
          <w:sz w:val="24"/>
          <w:highlight w:val="none"/>
        </w:rPr>
        <w:t>。</w:t>
      </w:r>
    </w:p>
    <w:p>
      <w:pPr>
        <w:spacing w:before="156" w:beforeLines="50" w:line="300" w:lineRule="auto"/>
        <w:ind w:firstLine="480" w:firstLineChars="200"/>
        <w:rPr>
          <w:rFonts w:ascii="宋体_GB2312" w:hAnsi="宋体_GB2312" w:eastAsia="宋体_GB2312"/>
          <w:sz w:val="24"/>
          <w:highlight w:val="none"/>
        </w:rPr>
      </w:pPr>
      <w:r>
        <w:rPr>
          <w:rFonts w:hint="eastAsia" w:ascii="宋体_GB2312" w:hAnsi="宋体_GB2312" w:eastAsia="宋体_GB2312"/>
          <w:sz w:val="24"/>
          <w:highlight w:val="none"/>
        </w:rPr>
        <w:t>（</w:t>
      </w:r>
      <w:r>
        <w:rPr>
          <w:rFonts w:ascii="宋体_GB2312" w:hAnsi="宋体_GB2312" w:eastAsia="宋体_GB2312"/>
          <w:sz w:val="24"/>
          <w:highlight w:val="none"/>
        </w:rPr>
        <w:t>3）</w:t>
      </w:r>
      <w:r>
        <w:rPr>
          <w:rFonts w:hint="eastAsia" w:ascii="宋体_GB2312" w:hAnsi="宋体_GB2312" w:eastAsia="宋体_GB2312"/>
          <w:sz w:val="24"/>
          <w:highlight w:val="none"/>
        </w:rPr>
        <w:t>接地装置与箱体金属构件之间的耐电压水平不小于</w:t>
      </w:r>
      <w:r>
        <w:rPr>
          <w:rFonts w:ascii="宋体_GB2312" w:hAnsi="宋体_GB2312" w:eastAsia="宋体_GB2312"/>
          <w:sz w:val="24"/>
          <w:highlight w:val="none"/>
        </w:rPr>
        <w:t>3000V (DC), 1min</w:t>
      </w:r>
      <w:r>
        <w:rPr>
          <w:rFonts w:hint="eastAsia" w:ascii="宋体_GB2312" w:hAnsi="宋体_GB2312" w:eastAsia="宋体_GB2312"/>
          <w:sz w:val="24"/>
          <w:highlight w:val="none"/>
        </w:rPr>
        <w:t>不击穿、无飞弧。</w:t>
      </w:r>
    </w:p>
    <w:p>
      <w:pPr>
        <w:spacing w:before="156" w:beforeLines="50" w:line="300" w:lineRule="auto"/>
        <w:ind w:firstLine="480" w:firstLineChars="200"/>
        <w:rPr>
          <w:rFonts w:ascii="宋体_GB2312" w:hAnsi="宋体_GB2312" w:eastAsia="宋体_GB2312"/>
          <w:sz w:val="24"/>
          <w:highlight w:val="none"/>
        </w:rPr>
      </w:pPr>
      <w:r>
        <w:rPr>
          <w:rFonts w:hint="eastAsia" w:ascii="宋体_GB2312" w:hAnsi="宋体_GB2312" w:eastAsia="宋体_GB2312"/>
          <w:sz w:val="24"/>
          <w:highlight w:val="none"/>
        </w:rPr>
        <w:t>（</w:t>
      </w:r>
      <w:r>
        <w:rPr>
          <w:rFonts w:ascii="宋体_GB2312" w:hAnsi="宋体_GB2312" w:eastAsia="宋体_GB2312"/>
          <w:sz w:val="24"/>
          <w:highlight w:val="none"/>
        </w:rPr>
        <w:t>4）接地装置与箱体金属构件之间的绝缘电阻应不小于2×10</w:t>
      </w:r>
      <w:r>
        <w:rPr>
          <w:rFonts w:ascii="宋体_GB2312" w:hAnsi="宋体_GB2312" w:eastAsia="宋体_GB2312"/>
          <w:sz w:val="24"/>
          <w:highlight w:val="none"/>
          <w:vertAlign w:val="superscript"/>
        </w:rPr>
        <w:t>4</w:t>
      </w:r>
      <w:r>
        <w:rPr>
          <w:rFonts w:ascii="宋体_GB2312" w:hAnsi="宋体_GB2312" w:eastAsia="宋体_GB2312"/>
          <w:sz w:val="24"/>
          <w:highlight w:val="none"/>
        </w:rPr>
        <w:t>MΩ</w:t>
      </w:r>
      <w:r>
        <w:rPr>
          <w:rFonts w:hint="eastAsia" w:ascii="宋体_GB2312" w:hAnsi="宋体_GB2312" w:eastAsia="宋体_GB2312"/>
          <w:sz w:val="24"/>
          <w:highlight w:val="none"/>
        </w:rPr>
        <w:t>，</w:t>
      </w:r>
      <w:r>
        <w:rPr>
          <w:rFonts w:ascii="宋体_GB2312" w:hAnsi="宋体_GB2312" w:eastAsia="宋体_GB2312"/>
          <w:sz w:val="24"/>
          <w:highlight w:val="none"/>
        </w:rPr>
        <w:t>试验电压为DC 500V</w:t>
      </w:r>
      <w:r>
        <w:rPr>
          <w:rFonts w:hint="eastAsia" w:ascii="宋体_GB2312" w:hAnsi="宋体_GB2312" w:eastAsia="宋体_GB2312"/>
          <w:sz w:val="24"/>
          <w:highlight w:val="none"/>
        </w:rPr>
        <w:t>。</w:t>
      </w:r>
    </w:p>
    <w:p>
      <w:pPr>
        <w:spacing w:before="156" w:beforeLines="50" w:line="300" w:lineRule="auto"/>
        <w:ind w:firstLine="480" w:firstLineChars="200"/>
        <w:rPr>
          <w:rFonts w:ascii="宋体_GB2312" w:hAnsi="宋体_GB2312" w:eastAsia="宋体_GB2312"/>
          <w:sz w:val="24"/>
          <w:highlight w:val="none"/>
        </w:rPr>
      </w:pPr>
      <w:r>
        <w:rPr>
          <w:rFonts w:hint="eastAsia" w:ascii="宋体_GB2312" w:hAnsi="宋体_GB2312" w:eastAsia="宋体_GB2312"/>
          <w:sz w:val="24"/>
          <w:highlight w:val="none"/>
        </w:rPr>
        <w:t>（5）箱体高压防护接地装置应能可靠接地，接地处应有明显的接地标志。</w:t>
      </w:r>
      <w:bookmarkStart w:id="111" w:name="_Toc62619596"/>
      <w:bookmarkStart w:id="112" w:name="_Toc132100060"/>
      <w:bookmarkStart w:id="113" w:name="_Toc178150236"/>
      <w:bookmarkStart w:id="114" w:name="_Toc194133488"/>
      <w:bookmarkStart w:id="115" w:name="_Toc132100058"/>
    </w:p>
    <w:p>
      <w:pPr>
        <w:pStyle w:val="2"/>
        <w:adjustRightInd w:val="0"/>
        <w:spacing w:before="0" w:after="0" w:line="276" w:lineRule="auto"/>
        <w:textAlignment w:val="baseline"/>
        <w:rPr>
          <w:rFonts w:ascii="宋体_GB2312" w:hAnsi="宋体_GB2312" w:eastAsia="宋体_GB2312"/>
          <w:sz w:val="24"/>
          <w:szCs w:val="24"/>
          <w:highlight w:val="none"/>
          <w:lang w:val="en-US"/>
        </w:rPr>
      </w:pPr>
      <w:bookmarkStart w:id="116" w:name="_Toc25916"/>
      <w:bookmarkStart w:id="117" w:name="_Toc362878581"/>
      <w:bookmarkStart w:id="118" w:name="_Toc18780"/>
      <w:bookmarkStart w:id="119" w:name="_Toc27401447"/>
      <w:bookmarkStart w:id="120" w:name="_Toc362879576"/>
      <w:bookmarkStart w:id="121" w:name="_Toc31303"/>
      <w:r>
        <w:rPr>
          <w:rFonts w:hint="eastAsia" w:ascii="宋体_GB2312" w:hAnsi="宋体_GB2312" w:eastAsia="宋体_GB2312"/>
          <w:sz w:val="24"/>
          <w:szCs w:val="24"/>
          <w:highlight w:val="none"/>
          <w:lang w:val="en-US"/>
        </w:rPr>
        <w:t>4 材料</w:t>
      </w:r>
      <w:bookmarkEnd w:id="111"/>
      <w:bookmarkEnd w:id="112"/>
      <w:bookmarkEnd w:id="113"/>
      <w:r>
        <w:rPr>
          <w:rFonts w:hint="eastAsia" w:ascii="宋体_GB2312" w:hAnsi="宋体_GB2312" w:eastAsia="宋体_GB2312"/>
          <w:sz w:val="24"/>
          <w:szCs w:val="24"/>
          <w:highlight w:val="none"/>
          <w:lang w:val="en-US"/>
        </w:rPr>
        <w:t>要求</w:t>
      </w:r>
      <w:bookmarkEnd w:id="114"/>
      <w:bookmarkEnd w:id="116"/>
      <w:bookmarkEnd w:id="117"/>
      <w:bookmarkEnd w:id="118"/>
      <w:bookmarkEnd w:id="119"/>
      <w:bookmarkEnd w:id="120"/>
      <w:bookmarkEnd w:id="121"/>
    </w:p>
    <w:p>
      <w:pPr>
        <w:pStyle w:val="2"/>
        <w:adjustRightInd w:val="0"/>
        <w:spacing w:before="0" w:after="0" w:line="276" w:lineRule="auto"/>
        <w:textAlignment w:val="baseline"/>
        <w:rPr>
          <w:rFonts w:ascii="宋体_GB2312" w:hAnsi="宋体_GB2312" w:eastAsia="宋体_GB2312"/>
          <w:sz w:val="24"/>
          <w:szCs w:val="24"/>
          <w:highlight w:val="none"/>
          <w:lang w:val="en-US"/>
        </w:rPr>
      </w:pPr>
      <w:bookmarkStart w:id="122" w:name="_Toc10596"/>
      <w:bookmarkStart w:id="123" w:name="_Toc362879577"/>
      <w:bookmarkStart w:id="124" w:name="_Toc27433"/>
      <w:bookmarkStart w:id="125" w:name="_Toc27401448"/>
      <w:bookmarkStart w:id="126" w:name="_Toc362878582"/>
      <w:bookmarkStart w:id="127" w:name="_Toc15601"/>
      <w:r>
        <w:rPr>
          <w:rFonts w:hint="eastAsia" w:ascii="宋体_GB2312" w:hAnsi="宋体_GB2312" w:eastAsia="宋体_GB2312"/>
          <w:sz w:val="24"/>
          <w:szCs w:val="24"/>
          <w:highlight w:val="none"/>
          <w:lang w:val="en-US"/>
        </w:rPr>
        <w:t>4.1 箱体材料</w:t>
      </w:r>
      <w:bookmarkEnd w:id="122"/>
      <w:bookmarkEnd w:id="123"/>
      <w:bookmarkEnd w:id="124"/>
      <w:bookmarkEnd w:id="125"/>
      <w:bookmarkEnd w:id="126"/>
      <w:bookmarkEnd w:id="127"/>
    </w:p>
    <w:p>
      <w:pPr>
        <w:spacing w:before="156" w:beforeLines="50" w:line="300" w:lineRule="auto"/>
        <w:ind w:firstLine="480" w:firstLineChars="200"/>
        <w:rPr>
          <w:rFonts w:ascii="宋体_GB2312" w:hAnsi="宋体_GB2312" w:eastAsia="宋体_GB2312"/>
          <w:sz w:val="24"/>
          <w:highlight w:val="none"/>
        </w:rPr>
      </w:pPr>
      <w:r>
        <w:rPr>
          <w:rFonts w:hint="eastAsia" w:ascii="宋体_GB2312" w:hAnsi="宋体_GB2312" w:eastAsia="宋体_GB2312"/>
          <w:sz w:val="24"/>
          <w:highlight w:val="none"/>
        </w:rPr>
        <w:t>箱体材料类别可分为SMC型、不锈钢型，其中：</w:t>
      </w:r>
    </w:p>
    <w:p>
      <w:pPr>
        <w:spacing w:before="156" w:beforeLines="50" w:line="300" w:lineRule="auto"/>
        <w:ind w:firstLine="480" w:firstLineChars="200"/>
        <w:rPr>
          <w:rFonts w:ascii="宋体_GB2312" w:hAnsi="宋体_GB2312" w:eastAsia="宋体_GB2312"/>
          <w:sz w:val="24"/>
          <w:highlight w:val="none"/>
        </w:rPr>
      </w:pPr>
      <w:r>
        <w:rPr>
          <w:rFonts w:hint="eastAsia" w:ascii="宋体_GB2312" w:hAnsi="宋体_GB2312" w:eastAsia="宋体_GB2312"/>
          <w:sz w:val="24"/>
          <w:highlight w:val="none"/>
        </w:rPr>
        <w:t>（1）SMC光缆交接箱</w:t>
      </w:r>
      <w:r>
        <w:rPr>
          <w:rFonts w:ascii="宋体_GB2312" w:hAnsi="宋体_GB2312" w:eastAsia="宋体_GB2312"/>
          <w:sz w:val="24"/>
          <w:highlight w:val="none"/>
        </w:rPr>
        <w:t>中</w:t>
      </w:r>
      <w:r>
        <w:rPr>
          <w:rFonts w:hint="eastAsia" w:ascii="宋体_GB2312" w:hAnsi="宋体_GB2312" w:eastAsia="宋体_GB2312"/>
          <w:sz w:val="24"/>
          <w:highlight w:val="none"/>
        </w:rPr>
        <w:t>，箱体的构成材料</w:t>
      </w:r>
      <w:r>
        <w:rPr>
          <w:rFonts w:ascii="宋体_GB2312" w:hAnsi="宋体_GB2312" w:eastAsia="宋体_GB2312"/>
          <w:sz w:val="24"/>
          <w:highlight w:val="none"/>
        </w:rPr>
        <w:t>片状模</w:t>
      </w:r>
      <w:r>
        <w:rPr>
          <w:rFonts w:hint="eastAsia" w:ascii="宋体_GB2312" w:hAnsi="宋体_GB2312" w:eastAsia="宋体_GB2312"/>
          <w:sz w:val="24"/>
          <w:highlight w:val="none"/>
        </w:rPr>
        <w:t>压增强复合材料</w:t>
      </w:r>
      <w:r>
        <w:rPr>
          <w:rFonts w:ascii="宋体_GB2312" w:hAnsi="宋体_GB2312" w:eastAsia="宋体_GB2312"/>
          <w:sz w:val="24"/>
          <w:highlight w:val="none"/>
        </w:rPr>
        <w:t>（SMC）应符合中华人民共和国GB/T 15568-2008</w:t>
      </w:r>
      <w:r>
        <w:rPr>
          <w:rFonts w:hint="eastAsia" w:ascii="宋体_GB2312" w:hAnsi="宋体_GB2312" w:eastAsia="宋体_GB2312"/>
          <w:sz w:val="24"/>
          <w:highlight w:val="none"/>
        </w:rPr>
        <w:t>《通用型片状模塑料</w:t>
      </w:r>
      <w:r>
        <w:rPr>
          <w:rFonts w:ascii="宋体_GB2312" w:hAnsi="宋体_GB2312" w:eastAsia="宋体_GB2312"/>
          <w:sz w:val="24"/>
          <w:highlight w:val="none"/>
        </w:rPr>
        <w:t>(SMC)</w:t>
      </w:r>
      <w:r>
        <w:rPr>
          <w:rFonts w:hint="eastAsia" w:ascii="宋体_GB2312" w:hAnsi="宋体_GB2312" w:eastAsia="宋体_GB2312"/>
          <w:sz w:val="24"/>
          <w:highlight w:val="none"/>
        </w:rPr>
        <w:t>》</w:t>
      </w:r>
      <w:r>
        <w:rPr>
          <w:rFonts w:ascii="宋体_GB2312" w:hAnsi="宋体_GB2312" w:eastAsia="宋体_GB2312"/>
          <w:sz w:val="24"/>
          <w:highlight w:val="none"/>
        </w:rPr>
        <w:t>国家标准。</w:t>
      </w:r>
    </w:p>
    <w:p>
      <w:pPr>
        <w:spacing w:before="156" w:beforeLines="50" w:line="300" w:lineRule="auto"/>
        <w:ind w:firstLine="480" w:firstLineChars="200"/>
        <w:rPr>
          <w:rFonts w:ascii="宋体_GB2312" w:hAnsi="宋体_GB2312" w:eastAsia="宋体_GB2312"/>
          <w:sz w:val="24"/>
          <w:highlight w:val="none"/>
        </w:rPr>
      </w:pPr>
      <w:r>
        <w:rPr>
          <w:rFonts w:hint="eastAsia" w:ascii="宋体_GB2312" w:hAnsi="宋体_GB2312" w:eastAsia="宋体_GB2312"/>
          <w:sz w:val="24"/>
          <w:highlight w:val="none"/>
        </w:rPr>
        <w:t>（2）不锈钢光缆交接箱</w:t>
      </w:r>
      <w:r>
        <w:rPr>
          <w:rFonts w:ascii="宋体_GB2312" w:hAnsi="宋体_GB2312" w:eastAsia="宋体_GB2312"/>
          <w:sz w:val="24"/>
          <w:highlight w:val="none"/>
        </w:rPr>
        <w:t>中使用的钢板应采用</w:t>
      </w:r>
      <w:r>
        <w:rPr>
          <w:rFonts w:hint="eastAsia" w:ascii="宋体_GB2312" w:hAnsi="宋体_GB2312" w:eastAsia="宋体_GB2312"/>
          <w:sz w:val="24"/>
          <w:highlight w:val="none"/>
        </w:rPr>
        <w:t>304牌号不锈钢，内配机架钢板采用</w:t>
      </w:r>
      <w:r>
        <w:rPr>
          <w:rFonts w:ascii="宋体_GB2312" w:hAnsi="宋体_GB2312" w:eastAsia="宋体_GB2312"/>
          <w:sz w:val="24"/>
          <w:highlight w:val="none"/>
        </w:rPr>
        <w:t>Q235-A或</w:t>
      </w:r>
      <w:r>
        <w:rPr>
          <w:rFonts w:hint="eastAsia" w:ascii="宋体_GB2312" w:hAnsi="宋体_GB2312" w:eastAsia="宋体_GB2312"/>
          <w:sz w:val="24"/>
          <w:highlight w:val="none"/>
        </w:rPr>
        <w:t>304牌号不锈钢材料</w:t>
      </w:r>
      <w:r>
        <w:rPr>
          <w:rFonts w:ascii="宋体_GB2312" w:hAnsi="宋体_GB2312" w:eastAsia="宋体_GB2312"/>
          <w:sz w:val="24"/>
          <w:highlight w:val="none"/>
        </w:rPr>
        <w:t>。</w:t>
      </w:r>
      <w:r>
        <w:rPr>
          <w:rFonts w:hint="eastAsia" w:ascii="宋体_GB2312" w:hAnsi="宋体_GB2312" w:eastAsia="宋体_GB2312"/>
          <w:sz w:val="24"/>
          <w:highlight w:val="none"/>
        </w:rPr>
        <w:t>箱体双层结构中与外界空气接触的外层部分均采用不锈钢材质，厚度应不小于1.5mm，</w:t>
      </w:r>
      <w:bookmarkStart w:id="128" w:name="_Hlk57119822"/>
      <w:r>
        <w:rPr>
          <w:rFonts w:hint="eastAsia" w:ascii="宋体_GB2312" w:hAnsi="宋体_GB2312" w:eastAsia="宋体_GB2312"/>
          <w:sz w:val="24"/>
          <w:szCs w:val="24"/>
          <w:highlight w:val="none"/>
        </w:rPr>
        <w:t>箱体底座底板采用厚度为2.0mm不锈钢钢板</w:t>
      </w:r>
      <w:bookmarkEnd w:id="128"/>
      <w:r>
        <w:rPr>
          <w:rFonts w:hint="eastAsia" w:ascii="宋体_GB2312" w:hAnsi="宋体_GB2312" w:eastAsia="宋体_GB2312"/>
          <w:sz w:val="24"/>
          <w:highlight w:val="none"/>
        </w:rPr>
        <w:t>。箱体内层采用冷轧钢板或不锈钢喷塑的材质。</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3）所有箱体内配金属结构件可采用冷轧钢板或不锈钢板。在干燥地区推荐使用冷轧钢板材料（包括箱体的内层和内配机架），潮湿地区推荐使用不锈钢材料（包括箱体的内层和内配机架）。箱内承重横梁、立柱材料厚度应不小于2mm。</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（4）内外层箱体之间填充保温材料。保温隔热材料导热系数应小于0.041W/M.K（导热系数的测试方法：GB/T</w:t>
      </w:r>
      <w:r>
        <w:rPr>
          <w:rFonts w:ascii="宋体_GB2312" w:hAnsi="宋体_GB2312" w:eastAsia="宋体_GB2312"/>
          <w:sz w:val="24"/>
        </w:rPr>
        <w:t xml:space="preserve"> </w:t>
      </w:r>
      <w:r>
        <w:rPr>
          <w:rFonts w:hint="eastAsia" w:ascii="宋体_GB2312" w:hAnsi="宋体_GB2312" w:eastAsia="宋体_GB2312"/>
          <w:sz w:val="24"/>
        </w:rPr>
        <w:t>10294-2008），保温隔热材料与箱体面板间的粘结强度应大于0.09MPa。</w:t>
      </w:r>
    </w:p>
    <w:p>
      <w:pPr>
        <w:pStyle w:val="2"/>
        <w:adjustRightInd w:val="0"/>
        <w:spacing w:before="0" w:after="0" w:line="276" w:lineRule="auto"/>
        <w:textAlignment w:val="baseline"/>
        <w:rPr>
          <w:rFonts w:ascii="宋体_GB2312" w:hAnsi="宋体_GB2312" w:eastAsia="宋体_GB2312"/>
          <w:sz w:val="24"/>
          <w:szCs w:val="24"/>
          <w:lang w:val="en-US"/>
        </w:rPr>
      </w:pPr>
      <w:bookmarkStart w:id="129" w:name="_Toc178150240"/>
      <w:bookmarkStart w:id="130" w:name="_Toc362878583"/>
      <w:bookmarkStart w:id="131" w:name="_Toc362879578"/>
      <w:bookmarkStart w:id="132" w:name="_Toc22595"/>
      <w:bookmarkStart w:id="133" w:name="_Toc27401449"/>
      <w:bookmarkStart w:id="134" w:name="_Toc30516"/>
      <w:bookmarkStart w:id="135" w:name="_Toc194133490"/>
      <w:bookmarkStart w:id="136" w:name="_Toc62619598"/>
      <w:bookmarkStart w:id="137" w:name="_Toc32519"/>
      <w:r>
        <w:rPr>
          <w:rFonts w:hint="eastAsia" w:ascii="宋体_GB2312" w:hAnsi="宋体_GB2312" w:eastAsia="宋体_GB2312"/>
          <w:sz w:val="24"/>
          <w:szCs w:val="24"/>
          <w:lang w:val="en-US"/>
        </w:rPr>
        <w:t xml:space="preserve">4.2 </w:t>
      </w:r>
      <w:r>
        <w:rPr>
          <w:rFonts w:ascii="宋体_GB2312" w:hAnsi="宋体_GB2312" w:eastAsia="宋体_GB2312"/>
          <w:sz w:val="24"/>
          <w:szCs w:val="24"/>
          <w:lang w:val="en-US"/>
        </w:rPr>
        <w:t>塑料材料</w:t>
      </w:r>
      <w:bookmarkEnd w:id="129"/>
      <w:bookmarkEnd w:id="130"/>
      <w:bookmarkEnd w:id="131"/>
      <w:bookmarkEnd w:id="132"/>
      <w:bookmarkEnd w:id="133"/>
      <w:bookmarkEnd w:id="134"/>
      <w:bookmarkEnd w:id="135"/>
      <w:bookmarkEnd w:id="136"/>
      <w:bookmarkEnd w:id="137"/>
    </w:p>
    <w:p>
      <w:pPr>
        <w:spacing w:before="156" w:beforeLines="50" w:line="300" w:lineRule="auto"/>
        <w:ind w:firstLine="480" w:firstLineChars="200"/>
        <w:rPr>
          <w:rFonts w:ascii="宋体_GB2312" w:hAnsi="宋体_GB2312" w:eastAsia="宋体_GB2312"/>
          <w:sz w:val="24"/>
        </w:rPr>
      </w:pPr>
      <w:r>
        <w:rPr>
          <w:rFonts w:ascii="宋体_GB2312" w:hAnsi="宋体_GB2312" w:eastAsia="宋体_GB2312"/>
          <w:sz w:val="24"/>
        </w:rPr>
        <w:t>在</w:t>
      </w:r>
      <w:r>
        <w:rPr>
          <w:rFonts w:hint="eastAsia" w:ascii="宋体_GB2312" w:hAnsi="宋体_GB2312" w:eastAsia="宋体_GB2312"/>
          <w:sz w:val="24"/>
        </w:rPr>
        <w:t>光缆交接箱</w:t>
      </w:r>
      <w:r>
        <w:rPr>
          <w:rFonts w:ascii="宋体_GB2312" w:hAnsi="宋体_GB2312" w:eastAsia="宋体_GB2312"/>
          <w:sz w:val="24"/>
        </w:rPr>
        <w:t>中使用的塑料结构件，其材料应采用阻燃ABS、PC或更好的塑料新料。零件的</w:t>
      </w:r>
      <w:r>
        <w:rPr>
          <w:rFonts w:hint="eastAsia" w:ascii="宋体_GB2312" w:hAnsi="宋体_GB2312" w:eastAsia="宋体_GB2312"/>
          <w:sz w:val="24"/>
        </w:rPr>
        <w:t>燃烧性能应能符合4.3节要求。</w:t>
      </w:r>
    </w:p>
    <w:p>
      <w:pPr>
        <w:pStyle w:val="2"/>
        <w:adjustRightInd w:val="0"/>
        <w:spacing w:before="0" w:after="0" w:line="276" w:lineRule="auto"/>
        <w:textAlignment w:val="baseline"/>
        <w:rPr>
          <w:rFonts w:ascii="宋体_GB2312" w:hAnsi="宋体_GB2312" w:eastAsia="宋体_GB2312"/>
          <w:sz w:val="24"/>
          <w:szCs w:val="24"/>
          <w:lang w:val="en-US"/>
        </w:rPr>
      </w:pPr>
      <w:bookmarkStart w:id="138" w:name="_Toc10910"/>
      <w:bookmarkStart w:id="139" w:name="_Toc487"/>
      <w:bookmarkStart w:id="140" w:name="_Toc27401450"/>
      <w:bookmarkStart w:id="141" w:name="_Toc362879579"/>
      <w:bookmarkStart w:id="142" w:name="_Toc362878584"/>
      <w:bookmarkStart w:id="143" w:name="_Toc7223"/>
      <w:r>
        <w:rPr>
          <w:rFonts w:hint="eastAsia" w:ascii="宋体_GB2312" w:hAnsi="宋体_GB2312" w:eastAsia="宋体_GB2312"/>
          <w:sz w:val="24"/>
          <w:szCs w:val="24"/>
          <w:lang w:val="en-US"/>
        </w:rPr>
        <w:t>4.3 非金属件的燃烧性能</w:t>
      </w:r>
      <w:bookmarkEnd w:id="138"/>
      <w:bookmarkEnd w:id="139"/>
      <w:bookmarkEnd w:id="140"/>
      <w:bookmarkEnd w:id="141"/>
      <w:bookmarkEnd w:id="142"/>
      <w:bookmarkEnd w:id="143"/>
    </w:p>
    <w:p>
      <w:pPr>
        <w:keepNext/>
        <w:keepLines/>
        <w:spacing w:before="156" w:beforeLines="50" w:line="300" w:lineRule="auto"/>
        <w:ind w:left="0" w:firstLine="480" w:firstLineChars="200"/>
        <w:contextualSpacing/>
        <w:rPr>
          <w:rFonts w:ascii="宋体_GB2312" w:hAnsi="宋体_GB2312" w:eastAsia="宋体_GB2312"/>
          <w:sz w:val="24"/>
          <w:lang w:val="en-GB"/>
        </w:rPr>
      </w:pPr>
      <w:r>
        <w:rPr>
          <w:rFonts w:hint="eastAsia" w:ascii="宋体_GB2312" w:hAnsi="宋体_GB2312" w:eastAsia="宋体_GB2312"/>
          <w:sz w:val="24"/>
        </w:rPr>
        <w:t>（1）</w:t>
      </w:r>
      <w:r>
        <w:rPr>
          <w:rFonts w:hint="eastAsia" w:ascii="宋体_GB2312" w:hAnsi="宋体_GB2312" w:eastAsia="宋体_GB2312"/>
          <w:sz w:val="24"/>
          <w:lang w:val="en-GB"/>
        </w:rPr>
        <w:t>设备非金属材料结构件（含分路器壳体、光纤连接分配装置盘体、光纤存储装置盘体、光纤终接装置盘体）的燃烧性能应符合</w:t>
      </w:r>
      <w:r>
        <w:rPr>
          <w:rFonts w:ascii="宋体_GB2312" w:hAnsi="宋体_GB2312" w:eastAsia="宋体_GB2312"/>
          <w:sz w:val="24"/>
          <w:lang w:val="en-GB"/>
        </w:rPr>
        <w:t xml:space="preserve">GB/T 5169.5-2008 </w:t>
      </w:r>
      <w:r>
        <w:rPr>
          <w:rFonts w:hint="eastAsia" w:ascii="宋体_GB2312" w:hAnsi="宋体_GB2312" w:eastAsia="宋体_GB2312"/>
          <w:sz w:val="24"/>
          <w:lang w:val="en-GB"/>
        </w:rPr>
        <w:t>中第</w:t>
      </w:r>
      <w:r>
        <w:rPr>
          <w:rFonts w:ascii="宋体_GB2312" w:hAnsi="宋体_GB2312" w:eastAsia="宋体_GB2312"/>
          <w:sz w:val="24"/>
          <w:lang w:val="en-GB"/>
        </w:rPr>
        <w:t xml:space="preserve">11 </w:t>
      </w:r>
      <w:r>
        <w:rPr>
          <w:rFonts w:hint="eastAsia" w:ascii="宋体_GB2312" w:hAnsi="宋体_GB2312" w:eastAsia="宋体_GB2312"/>
          <w:sz w:val="24"/>
          <w:lang w:val="en-GB"/>
        </w:rPr>
        <w:t>章的要求。</w:t>
      </w:r>
    </w:p>
    <w:p>
      <w:pPr>
        <w:keepNext/>
        <w:keepLines/>
        <w:spacing w:before="156" w:beforeLines="50" w:line="300" w:lineRule="auto"/>
        <w:ind w:left="0" w:firstLine="480" w:firstLineChars="200"/>
        <w:contextualSpacing/>
        <w:rPr>
          <w:rFonts w:hint="eastAsia" w:ascii="宋体_GB2312" w:hAnsi="宋体_GB2312" w:eastAsia="宋体_GB2312"/>
          <w:sz w:val="24"/>
          <w:lang w:val="en-GB"/>
        </w:rPr>
      </w:pPr>
      <w:r>
        <w:rPr>
          <w:rFonts w:hint="eastAsia" w:ascii="宋体_GB2312" w:hAnsi="宋体_GB2312" w:eastAsia="宋体_GB2312"/>
          <w:sz w:val="24"/>
        </w:rPr>
        <w:t>（2）</w:t>
      </w:r>
      <w:r>
        <w:rPr>
          <w:rFonts w:hint="eastAsia" w:ascii="宋体_GB2312" w:hAnsi="宋体_GB2312" w:eastAsia="宋体_GB2312"/>
          <w:sz w:val="24"/>
          <w:lang w:val="en-GB"/>
        </w:rPr>
        <w:t>尾纤或跳纤中</w:t>
      </w:r>
      <w:r>
        <w:rPr>
          <w:rFonts w:hint="eastAsia" w:ascii="宋体_GB2312" w:hAnsi="宋体_GB2312" w:eastAsia="宋体_GB2312"/>
          <w:sz w:val="24"/>
        </w:rPr>
        <w:t>的</w:t>
      </w:r>
      <w:r>
        <w:rPr>
          <w:rFonts w:hint="eastAsia" w:ascii="宋体_GB2312" w:hAnsi="宋体_GB2312" w:eastAsia="宋体_GB2312"/>
          <w:sz w:val="24"/>
          <w:lang w:val="en-GB"/>
        </w:rPr>
        <w:t>光缆（直径为</w:t>
      </w:r>
      <w:r>
        <w:rPr>
          <w:rFonts w:ascii="宋体_GB2312" w:hAnsi="宋体_GB2312" w:eastAsia="宋体_GB2312"/>
          <w:sz w:val="24"/>
          <w:lang w:val="en-GB"/>
        </w:rPr>
        <w:t xml:space="preserve">2mm </w:t>
      </w:r>
      <w:r>
        <w:rPr>
          <w:rFonts w:hint="eastAsia" w:ascii="宋体_GB2312" w:hAnsi="宋体_GB2312" w:eastAsia="宋体_GB2312"/>
          <w:sz w:val="24"/>
          <w:lang w:val="en-GB"/>
        </w:rPr>
        <w:t>以下的不作要求）应阻燃，应能通过</w:t>
      </w:r>
      <w:r>
        <w:rPr>
          <w:rFonts w:ascii="宋体_GB2312" w:hAnsi="宋体_GB2312" w:eastAsia="宋体_GB2312"/>
          <w:sz w:val="24"/>
          <w:lang w:val="en-GB"/>
        </w:rPr>
        <w:t>GB/T 18380.12</w:t>
      </w:r>
      <w:r>
        <w:rPr>
          <w:rFonts w:hint="eastAsia" w:ascii="宋体_GB2312" w:hAnsi="宋体_GB2312" w:eastAsia="宋体_GB2312"/>
          <w:sz w:val="24"/>
        </w:rPr>
        <w:t>-</w:t>
      </w:r>
      <w:r>
        <w:rPr>
          <w:rFonts w:ascii="宋体_GB2312" w:hAnsi="宋体_GB2312" w:eastAsia="宋体_GB2312"/>
          <w:sz w:val="24"/>
        </w:rPr>
        <w:t>2008</w:t>
      </w:r>
      <w:r>
        <w:rPr>
          <w:rFonts w:hint="eastAsia" w:ascii="宋体_GB2312" w:hAnsi="宋体_GB2312" w:eastAsia="宋体_GB2312"/>
          <w:sz w:val="24"/>
        </w:rPr>
        <w:t>《</w:t>
      </w:r>
      <w:r>
        <w:rPr>
          <w:rFonts w:hint="eastAsia" w:ascii="宋体_GB2312" w:hAnsi="宋体_GB2312" w:eastAsia="宋体_GB2312"/>
          <w:sz w:val="24"/>
          <w:szCs w:val="24"/>
          <w:shd w:val="clear"/>
        </w:rPr>
        <w:t>电缆和光缆在火焰条件下的燃烧试验 第12部分：单根绝缘电线电缆火焰垂直蔓延试验 1kW预混合型火焰试验方法</w:t>
      </w:r>
      <w:r>
        <w:rPr>
          <w:rFonts w:hint="eastAsia" w:ascii="宋体_GB2312" w:hAnsi="宋体_GB2312" w:eastAsia="宋体_GB2312"/>
          <w:sz w:val="24"/>
        </w:rPr>
        <w:t>》</w:t>
      </w:r>
      <w:r>
        <w:rPr>
          <w:rFonts w:hint="eastAsia" w:ascii="宋体_GB2312" w:hAnsi="宋体_GB2312" w:eastAsia="宋体_GB2312"/>
          <w:sz w:val="24"/>
          <w:lang w:val="en-GB"/>
        </w:rPr>
        <w:t xml:space="preserve"> 规定的单根垂直燃烧试验。</w:t>
      </w:r>
    </w:p>
    <w:p>
      <w:pPr>
        <w:pStyle w:val="2"/>
        <w:adjustRightInd w:val="0"/>
        <w:spacing w:before="0" w:after="0" w:line="276" w:lineRule="auto"/>
        <w:textAlignment w:val="baseline"/>
        <w:rPr>
          <w:rFonts w:ascii="宋体_GB2312" w:hAnsi="宋体_GB2312" w:eastAsia="宋体_GB2312"/>
          <w:sz w:val="24"/>
          <w:szCs w:val="24"/>
          <w:lang w:val="en-US"/>
        </w:rPr>
      </w:pPr>
      <w:bookmarkStart w:id="144" w:name="_Toc27401451"/>
      <w:bookmarkStart w:id="145" w:name="_Toc178150241"/>
      <w:bookmarkStart w:id="146" w:name="_Toc14548"/>
      <w:bookmarkStart w:id="147" w:name="_Toc62619599"/>
      <w:bookmarkStart w:id="148" w:name="_Toc194133491"/>
      <w:bookmarkStart w:id="149" w:name="_Toc14016"/>
      <w:bookmarkStart w:id="150" w:name="_Toc21824"/>
      <w:r>
        <w:rPr>
          <w:rFonts w:hint="eastAsia" w:ascii="宋体_GB2312" w:hAnsi="宋体_GB2312" w:eastAsia="宋体_GB2312"/>
          <w:sz w:val="24"/>
          <w:szCs w:val="24"/>
          <w:lang w:val="en-US"/>
        </w:rPr>
        <w:t xml:space="preserve">4.4 </w:t>
      </w:r>
      <w:bookmarkStart w:id="151" w:name="_Toc362878585"/>
      <w:bookmarkStart w:id="152" w:name="_Toc362879580"/>
      <w:r>
        <w:rPr>
          <w:rFonts w:ascii="宋体_GB2312" w:hAnsi="宋体_GB2312" w:eastAsia="宋体_GB2312"/>
          <w:sz w:val="24"/>
          <w:szCs w:val="24"/>
          <w:lang w:val="en-US"/>
        </w:rPr>
        <w:t>光纤适配器</w:t>
      </w:r>
      <w:bookmarkEnd w:id="144"/>
      <w:bookmarkEnd w:id="145"/>
      <w:bookmarkEnd w:id="146"/>
      <w:bookmarkEnd w:id="147"/>
      <w:bookmarkEnd w:id="148"/>
      <w:bookmarkEnd w:id="149"/>
      <w:bookmarkEnd w:id="150"/>
      <w:bookmarkEnd w:id="151"/>
      <w:bookmarkEnd w:id="152"/>
    </w:p>
    <w:p>
      <w:pPr>
        <w:spacing w:before="156" w:beforeLines="50" w:line="300" w:lineRule="auto"/>
        <w:ind w:firstLine="480" w:firstLineChars="200"/>
        <w:rPr>
          <w:rFonts w:ascii="宋体_GB2312" w:hAnsi="宋体_GB2312" w:eastAsia="宋体_GB2312"/>
          <w:sz w:val="24"/>
        </w:rPr>
      </w:pPr>
      <w:r>
        <w:rPr>
          <w:rFonts w:ascii="宋体_GB2312" w:hAnsi="宋体_GB2312" w:eastAsia="宋体_GB2312"/>
          <w:sz w:val="24"/>
        </w:rPr>
        <w:t>（</w:t>
      </w:r>
      <w:r>
        <w:rPr>
          <w:rFonts w:hint="eastAsia" w:ascii="宋体_GB2312" w:hAnsi="宋体_GB2312" w:eastAsia="宋体_GB2312"/>
          <w:sz w:val="24"/>
        </w:rPr>
        <w:t>1</w:t>
      </w:r>
      <w:r>
        <w:rPr>
          <w:rFonts w:ascii="宋体_GB2312" w:hAnsi="宋体_GB2312" w:eastAsia="宋体_GB2312"/>
          <w:sz w:val="24"/>
        </w:rPr>
        <w:t>）</w:t>
      </w:r>
      <w:r>
        <w:rPr>
          <w:rFonts w:hint="eastAsia" w:ascii="宋体_GB2312" w:hAnsi="宋体_GB2312" w:eastAsia="宋体_GB2312"/>
          <w:sz w:val="24"/>
        </w:rPr>
        <w:t>SC适配器采用全塑料结构，外壳等塑料零件应使用阻燃PBT 新料或更好的材料，所有材料能经受光纤连接器所需的试验条件。</w:t>
      </w:r>
    </w:p>
    <w:p>
      <w:pPr>
        <w:spacing w:before="156" w:beforeLines="50" w:line="300" w:lineRule="auto"/>
        <w:ind w:firstLine="480" w:firstLineChars="200"/>
        <w:rPr>
          <w:rFonts w:ascii="宋体_GB2312" w:hAnsi="宋体_GB2312" w:eastAsia="宋体_GB2312"/>
          <w:sz w:val="24"/>
        </w:rPr>
      </w:pPr>
      <w:r>
        <w:rPr>
          <w:rFonts w:ascii="宋体_GB2312" w:hAnsi="宋体_GB2312" w:eastAsia="宋体_GB2312"/>
          <w:sz w:val="24"/>
        </w:rPr>
        <w:t>（</w:t>
      </w:r>
      <w:r>
        <w:rPr>
          <w:rFonts w:hint="eastAsia" w:ascii="宋体_GB2312" w:hAnsi="宋体_GB2312" w:eastAsia="宋体_GB2312"/>
          <w:sz w:val="24"/>
        </w:rPr>
        <w:t>2</w:t>
      </w:r>
      <w:r>
        <w:rPr>
          <w:rFonts w:ascii="宋体_GB2312" w:hAnsi="宋体_GB2312" w:eastAsia="宋体_GB2312"/>
          <w:sz w:val="24"/>
        </w:rPr>
        <w:t>）</w:t>
      </w:r>
      <w:r>
        <w:rPr>
          <w:rFonts w:hint="eastAsia" w:ascii="宋体_GB2312" w:hAnsi="宋体_GB2312" w:eastAsia="宋体_GB2312"/>
          <w:sz w:val="24"/>
        </w:rPr>
        <w:t>FC适配器除陶瓷套管和防尘帽外的壳体和压套等部件应采用HPb59-1铜材或更好的材料</w:t>
      </w:r>
      <w:r>
        <w:rPr>
          <w:rFonts w:ascii="宋体_GB2312" w:hAnsi="宋体_GB2312" w:eastAsia="宋体_GB2312"/>
          <w:sz w:val="24"/>
        </w:rPr>
        <w:t>。</w:t>
      </w:r>
    </w:p>
    <w:p>
      <w:pPr>
        <w:pStyle w:val="2"/>
        <w:adjustRightInd w:val="0"/>
        <w:spacing w:before="0" w:after="0" w:line="276" w:lineRule="auto"/>
        <w:textAlignment w:val="baseline"/>
        <w:rPr>
          <w:rFonts w:ascii="宋体_GB2312" w:hAnsi="宋体_GB2312" w:eastAsia="宋体_GB2312"/>
          <w:sz w:val="24"/>
          <w:szCs w:val="24"/>
          <w:lang w:val="en-US"/>
        </w:rPr>
      </w:pPr>
      <w:bookmarkStart w:id="153" w:name="_Toc362878586"/>
      <w:bookmarkStart w:id="154" w:name="_Toc362879581"/>
      <w:bookmarkStart w:id="155" w:name="_Toc27401452"/>
      <w:bookmarkStart w:id="156" w:name="_Toc9326"/>
      <w:bookmarkStart w:id="157" w:name="_Toc26728"/>
      <w:bookmarkStart w:id="158" w:name="_Toc1927"/>
      <w:r>
        <w:rPr>
          <w:rFonts w:hint="eastAsia" w:ascii="宋体_GB2312" w:hAnsi="宋体_GB2312" w:eastAsia="宋体_GB2312"/>
          <w:sz w:val="24"/>
          <w:szCs w:val="24"/>
          <w:lang w:val="en-US"/>
        </w:rPr>
        <w:t>4.5 光纤活动连接器</w:t>
      </w:r>
      <w:bookmarkEnd w:id="153"/>
      <w:bookmarkEnd w:id="154"/>
      <w:r>
        <w:rPr>
          <w:rFonts w:hint="eastAsia" w:ascii="宋体_GB2312" w:hAnsi="宋体_GB2312" w:eastAsia="宋体_GB2312"/>
          <w:sz w:val="24"/>
          <w:szCs w:val="24"/>
          <w:lang w:val="en-US"/>
        </w:rPr>
        <w:t>插头</w:t>
      </w:r>
      <w:bookmarkEnd w:id="155"/>
      <w:bookmarkEnd w:id="156"/>
      <w:bookmarkEnd w:id="157"/>
      <w:bookmarkEnd w:id="158"/>
    </w:p>
    <w:p>
      <w:pPr>
        <w:spacing w:before="156" w:beforeLines="50" w:line="300" w:lineRule="auto"/>
        <w:ind w:firstLine="480" w:firstLineChars="200"/>
        <w:rPr>
          <w:rFonts w:ascii="宋体_GB2312" w:hAnsi="宋体_GB2312" w:eastAsia="宋体_GB2312"/>
          <w:sz w:val="24"/>
        </w:rPr>
      </w:pPr>
      <w:r>
        <w:rPr>
          <w:rFonts w:ascii="宋体_GB2312" w:hAnsi="宋体_GB2312" w:eastAsia="宋体_GB2312"/>
          <w:sz w:val="24"/>
        </w:rPr>
        <w:t>按照</w:t>
      </w:r>
      <w:r>
        <w:rPr>
          <w:rFonts w:hint="eastAsia" w:ascii="宋体_GB2312" w:hAnsi="宋体_GB2312" w:eastAsia="宋体_GB2312"/>
          <w:sz w:val="24"/>
        </w:rPr>
        <w:t>4.3、4.6</w:t>
      </w:r>
      <w:r>
        <w:rPr>
          <w:rFonts w:ascii="宋体_GB2312" w:hAnsi="宋体_GB2312" w:eastAsia="宋体_GB2312"/>
          <w:sz w:val="24"/>
        </w:rPr>
        <w:t>节要求。</w:t>
      </w:r>
    </w:p>
    <w:p>
      <w:pPr>
        <w:pStyle w:val="2"/>
        <w:adjustRightInd w:val="0"/>
        <w:spacing w:before="0" w:after="0" w:line="276" w:lineRule="auto"/>
        <w:textAlignment w:val="baseline"/>
        <w:rPr>
          <w:rFonts w:ascii="宋体_GB2312" w:hAnsi="宋体_GB2312" w:eastAsia="宋体_GB2312"/>
          <w:sz w:val="24"/>
          <w:szCs w:val="24"/>
          <w:lang w:val="en-US"/>
        </w:rPr>
      </w:pPr>
      <w:bookmarkStart w:id="159" w:name="_Toc13749"/>
      <w:bookmarkStart w:id="160" w:name="_Toc27821"/>
      <w:bookmarkStart w:id="161" w:name="_Toc362879582"/>
      <w:bookmarkStart w:id="162" w:name="_Toc362878587"/>
      <w:bookmarkStart w:id="163" w:name="_Toc27401453"/>
      <w:bookmarkStart w:id="164" w:name="_Toc27388"/>
      <w:r>
        <w:rPr>
          <w:rFonts w:hint="eastAsia" w:ascii="宋体_GB2312" w:hAnsi="宋体_GB2312" w:eastAsia="宋体_GB2312"/>
          <w:sz w:val="24"/>
          <w:szCs w:val="24"/>
          <w:lang w:val="en-US"/>
        </w:rPr>
        <w:t>4.6 零件材料的防腐性能</w:t>
      </w:r>
      <w:bookmarkEnd w:id="159"/>
      <w:bookmarkEnd w:id="160"/>
      <w:bookmarkEnd w:id="161"/>
      <w:bookmarkEnd w:id="162"/>
      <w:bookmarkEnd w:id="163"/>
      <w:bookmarkEnd w:id="164"/>
    </w:p>
    <w:p>
      <w:pPr>
        <w:pStyle w:val="42"/>
        <w:spacing w:line="560" w:lineRule="exact"/>
        <w:rPr>
          <w:rFonts w:ascii="宋体_GB2312" w:hAnsi="宋体_GB2312" w:eastAsia="宋体_GB2312"/>
          <w:sz w:val="24"/>
          <w:szCs w:val="24"/>
        </w:rPr>
      </w:pPr>
      <w:r>
        <w:rPr>
          <w:rFonts w:hint="eastAsia" w:ascii="宋体_GB2312" w:hAnsi="宋体_GB2312" w:eastAsia="宋体_GB2312"/>
          <w:sz w:val="24"/>
          <w:szCs w:val="24"/>
        </w:rPr>
        <w:t>4.6.1所有零件采用的材料应具有防腐性能，如无防腐性能应作防腐处理；其物理、化学性能必须稳定；各种材料之间必须相容。</w:t>
      </w:r>
    </w:p>
    <w:p>
      <w:pPr>
        <w:pStyle w:val="42"/>
        <w:spacing w:line="560" w:lineRule="exact"/>
        <w:rPr>
          <w:rFonts w:ascii="宋体_GB2312" w:hAnsi="宋体_GB2312" w:eastAsia="宋体_GB2312"/>
          <w:sz w:val="24"/>
        </w:rPr>
      </w:pPr>
      <w:r>
        <w:rPr>
          <w:rFonts w:hint="eastAsia" w:ascii="宋体_GB2312" w:hAnsi="宋体_GB2312" w:eastAsia="宋体_GB2312"/>
          <w:sz w:val="24"/>
        </w:rPr>
        <w:t>4.6.</w:t>
      </w:r>
      <w:r>
        <w:rPr>
          <w:rFonts w:ascii="宋体_GB2312" w:hAnsi="宋体_GB2312" w:eastAsia="宋体_GB2312"/>
          <w:sz w:val="24"/>
        </w:rPr>
        <w:t>2</w:t>
      </w:r>
      <w:r>
        <w:rPr>
          <w:rFonts w:hint="eastAsia" w:ascii="宋体_GB2312" w:hAnsi="宋体_GB2312" w:eastAsia="宋体_GB2312"/>
          <w:sz w:val="24"/>
        </w:rPr>
        <w:t xml:space="preserve"> 电镀件的防腐蚀性能</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表面采用电镀处理的金属结构件（含连接器）经过48小时连续盐雾试验后，外观不得有肉眼可见的锈斑。</w:t>
      </w:r>
    </w:p>
    <w:p>
      <w:pPr>
        <w:pStyle w:val="42"/>
        <w:spacing w:line="560" w:lineRule="exact"/>
        <w:rPr>
          <w:rFonts w:ascii="宋体_GB2312" w:hAnsi="宋体_GB2312" w:eastAsia="宋体_GB2312"/>
          <w:sz w:val="24"/>
        </w:rPr>
      </w:pPr>
      <w:r>
        <w:rPr>
          <w:rFonts w:hint="eastAsia" w:ascii="宋体_GB2312" w:hAnsi="宋体_GB2312" w:eastAsia="宋体_GB2312"/>
          <w:sz w:val="24"/>
        </w:rPr>
        <w:t>4.6.</w:t>
      </w:r>
      <w:r>
        <w:rPr>
          <w:rFonts w:ascii="宋体_GB2312" w:hAnsi="宋体_GB2312" w:eastAsia="宋体_GB2312"/>
          <w:sz w:val="24"/>
        </w:rPr>
        <w:t>3</w:t>
      </w:r>
      <w:r>
        <w:rPr>
          <w:rFonts w:hint="eastAsia" w:ascii="宋体_GB2312" w:hAnsi="宋体_GB2312" w:eastAsia="宋体_GB2312"/>
          <w:sz w:val="24"/>
        </w:rPr>
        <w:t xml:space="preserve"> 金属结构件涂层附着力</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采用涂覆处理的金属结构件，其涂层与基体应具有良好的附着力，附着力应不低于GB/T</w:t>
      </w:r>
      <w:r>
        <w:rPr>
          <w:rFonts w:ascii="宋体_GB2312" w:hAnsi="宋体_GB2312" w:eastAsia="宋体_GB2312"/>
          <w:sz w:val="24"/>
        </w:rPr>
        <w:t xml:space="preserve"> </w:t>
      </w:r>
      <w:r>
        <w:rPr>
          <w:rFonts w:hint="eastAsia" w:ascii="宋体_GB2312" w:hAnsi="宋体_GB2312" w:eastAsia="宋体_GB2312"/>
          <w:sz w:val="24"/>
        </w:rPr>
        <w:t>9286《色漆和清漆漆膜的划格试验》标准表1中2级要求。</w:t>
      </w:r>
    </w:p>
    <w:p>
      <w:pPr>
        <w:pStyle w:val="2"/>
        <w:adjustRightInd w:val="0"/>
        <w:spacing w:before="0" w:after="0" w:line="276" w:lineRule="auto"/>
        <w:textAlignment w:val="baseline"/>
        <w:rPr>
          <w:rFonts w:ascii="宋体_GB2312" w:hAnsi="宋体_GB2312" w:eastAsia="宋体_GB2312"/>
          <w:sz w:val="24"/>
          <w:szCs w:val="24"/>
          <w:lang w:val="en-US"/>
        </w:rPr>
      </w:pPr>
      <w:bookmarkStart w:id="165" w:name="_Toc14768"/>
      <w:bookmarkStart w:id="166" w:name="_Toc362878588"/>
      <w:bookmarkStart w:id="167" w:name="_Toc362879583"/>
      <w:bookmarkStart w:id="168" w:name="_Toc32316"/>
      <w:bookmarkStart w:id="169" w:name="_Toc27401454"/>
      <w:bookmarkStart w:id="170" w:name="_Toc23151"/>
      <w:r>
        <w:rPr>
          <w:rFonts w:hint="eastAsia" w:ascii="宋体_GB2312" w:hAnsi="宋体_GB2312" w:eastAsia="宋体_GB2312"/>
          <w:sz w:val="24"/>
          <w:szCs w:val="24"/>
          <w:lang w:val="en-US"/>
        </w:rPr>
        <w:t>5 环境要求</w:t>
      </w:r>
      <w:bookmarkEnd w:id="165"/>
      <w:bookmarkEnd w:id="166"/>
      <w:bookmarkEnd w:id="167"/>
      <w:bookmarkEnd w:id="168"/>
      <w:bookmarkEnd w:id="169"/>
      <w:bookmarkEnd w:id="170"/>
    </w:p>
    <w:p>
      <w:pPr>
        <w:pStyle w:val="2"/>
        <w:adjustRightInd w:val="0"/>
        <w:spacing w:before="0" w:after="0" w:line="276" w:lineRule="auto"/>
        <w:textAlignment w:val="baseline"/>
        <w:rPr>
          <w:rFonts w:ascii="宋体_GB2312" w:hAnsi="宋体_GB2312" w:eastAsia="宋体_GB2312"/>
          <w:sz w:val="24"/>
          <w:szCs w:val="24"/>
          <w:lang w:val="en-US"/>
        </w:rPr>
      </w:pPr>
      <w:bookmarkStart w:id="171" w:name="_Toc29195"/>
      <w:bookmarkStart w:id="172" w:name="_Toc10332"/>
      <w:bookmarkStart w:id="173" w:name="_Toc362879584"/>
      <w:bookmarkStart w:id="174" w:name="_Toc27401455"/>
      <w:bookmarkStart w:id="175" w:name="_Toc25746"/>
      <w:r>
        <w:rPr>
          <w:rFonts w:hint="eastAsia" w:ascii="宋体_GB2312" w:hAnsi="宋体_GB2312" w:eastAsia="宋体_GB2312"/>
          <w:sz w:val="24"/>
          <w:szCs w:val="24"/>
          <w:lang w:val="en-US"/>
        </w:rPr>
        <w:t>5.1 使用环境条件</w:t>
      </w:r>
      <w:bookmarkEnd w:id="171"/>
      <w:bookmarkEnd w:id="172"/>
      <w:bookmarkEnd w:id="173"/>
      <w:bookmarkEnd w:id="174"/>
      <w:bookmarkEnd w:id="175"/>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工作温度：-40℃～＋60℃。</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相对湿度：≤95％（+40℃）。</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大气压力：70kPa～106kPa。</w:t>
      </w:r>
    </w:p>
    <w:p>
      <w:pPr>
        <w:pStyle w:val="2"/>
        <w:adjustRightInd w:val="0"/>
        <w:spacing w:before="0" w:after="0" w:line="276" w:lineRule="auto"/>
        <w:textAlignment w:val="baseline"/>
        <w:rPr>
          <w:rFonts w:ascii="宋体_GB2312" w:hAnsi="宋体_GB2312" w:eastAsia="宋体_GB2312"/>
          <w:sz w:val="24"/>
          <w:szCs w:val="24"/>
          <w:lang w:val="en-US"/>
        </w:rPr>
      </w:pPr>
      <w:bookmarkStart w:id="176" w:name="_Toc27401456"/>
      <w:bookmarkStart w:id="177" w:name="_Toc29829"/>
      <w:bookmarkStart w:id="178" w:name="_Toc362879585"/>
      <w:bookmarkStart w:id="179" w:name="_Toc9286"/>
      <w:bookmarkStart w:id="180" w:name="_Toc2784"/>
      <w:r>
        <w:rPr>
          <w:rFonts w:hint="eastAsia" w:ascii="宋体_GB2312" w:hAnsi="宋体_GB2312" w:eastAsia="宋体_GB2312"/>
          <w:sz w:val="24"/>
          <w:szCs w:val="24"/>
          <w:lang w:val="en-US"/>
        </w:rPr>
        <w:t>5.2试验环境条件</w:t>
      </w:r>
      <w:bookmarkEnd w:id="176"/>
      <w:bookmarkEnd w:id="177"/>
      <w:bookmarkEnd w:id="178"/>
      <w:bookmarkEnd w:id="179"/>
      <w:bookmarkEnd w:id="180"/>
    </w:p>
    <w:p>
      <w:pPr>
        <w:pStyle w:val="42"/>
        <w:spacing w:before="156" w:beforeLines="50" w:line="560" w:lineRule="exact"/>
        <w:ind w:firstLine="480" w:firstLineChars="200"/>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.2.1</w:t>
      </w:r>
      <w:r>
        <w:rPr>
          <w:rFonts w:hint="eastAsia" w:ascii="宋体_GB2312" w:hAnsi="宋体_GB2312" w:eastAsia="宋体_GB2312"/>
          <w:sz w:val="24"/>
        </w:rPr>
        <w:t>试验</w:t>
      </w:r>
      <w:r>
        <w:rPr>
          <w:rFonts w:hint="eastAsia" w:ascii="宋体_GB2312" w:hAnsi="宋体_GB2312" w:eastAsia="宋体_GB2312"/>
          <w:sz w:val="24"/>
          <w:szCs w:val="24"/>
        </w:rPr>
        <w:t>条件</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试验在标准大气条件下进行。标准大气条件为温度：15℃～35℃，相对湿度不大于75％，大气压力为80kPa～106kPa。</w:t>
      </w:r>
    </w:p>
    <w:p>
      <w:pPr>
        <w:pStyle w:val="42"/>
        <w:keepNext/>
        <w:spacing w:line="560" w:lineRule="exact"/>
        <w:ind w:left="0" w:firstLine="480" w:firstLineChars="200"/>
        <w:contextualSpacing/>
        <w:jc w:val="left"/>
        <w:rPr>
          <w:rFonts w:ascii="宋体_GB2312" w:hAnsi="宋体_GB2312" w:eastAsia="宋体_GB2312"/>
          <w:sz w:val="24"/>
        </w:rPr>
      </w:pPr>
      <w:bookmarkStart w:id="181" w:name="_Toc194038096"/>
      <w:bookmarkStart w:id="182" w:name="_Toc402258704"/>
      <w:r>
        <w:rPr>
          <w:rFonts w:hint="eastAsia" w:ascii="宋体_GB2312" w:hAnsi="宋体_GB2312" w:eastAsia="宋体_GB2312"/>
          <w:sz w:val="24"/>
        </w:rPr>
        <w:t>5</w:t>
      </w:r>
      <w:r>
        <w:rPr>
          <w:rFonts w:ascii="宋体_GB2312" w:hAnsi="宋体_GB2312" w:eastAsia="宋体_GB2312"/>
          <w:sz w:val="24"/>
        </w:rPr>
        <w:t>.2.2</w:t>
      </w:r>
      <w:r>
        <w:rPr>
          <w:rFonts w:hint="eastAsia" w:ascii="宋体_GB2312" w:hAnsi="宋体_GB2312" w:eastAsia="宋体_GB2312"/>
          <w:sz w:val="24"/>
        </w:rPr>
        <w:t>外观结构检查</w:t>
      </w:r>
      <w:bookmarkEnd w:id="181"/>
      <w:bookmarkEnd w:id="182"/>
    </w:p>
    <w:p>
      <w:pPr>
        <w:keepNext w:val="0"/>
        <w:keepLines w:val="0"/>
        <w:numPr>
          <w:ilvl w:val="-1"/>
          <w:numId w:val="0"/>
        </w:numPr>
        <w:spacing w:before="156" w:beforeLines="50" w:line="300" w:lineRule="auto"/>
        <w:ind w:left="0" w:firstLine="480" w:firstLineChars="200"/>
        <w:contextualSpacing w:val="0"/>
        <w:rPr>
          <w:rFonts w:ascii="宋体_GB2312" w:hAnsi="宋体_GB2312" w:eastAsia="宋体_GB2312"/>
          <w:sz w:val="24"/>
          <w:lang w:val="en-GB"/>
        </w:rPr>
      </w:pPr>
      <w:r>
        <w:rPr>
          <w:rFonts w:hint="eastAsia" w:ascii="宋体_GB2312" w:hAnsi="宋体_GB2312" w:eastAsia="宋体_GB2312"/>
          <w:sz w:val="24"/>
        </w:rPr>
        <w:t>（1）</w:t>
      </w:r>
      <w:r>
        <w:rPr>
          <w:rFonts w:hint="eastAsia" w:ascii="宋体_GB2312" w:hAnsi="宋体_GB2312" w:eastAsia="宋体_GB2312"/>
          <w:sz w:val="24"/>
          <w:lang w:val="en-GB"/>
        </w:rPr>
        <w:t>用卡尺或卷尺检测箱体外形尺寸。</w:t>
      </w:r>
    </w:p>
    <w:p>
      <w:pPr>
        <w:keepNext w:val="0"/>
        <w:keepLines w:val="0"/>
        <w:numPr>
          <w:ilvl w:val="-1"/>
          <w:numId w:val="0"/>
        </w:numPr>
        <w:spacing w:before="156" w:beforeLines="50" w:line="300" w:lineRule="auto"/>
        <w:ind w:left="0" w:firstLine="480" w:firstLineChars="200"/>
        <w:contextualSpacing w:val="0"/>
        <w:rPr>
          <w:rFonts w:ascii="宋体_GB2312" w:hAnsi="宋体_GB2312" w:eastAsia="宋体_GB2312"/>
          <w:sz w:val="24"/>
          <w:lang w:val="en-GB"/>
        </w:rPr>
      </w:pPr>
      <w:r>
        <w:rPr>
          <w:rFonts w:hint="eastAsia" w:ascii="宋体_GB2312" w:hAnsi="宋体_GB2312" w:eastAsia="宋体_GB2312"/>
          <w:sz w:val="24"/>
        </w:rPr>
        <w:t>（2）</w:t>
      </w:r>
      <w:r>
        <w:rPr>
          <w:rFonts w:hint="eastAsia" w:ascii="宋体_GB2312" w:hAnsi="宋体_GB2312" w:eastAsia="宋体_GB2312"/>
          <w:sz w:val="24"/>
          <w:lang w:val="en-GB"/>
        </w:rPr>
        <w:t>用手实际操作转动、插拔、锁定部位应感觉适度，用万能角尺，检测机架门开启角度。</w:t>
      </w:r>
    </w:p>
    <w:p>
      <w:pPr>
        <w:keepNext w:val="0"/>
        <w:keepLines w:val="0"/>
        <w:numPr>
          <w:ilvl w:val="-1"/>
          <w:numId w:val="0"/>
        </w:numPr>
        <w:spacing w:before="156" w:beforeLines="50" w:line="300" w:lineRule="auto"/>
        <w:ind w:left="0" w:firstLine="480" w:firstLineChars="200"/>
        <w:contextualSpacing w:val="0"/>
        <w:rPr>
          <w:rFonts w:ascii="宋体_GB2312" w:hAnsi="宋体_GB2312" w:eastAsia="宋体_GB2312"/>
          <w:sz w:val="24"/>
          <w:lang w:val="en-GB"/>
        </w:rPr>
      </w:pPr>
      <w:r>
        <w:rPr>
          <w:rFonts w:hint="eastAsia" w:ascii="宋体_GB2312" w:hAnsi="宋体_GB2312" w:eastAsia="宋体_GB2312"/>
          <w:sz w:val="24"/>
        </w:rPr>
        <w:t>（3）</w:t>
      </w:r>
      <w:r>
        <w:rPr>
          <w:rFonts w:hint="eastAsia" w:ascii="宋体_GB2312" w:hAnsi="宋体_GB2312" w:eastAsia="宋体_GB2312"/>
          <w:sz w:val="24"/>
          <w:lang w:val="en-GB"/>
        </w:rPr>
        <w:t>用装配工具手工检查紧固件，用裸手触摸外露和操作部位。</w:t>
      </w:r>
    </w:p>
    <w:p>
      <w:pPr>
        <w:keepNext w:val="0"/>
        <w:keepLines w:val="0"/>
        <w:numPr>
          <w:ilvl w:val="-1"/>
          <w:numId w:val="0"/>
        </w:numPr>
        <w:spacing w:before="156" w:beforeLines="50" w:line="300" w:lineRule="auto"/>
        <w:ind w:left="0" w:firstLine="480" w:firstLineChars="200"/>
        <w:contextualSpacing w:val="0"/>
        <w:rPr>
          <w:rFonts w:ascii="宋体_GB2312" w:hAnsi="宋体_GB2312" w:eastAsia="宋体_GB2312"/>
          <w:sz w:val="24"/>
          <w:lang w:val="en-GB"/>
        </w:rPr>
      </w:pPr>
      <w:r>
        <w:rPr>
          <w:rFonts w:hint="eastAsia" w:ascii="宋体_GB2312" w:hAnsi="宋体_GB2312" w:eastAsia="宋体_GB2312"/>
          <w:sz w:val="24"/>
        </w:rPr>
        <w:t>（4）</w:t>
      </w:r>
      <w:r>
        <w:rPr>
          <w:rFonts w:hint="eastAsia" w:ascii="宋体_GB2312" w:hAnsi="宋体_GB2312" w:eastAsia="宋体_GB2312"/>
          <w:sz w:val="24"/>
          <w:lang w:val="en-GB"/>
        </w:rPr>
        <w:t>用</w:t>
      </w:r>
      <w:r>
        <w:rPr>
          <w:rFonts w:ascii="宋体_GB2312" w:hAnsi="宋体_GB2312" w:eastAsia="宋体_GB2312"/>
          <w:sz w:val="24"/>
          <w:lang w:val="en-GB"/>
        </w:rPr>
        <w:t>R量规检测光缆尾纤的弯曲半径。</w:t>
      </w:r>
    </w:p>
    <w:p>
      <w:pPr>
        <w:keepNext w:val="0"/>
        <w:keepLines w:val="0"/>
        <w:numPr>
          <w:ilvl w:val="-1"/>
          <w:numId w:val="0"/>
        </w:numPr>
        <w:spacing w:before="156" w:beforeLines="50" w:line="300" w:lineRule="auto"/>
        <w:ind w:left="0" w:firstLine="480" w:firstLineChars="200"/>
        <w:contextualSpacing w:val="0"/>
        <w:rPr>
          <w:rFonts w:ascii="宋体_GB2312" w:hAnsi="宋体_GB2312" w:eastAsia="宋体_GB2312"/>
          <w:sz w:val="24"/>
          <w:lang w:val="en-GB"/>
        </w:rPr>
      </w:pPr>
      <w:r>
        <w:rPr>
          <w:rFonts w:hint="eastAsia" w:ascii="宋体_GB2312" w:hAnsi="宋体_GB2312" w:eastAsia="宋体_GB2312"/>
          <w:sz w:val="24"/>
        </w:rPr>
        <w:t>（5）</w:t>
      </w:r>
      <w:r>
        <w:rPr>
          <w:rFonts w:hint="eastAsia" w:ascii="宋体_GB2312" w:hAnsi="宋体_GB2312" w:eastAsia="宋体_GB2312"/>
          <w:sz w:val="24"/>
          <w:lang w:val="en-GB"/>
        </w:rPr>
        <w:t>其它用目视方法检查。</w:t>
      </w:r>
    </w:p>
    <w:p>
      <w:pPr>
        <w:pStyle w:val="42"/>
        <w:keepNext/>
        <w:spacing w:line="560" w:lineRule="exact"/>
        <w:ind w:left="0" w:firstLine="480" w:firstLineChars="200"/>
        <w:contextualSpacing/>
        <w:jc w:val="left"/>
        <w:rPr>
          <w:rFonts w:ascii="宋体_GB2312" w:hAnsi="宋体_GB2312" w:eastAsia="宋体_GB2312"/>
          <w:sz w:val="24"/>
        </w:rPr>
      </w:pPr>
      <w:bookmarkStart w:id="183" w:name="_Toc402258705"/>
      <w:bookmarkStart w:id="184" w:name="_Toc402257798"/>
      <w:bookmarkStart w:id="185" w:name="_Toc194038097"/>
      <w:r>
        <w:rPr>
          <w:rFonts w:hint="eastAsia" w:ascii="宋体_GB2312" w:hAnsi="宋体_GB2312" w:eastAsia="宋体_GB2312"/>
          <w:sz w:val="24"/>
        </w:rPr>
        <w:t>5</w:t>
      </w:r>
      <w:r>
        <w:rPr>
          <w:rFonts w:ascii="宋体_GB2312" w:hAnsi="宋体_GB2312" w:eastAsia="宋体_GB2312"/>
          <w:sz w:val="24"/>
        </w:rPr>
        <w:t>.2.3</w:t>
      </w:r>
      <w:r>
        <w:rPr>
          <w:rFonts w:hint="eastAsia" w:ascii="宋体_GB2312" w:hAnsi="宋体_GB2312" w:eastAsia="宋体_GB2312"/>
          <w:sz w:val="24"/>
        </w:rPr>
        <w:t>功能检查</w:t>
      </w:r>
      <w:bookmarkEnd w:id="183"/>
      <w:bookmarkEnd w:id="184"/>
      <w:bookmarkEnd w:id="185"/>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
          <w:sz w:val="24"/>
        </w:rPr>
      </w:pPr>
      <w:r>
        <w:rPr>
          <w:rFonts w:hint="eastAsia" w:ascii="宋体_GB2312" w:hAnsi="宋体_GB2312" w:eastAsia="宋体_GB2312"/>
          <w:kern w:val="2"/>
          <w:sz w:val="24"/>
        </w:rPr>
        <w:t>按装配图检查产品所有零部件应无遗漏，采用视察法和操作验证法检查各个功能装置安装齐备性及其达到的功能性。</w:t>
      </w:r>
    </w:p>
    <w:p>
      <w:pPr>
        <w:pStyle w:val="42"/>
        <w:keepNext/>
        <w:spacing w:line="560" w:lineRule="exact"/>
        <w:ind w:left="0" w:firstLine="480" w:firstLineChars="200"/>
        <w:contextualSpacing/>
        <w:jc w:val="left"/>
        <w:rPr>
          <w:rFonts w:ascii="宋体_GB2312" w:hAnsi="宋体_GB2312" w:eastAsia="宋体_GB2312"/>
          <w:sz w:val="24"/>
        </w:rPr>
      </w:pPr>
      <w:bookmarkStart w:id="186" w:name="_Toc402257799"/>
      <w:bookmarkStart w:id="187" w:name="_Toc194038098"/>
      <w:bookmarkStart w:id="188" w:name="_Toc402258706"/>
      <w:r>
        <w:rPr>
          <w:rFonts w:hint="eastAsia" w:ascii="宋体_GB2312" w:hAnsi="宋体_GB2312" w:eastAsia="宋体_GB2312"/>
          <w:sz w:val="24"/>
        </w:rPr>
        <w:t>5</w:t>
      </w:r>
      <w:r>
        <w:rPr>
          <w:rFonts w:ascii="宋体_GB2312" w:hAnsi="宋体_GB2312" w:eastAsia="宋体_GB2312"/>
          <w:sz w:val="24"/>
        </w:rPr>
        <w:t>.2.4</w:t>
      </w:r>
      <w:r>
        <w:rPr>
          <w:rFonts w:hint="eastAsia" w:ascii="宋体_GB2312" w:hAnsi="宋体_GB2312" w:eastAsia="宋体_GB2312"/>
          <w:sz w:val="24"/>
        </w:rPr>
        <w:t>光纤活动连接器性能试验</w:t>
      </w:r>
      <w:bookmarkEnd w:id="186"/>
      <w:bookmarkEnd w:id="187"/>
      <w:bookmarkEnd w:id="188"/>
    </w:p>
    <w:p>
      <w:pPr>
        <w:pStyle w:val="42"/>
        <w:keepNext/>
        <w:spacing w:line="560" w:lineRule="exact"/>
        <w:ind w:firstLine="480" w:firstLineChars="200"/>
        <w:contextualSpacing/>
        <w:jc w:val="left"/>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.2.4.1</w:t>
      </w:r>
      <w:r>
        <w:rPr>
          <w:rFonts w:hint="eastAsia" w:ascii="宋体_GB2312" w:hAnsi="宋体_GB2312" w:eastAsia="宋体_GB2312"/>
          <w:sz w:val="24"/>
          <w:lang w:val="en-US"/>
        </w:rPr>
        <w:t>插入损耗测试</w:t>
      </w:r>
    </w:p>
    <w:p>
      <w:pPr>
        <w:keepNext/>
        <w:widowControl/>
        <w:spacing w:line="360" w:lineRule="auto"/>
        <w:ind w:firstLine="420" w:firstLineChars="200"/>
        <w:contextualSpacing/>
        <w:jc w:val="center"/>
        <w:rPr>
          <w:rFonts w:ascii="宋体" w:hAnsi="宋体"/>
          <w:color w:val="FF0000"/>
          <w:kern w:val="0"/>
        </w:rPr>
      </w:pPr>
    </w:p>
    <w:p>
      <w:pPr>
        <w:keepNext/>
        <w:widowControl/>
        <w:spacing w:line="360" w:lineRule="auto"/>
        <w:ind w:firstLine="420" w:firstLineChars="200"/>
        <w:contextualSpacing/>
        <w:jc w:val="center"/>
        <w:rPr>
          <w:rFonts w:ascii="宋体" w:hAnsi="宋体"/>
          <w:color w:val="FF0000"/>
          <w:kern w:val="0"/>
        </w:rPr>
      </w:pPr>
      <w:r>
        <w:drawing>
          <wp:inline distT="0" distB="0" distL="0" distR="0">
            <wp:extent cx="5641340" cy="1920240"/>
            <wp:effectExtent l="0" t="0" r="0" b="381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43"/>
                    <a:stretch>
                      <a:fillRect/>
                    </a:stretch>
                  </pic:blipFill>
                  <pic:spPr>
                    <a:xfrm>
                      <a:off x="0" y="0"/>
                      <a:ext cx="5646250" cy="1921797"/>
                    </a:xfrm>
                    <a:prstGeom prst="rect">
                      <a:avLst/>
                    </a:prstGeom>
                  </pic:spPr>
                </pic:pic>
              </a:graphicData>
            </a:graphic>
          </wp:inline>
        </w:drawing>
      </w:r>
    </w:p>
    <w:p>
      <w:pPr>
        <w:pStyle w:val="35"/>
        <w:keepNext/>
        <w:widowControl/>
        <w:spacing w:line="360" w:lineRule="auto"/>
        <w:ind w:firstLine="480" w:firstLineChars="200"/>
        <w:contextualSpacing/>
        <w:jc w:val="center"/>
        <w:rPr>
          <w:rFonts w:ascii="宋体_GB2312" w:hAnsi="宋体_GB2312" w:eastAsia="宋体_GB2312"/>
          <w:color w:val="auto"/>
          <w:kern w:val="0"/>
          <w:sz w:val="24"/>
        </w:rPr>
      </w:pPr>
      <w:r>
        <w:rPr>
          <w:rFonts w:hint="eastAsia" w:ascii="宋体_GB2312" w:hAnsi="宋体_GB2312" w:eastAsia="宋体_GB2312"/>
          <w:color w:val="auto"/>
          <w:kern w:val="0"/>
          <w:sz w:val="24"/>
          <w:szCs w:val="24"/>
        </w:rPr>
        <w:t>图</w:t>
      </w:r>
      <w:r>
        <w:rPr>
          <w:rFonts w:ascii="宋体_GB2312" w:hAnsi="宋体_GB2312" w:eastAsia="宋体_GB2312"/>
          <w:color w:val="auto"/>
          <w:sz w:val="24"/>
          <w:szCs w:val="24"/>
        </w:rPr>
        <w:t>29</w:t>
      </w:r>
      <w:r>
        <w:rPr>
          <w:rFonts w:ascii="宋体_GB2312" w:hAnsi="宋体_GB2312" w:eastAsia="宋体_GB2312"/>
          <w:color w:val="auto"/>
          <w:kern w:val="0"/>
          <w:sz w:val="24"/>
          <w:szCs w:val="24"/>
        </w:rPr>
        <w:t xml:space="preserve">  插入损耗测试原理图</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
          <w:sz w:val="24"/>
        </w:rPr>
      </w:pPr>
      <w:r>
        <w:rPr>
          <w:rFonts w:hint="eastAsia" w:ascii="宋体_GB2312" w:hAnsi="宋体_GB2312" w:eastAsia="宋体_GB2312"/>
          <w:kern w:val="2"/>
          <w:sz w:val="24"/>
        </w:rPr>
        <w:t>将标准跳纤按虚线连接（</w:t>
      </w:r>
      <w:r>
        <w:rPr>
          <w:rFonts w:ascii="宋体_GB2312" w:hAnsi="宋体_GB2312" w:eastAsia="宋体_GB2312"/>
          <w:kern w:val="2"/>
          <w:sz w:val="24"/>
        </w:rPr>
        <w:t>S</w:t>
      </w:r>
      <w:r>
        <w:rPr>
          <w:rFonts w:ascii="宋体_GB2312" w:hAnsi="宋体_GB2312" w:eastAsia="宋体_GB2312"/>
          <w:kern w:val="2"/>
          <w:sz w:val="24"/>
          <w:vertAlign w:val="subscript"/>
        </w:rPr>
        <w:t>1</w:t>
      </w:r>
      <w:r>
        <w:rPr>
          <w:rFonts w:ascii="宋体_GB2312" w:hAnsi="宋体_GB2312" w:eastAsia="宋体_GB2312"/>
          <w:kern w:val="2"/>
          <w:sz w:val="24"/>
        </w:rPr>
        <w:t>R</w:t>
      </w:r>
      <w:r>
        <w:rPr>
          <w:rFonts w:ascii="宋体_GB2312" w:hAnsi="宋体_GB2312" w:eastAsia="宋体_GB2312"/>
          <w:kern w:val="2"/>
          <w:sz w:val="24"/>
          <w:vertAlign w:val="subscript"/>
        </w:rPr>
        <w:t>2</w:t>
      </w:r>
      <w:r>
        <w:rPr>
          <w:rFonts w:hint="eastAsia" w:ascii="宋体_GB2312" w:hAnsi="宋体_GB2312" w:eastAsia="宋体_GB2312"/>
          <w:kern w:val="2"/>
          <w:sz w:val="24"/>
        </w:rPr>
        <w:t>），调测使得光功率为</w:t>
      </w:r>
      <w:r>
        <w:rPr>
          <w:rFonts w:ascii="宋体_GB2312" w:hAnsi="宋体_GB2312" w:eastAsia="宋体_GB2312"/>
          <w:kern w:val="2"/>
          <w:sz w:val="24"/>
        </w:rPr>
        <w:t>0dB，（利用置0键）。然后将被测跳纤按图2</w:t>
      </w:r>
      <w:r>
        <w:rPr>
          <w:rFonts w:ascii="宋体_GB2312" w:hAnsi="宋体_GB2312" w:eastAsia="宋体_GB2312"/>
          <w:sz w:val="24"/>
        </w:rPr>
        <w:t>9</w:t>
      </w:r>
      <w:r>
        <w:rPr>
          <w:rFonts w:hint="eastAsia" w:ascii="宋体_GB2312" w:hAnsi="宋体_GB2312" w:eastAsia="宋体_GB2312"/>
          <w:kern w:val="2"/>
          <w:sz w:val="24"/>
        </w:rPr>
        <w:t>中实线连接，测得的光功率值为</w:t>
      </w:r>
      <w:r>
        <w:rPr>
          <w:rFonts w:ascii="宋体_GB2312" w:hAnsi="宋体_GB2312" w:eastAsia="宋体_GB2312"/>
          <w:kern w:val="2"/>
          <w:sz w:val="24"/>
        </w:rPr>
        <w:t>R</w:t>
      </w:r>
      <w:r>
        <w:rPr>
          <w:rFonts w:ascii="宋体_GB2312" w:hAnsi="宋体_GB2312" w:eastAsia="宋体_GB2312"/>
          <w:kern w:val="2"/>
          <w:sz w:val="24"/>
          <w:vertAlign w:val="subscript"/>
        </w:rPr>
        <w:t>1</w:t>
      </w:r>
      <w:r>
        <w:rPr>
          <w:rFonts w:hint="eastAsia" w:ascii="宋体_GB2312" w:hAnsi="宋体_GB2312" w:eastAsia="宋体_GB2312"/>
          <w:kern w:val="2"/>
          <w:sz w:val="24"/>
        </w:rPr>
        <w:t>端对应的插入损耗值。同理，将被测跳纤调换方向，则可测出另一端对应的插入损耗值。</w:t>
      </w:r>
    </w:p>
    <w:p>
      <w:pPr>
        <w:pStyle w:val="42"/>
        <w:keepNext/>
        <w:keepLines w:val="0"/>
        <w:numPr>
          <w:ilvl w:val="-1"/>
          <w:numId w:val="0"/>
        </w:numPr>
        <w:spacing w:line="560" w:lineRule="exact"/>
        <w:ind w:left="0" w:firstLine="480" w:firstLineChars="200"/>
        <w:contextualSpacing/>
        <w:jc w:val="left"/>
        <w:rPr>
          <w:rFonts w:ascii="宋体_GB2312" w:hAnsi="宋体_GB2312" w:eastAsia="宋体_GB2312"/>
          <w:sz w:val="24"/>
          <w:lang w:val="en-GB"/>
        </w:rPr>
      </w:pPr>
      <w:r>
        <w:rPr>
          <w:rFonts w:hint="eastAsia" w:ascii="宋体_GB2312" w:hAnsi="宋体_GB2312" w:eastAsia="宋体_GB2312"/>
          <w:sz w:val="24"/>
        </w:rPr>
        <w:t>5</w:t>
      </w:r>
      <w:r>
        <w:rPr>
          <w:rFonts w:ascii="宋体_GB2312" w:hAnsi="宋体_GB2312" w:eastAsia="宋体_GB2312"/>
          <w:sz w:val="24"/>
        </w:rPr>
        <w:t>.2.4.2</w:t>
      </w:r>
      <w:r>
        <w:rPr>
          <w:rFonts w:hint="eastAsia" w:ascii="宋体_GB2312" w:hAnsi="宋体_GB2312" w:eastAsia="宋体_GB2312"/>
          <w:sz w:val="24"/>
          <w:lang w:val="en-GB"/>
        </w:rPr>
        <w:t>回波损耗测试</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
          <w:sz w:val="24"/>
        </w:rPr>
      </w:pPr>
      <w:r>
        <w:rPr>
          <w:rFonts w:hint="eastAsia" w:ascii="宋体_GB2312" w:hAnsi="宋体_GB2312" w:eastAsia="宋体_GB2312"/>
          <w:kern w:val="2"/>
          <w:sz w:val="24"/>
        </w:rPr>
        <w:t>回波损耗测试可采用替代法或基准法中任意一种。当对测试结果发生争议时，应以基准法为准。</w:t>
      </w:r>
    </w:p>
    <w:p>
      <w:pPr>
        <w:keepNext w:val="0"/>
        <w:spacing w:before="156" w:beforeLines="50" w:line="300" w:lineRule="auto"/>
        <w:ind w:firstLine="480" w:firstLineChars="200"/>
        <w:contextualSpacing w:val="0"/>
        <w:rPr>
          <w:rFonts w:ascii="宋体_GB2312" w:hAnsi="宋体_GB2312" w:eastAsia="宋体_GB2312"/>
          <w:sz w:val="24"/>
          <w:szCs w:val="24"/>
        </w:rPr>
      </w:pPr>
      <w:r>
        <w:rPr>
          <w:rFonts w:hint="eastAsia" w:ascii="宋体_GB2312" w:hAnsi="宋体_GB2312" w:eastAsia="宋体_GB2312"/>
          <w:sz w:val="24"/>
          <w:szCs w:val="24"/>
        </w:rPr>
        <w:t>（</w:t>
      </w:r>
      <w:r>
        <w:rPr>
          <w:rFonts w:ascii="宋体_GB2312" w:hAnsi="宋体_GB2312" w:eastAsia="宋体_GB2312"/>
          <w:sz w:val="24"/>
          <w:szCs w:val="24"/>
        </w:rPr>
        <w:t>1）替代法</w:t>
      </w:r>
      <w:r>
        <w:rPr>
          <w:rFonts w:hint="eastAsia" w:ascii="宋体_GB2312" w:hAnsi="宋体_GB2312" w:eastAsia="宋体_GB2312"/>
          <w:sz w:val="24"/>
        </w:rPr>
        <w:t>如图3</w:t>
      </w:r>
      <w:r>
        <w:rPr>
          <w:rFonts w:ascii="宋体_GB2312" w:hAnsi="宋体_GB2312" w:eastAsia="宋体_GB2312"/>
          <w:sz w:val="24"/>
        </w:rPr>
        <w:t>0</w:t>
      </w:r>
      <w:r>
        <w:rPr>
          <w:rFonts w:hint="eastAsia" w:ascii="宋体_GB2312" w:hAnsi="宋体_GB2312" w:eastAsia="宋体_GB2312"/>
          <w:sz w:val="24"/>
        </w:rPr>
        <w:t>所示。</w:t>
      </w:r>
    </w:p>
    <w:p>
      <w:pPr>
        <w:keepNext/>
        <w:widowControl/>
        <w:spacing w:line="360" w:lineRule="auto"/>
        <w:ind w:firstLine="420" w:firstLineChars="200"/>
        <w:contextualSpacing/>
        <w:jc w:val="center"/>
        <w:rPr>
          <w:rFonts w:ascii="宋体" w:hAnsi="宋体"/>
          <w:color w:val="FF0000"/>
          <w:kern w:val="0"/>
        </w:rPr>
      </w:pPr>
      <w:r>
        <w:rPr>
          <w:rFonts w:ascii="宋体" w:hAnsi="宋体"/>
          <w:color w:val="FF0000"/>
          <w:kern w:val="0"/>
        </w:rPr>
        <mc:AlternateContent>
          <mc:Choice Requires="wpg">
            <w:drawing>
              <wp:anchor distT="0" distB="0" distL="114300" distR="114300" simplePos="0" relativeHeight="251662336" behindDoc="0" locked="0" layoutInCell="1" allowOverlap="1">
                <wp:simplePos x="0" y="0"/>
                <wp:positionH relativeFrom="column">
                  <wp:posOffset>397510</wp:posOffset>
                </wp:positionH>
                <wp:positionV relativeFrom="paragraph">
                  <wp:posOffset>171450</wp:posOffset>
                </wp:positionV>
                <wp:extent cx="4427855" cy="1241425"/>
                <wp:effectExtent l="12065" t="13335" r="8255" b="12065"/>
                <wp:wrapNone/>
                <wp:docPr id="60" name="组合 60"/>
                <wp:cNvGraphicFramePr/>
                <a:graphic xmlns:a="http://schemas.openxmlformats.org/drawingml/2006/main">
                  <a:graphicData uri="http://schemas.microsoft.com/office/word/2010/wordprocessingGroup">
                    <wpg:wgp>
                      <wpg:cNvGrpSpPr/>
                      <wpg:grpSpPr>
                        <a:xfrm>
                          <a:off x="0" y="0"/>
                          <a:ext cx="4427855" cy="1241425"/>
                          <a:chOff x="2320" y="7924"/>
                          <a:chExt cx="6973" cy="1955"/>
                        </a:xfrm>
                      </wpg:grpSpPr>
                      <wps:wsp>
                        <wps:cNvPr id="61" name="Rectangle 72"/>
                        <wps:cNvSpPr>
                          <a:spLocks noChangeArrowheads="1"/>
                        </wps:cNvSpPr>
                        <wps:spPr bwMode="auto">
                          <a:xfrm>
                            <a:off x="5933" y="8306"/>
                            <a:ext cx="1260" cy="1248"/>
                          </a:xfrm>
                          <a:prstGeom prst="rect">
                            <a:avLst/>
                          </a:prstGeom>
                          <a:solidFill>
                            <a:srgbClr val="FFFFFF"/>
                          </a:solidFill>
                          <a:ln w="15875">
                            <a:solidFill>
                              <a:srgbClr val="000000"/>
                            </a:solidFill>
                            <a:miter lim="800000"/>
                          </a:ln>
                        </wps:spPr>
                        <wps:bodyPr rot="0" vert="horz" wrap="square" lIns="91440" tIns="45720" rIns="91440" bIns="45720" anchor="t" anchorCtr="0" upright="1">
                          <a:noAutofit/>
                        </wps:bodyPr>
                      </wps:wsp>
                      <wps:wsp>
                        <wps:cNvPr id="62" name="Text Box 73"/>
                        <wps:cNvSpPr txBox="1">
                          <a:spLocks noChangeArrowheads="1"/>
                        </wps:cNvSpPr>
                        <wps:spPr bwMode="auto">
                          <a:xfrm>
                            <a:off x="6773" y="9086"/>
                            <a:ext cx="315" cy="312"/>
                          </a:xfrm>
                          <a:prstGeom prst="rect">
                            <a:avLst/>
                          </a:prstGeom>
                          <a:solidFill>
                            <a:srgbClr val="FFFFFF"/>
                          </a:solidFill>
                          <a:ln w="9525">
                            <a:solidFill>
                              <a:srgbClr val="FFFFFF"/>
                            </a:solidFill>
                            <a:miter lim="800000"/>
                          </a:ln>
                        </wps:spPr>
                        <wps:txbx>
                          <w:txbxContent>
                            <w:p>
                              <w:r>
                                <w:rPr>
                                  <w:rFonts w:hint="eastAsia"/>
                                </w:rPr>
                                <w:t>R</w:t>
                              </w:r>
                              <w:r>
                                <w:rPr>
                                  <w:rFonts w:hint="eastAsia"/>
                                  <w:vertAlign w:val="subscript"/>
                                </w:rPr>
                                <w:t>1</w:t>
                              </w:r>
                            </w:p>
                          </w:txbxContent>
                        </wps:txbx>
                        <wps:bodyPr rot="0" vert="horz" wrap="square" lIns="7200" tIns="7200" rIns="7200" bIns="7200" anchor="t" anchorCtr="0" upright="1">
                          <a:noAutofit/>
                        </wps:bodyPr>
                      </wps:wsp>
                      <wps:wsp>
                        <wps:cNvPr id="63" name="Text Box 74"/>
                        <wps:cNvSpPr txBox="1">
                          <a:spLocks noChangeArrowheads="1"/>
                        </wps:cNvSpPr>
                        <wps:spPr bwMode="auto">
                          <a:xfrm>
                            <a:off x="6038" y="9086"/>
                            <a:ext cx="315" cy="312"/>
                          </a:xfrm>
                          <a:prstGeom prst="rect">
                            <a:avLst/>
                          </a:prstGeom>
                          <a:solidFill>
                            <a:srgbClr val="FFFFFF"/>
                          </a:solidFill>
                          <a:ln w="9525">
                            <a:solidFill>
                              <a:srgbClr val="FFFFFF"/>
                            </a:solidFill>
                            <a:miter lim="800000"/>
                          </a:ln>
                        </wps:spPr>
                        <wps:txbx>
                          <w:txbxContent>
                            <w:p>
                              <w:r>
                                <w:rPr>
                                  <w:rFonts w:hint="eastAsia"/>
                                </w:rPr>
                                <w:t>S</w:t>
                              </w:r>
                              <w:r>
                                <w:rPr>
                                  <w:rFonts w:hint="eastAsia"/>
                                  <w:vertAlign w:val="subscript"/>
                                </w:rPr>
                                <w:t>2</w:t>
                              </w:r>
                            </w:p>
                          </w:txbxContent>
                        </wps:txbx>
                        <wps:bodyPr rot="0" vert="horz" wrap="square" lIns="7200" tIns="7200" rIns="7200" bIns="7200" anchor="t" anchorCtr="0" upright="1">
                          <a:noAutofit/>
                        </wps:bodyPr>
                      </wps:wsp>
                      <wps:wsp>
                        <wps:cNvPr id="64" name="Rectangle 75"/>
                        <wps:cNvSpPr>
                          <a:spLocks noChangeArrowheads="1"/>
                        </wps:cNvSpPr>
                        <wps:spPr bwMode="auto">
                          <a:xfrm>
                            <a:off x="3833" y="8979"/>
                            <a:ext cx="227" cy="91"/>
                          </a:xfrm>
                          <a:prstGeom prst="rect">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65" name="Rectangle 76"/>
                        <wps:cNvSpPr>
                          <a:spLocks noChangeArrowheads="1"/>
                        </wps:cNvSpPr>
                        <wps:spPr bwMode="auto">
                          <a:xfrm>
                            <a:off x="6143" y="8979"/>
                            <a:ext cx="227" cy="91"/>
                          </a:xfrm>
                          <a:prstGeom prst="rect">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66" name="Oval 77"/>
                        <wps:cNvSpPr>
                          <a:spLocks noChangeAspect="1" noChangeArrowheads="1"/>
                        </wps:cNvSpPr>
                        <wps:spPr bwMode="auto">
                          <a:xfrm>
                            <a:off x="4684" y="8774"/>
                            <a:ext cx="514" cy="474"/>
                          </a:xfrm>
                          <a:prstGeom prst="ellipse">
                            <a:avLst/>
                          </a:prstGeom>
                          <a:solidFill>
                            <a:srgbClr val="FFFFFF"/>
                          </a:solidFill>
                          <a:ln w="19050">
                            <a:solidFill>
                              <a:srgbClr val="000000"/>
                            </a:solidFill>
                            <a:round/>
                          </a:ln>
                        </wps:spPr>
                        <wps:bodyPr rot="0" vert="horz" wrap="square" lIns="91440" tIns="45720" rIns="91440" bIns="45720" anchor="t" anchorCtr="0" upright="1">
                          <a:noAutofit/>
                        </wps:bodyPr>
                      </wps:wsp>
                      <wpg:grpSp>
                        <wpg:cNvPr id="67" name="Group 78"/>
                        <wpg:cNvGrpSpPr>
                          <a:grpSpLocks noChangeAspect="1"/>
                        </wpg:cNvGrpSpPr>
                        <wpg:grpSpPr>
                          <a:xfrm rot="2700000">
                            <a:off x="4899" y="8806"/>
                            <a:ext cx="100" cy="236"/>
                            <a:chOff x="3987" y="6083"/>
                            <a:chExt cx="210" cy="624"/>
                          </a:xfrm>
                        </wpg:grpSpPr>
                        <wps:wsp>
                          <wps:cNvPr id="68" name="AutoShape 79"/>
                          <wps:cNvSpPr>
                            <a:spLocks noChangeAspect="1" noChangeArrowheads="1"/>
                          </wps:cNvSpPr>
                          <wps:spPr bwMode="auto">
                            <a:xfrm>
                              <a:off x="3987" y="6083"/>
                              <a:ext cx="210" cy="468"/>
                            </a:xfrm>
                            <a:prstGeom prst="triangle">
                              <a:avLst>
                                <a:gd name="adj" fmla="val 50000"/>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69" name="Line 80"/>
                          <wps:cNvCnPr>
                            <a:cxnSpLocks noChangeAspect="1" noChangeShapeType="1"/>
                          </wps:cNvCnPr>
                          <wps:spPr bwMode="auto">
                            <a:xfrm flipV="1">
                              <a:off x="4095" y="6239"/>
                              <a:ext cx="0" cy="468"/>
                            </a:xfrm>
                            <a:prstGeom prst="line">
                              <a:avLst/>
                            </a:prstGeom>
                            <a:noFill/>
                            <a:ln w="19050">
                              <a:solidFill>
                                <a:srgbClr val="000000"/>
                              </a:solidFill>
                              <a:round/>
                            </a:ln>
                          </wps:spPr>
                          <wps:bodyPr/>
                        </wps:wsp>
                      </wpg:grpSp>
                      <wpg:grpSp>
                        <wpg:cNvPr id="70" name="Group 81"/>
                        <wpg:cNvGrpSpPr>
                          <a:grpSpLocks noChangeAspect="1"/>
                        </wpg:cNvGrpSpPr>
                        <wpg:grpSpPr>
                          <a:xfrm rot="2700000">
                            <a:off x="4900" y="8988"/>
                            <a:ext cx="98" cy="236"/>
                            <a:chOff x="3987" y="6083"/>
                            <a:chExt cx="210" cy="624"/>
                          </a:xfrm>
                        </wpg:grpSpPr>
                        <wps:wsp>
                          <wps:cNvPr id="71" name="AutoShape 82"/>
                          <wps:cNvSpPr>
                            <a:spLocks noChangeAspect="1" noChangeArrowheads="1"/>
                          </wps:cNvSpPr>
                          <wps:spPr bwMode="auto">
                            <a:xfrm>
                              <a:off x="3987" y="6083"/>
                              <a:ext cx="210" cy="468"/>
                            </a:xfrm>
                            <a:prstGeom prst="triangle">
                              <a:avLst>
                                <a:gd name="adj" fmla="val 50000"/>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72" name="Line 83"/>
                          <wps:cNvCnPr>
                            <a:cxnSpLocks noChangeAspect="1" noChangeShapeType="1"/>
                          </wps:cNvCnPr>
                          <wps:spPr bwMode="auto">
                            <a:xfrm flipV="1">
                              <a:off x="4095" y="6239"/>
                              <a:ext cx="0" cy="468"/>
                            </a:xfrm>
                            <a:prstGeom prst="line">
                              <a:avLst/>
                            </a:prstGeom>
                            <a:noFill/>
                            <a:ln w="19050">
                              <a:solidFill>
                                <a:srgbClr val="000000"/>
                              </a:solidFill>
                              <a:round/>
                            </a:ln>
                          </wps:spPr>
                          <wps:bodyPr/>
                        </wps:wsp>
                      </wpg:grpSp>
                      <wps:wsp>
                        <wps:cNvPr id="73" name="Line 84"/>
                        <wps:cNvCnPr>
                          <a:cxnSpLocks noChangeAspect="1" noChangeShapeType="1"/>
                        </wps:cNvCnPr>
                        <wps:spPr bwMode="auto">
                          <a:xfrm>
                            <a:off x="4043" y="9031"/>
                            <a:ext cx="2100" cy="0"/>
                          </a:xfrm>
                          <a:prstGeom prst="line">
                            <a:avLst/>
                          </a:prstGeom>
                          <a:noFill/>
                          <a:ln w="15875">
                            <a:solidFill>
                              <a:srgbClr val="000000"/>
                            </a:solidFill>
                            <a:round/>
                          </a:ln>
                        </wps:spPr>
                        <wps:bodyPr/>
                      </wps:wsp>
                      <wps:wsp>
                        <wps:cNvPr id="74" name="Arc 85"/>
                        <wps:cNvSpPr>
                          <a:spLocks noChangeAspect="1"/>
                        </wps:cNvSpPr>
                        <wps:spPr bwMode="auto">
                          <a:xfrm rot="10800000" flipV="1">
                            <a:off x="6553" y="8831"/>
                            <a:ext cx="220" cy="403"/>
                          </a:xfrm>
                          <a:custGeom>
                            <a:avLst/>
                            <a:gdLst>
                              <a:gd name="G0" fmla="+- 890 0 0"/>
                              <a:gd name="G1" fmla="+- 21600 0 0"/>
                              <a:gd name="G2" fmla="+- 21600 0 0"/>
                              <a:gd name="T0" fmla="*/ 890 w 22490"/>
                              <a:gd name="T1" fmla="*/ 0 h 43200"/>
                              <a:gd name="T2" fmla="*/ 0 w 22490"/>
                              <a:gd name="T3" fmla="*/ 43182 h 43200"/>
                              <a:gd name="T4" fmla="*/ 890 w 22490"/>
                              <a:gd name="T5" fmla="*/ 21600 h 43200"/>
                            </a:gdLst>
                            <a:ahLst/>
                            <a:cxnLst>
                              <a:cxn ang="0">
                                <a:pos x="T0" y="T1"/>
                              </a:cxn>
                              <a:cxn ang="0">
                                <a:pos x="T2" y="T3"/>
                              </a:cxn>
                              <a:cxn ang="0">
                                <a:pos x="T4" y="T5"/>
                              </a:cxn>
                            </a:cxnLst>
                            <a:rect l="0" t="0" r="r" b="b"/>
                            <a:pathLst>
                              <a:path w="22490" h="43200" fill="none" extrusionOk="0">
                                <a:moveTo>
                                  <a:pt x="889" y="0"/>
                                </a:moveTo>
                                <a:cubicBezTo>
                                  <a:pt x="12819" y="0"/>
                                  <a:pt x="22490" y="9670"/>
                                  <a:pt x="22490" y="21600"/>
                                </a:cubicBezTo>
                                <a:cubicBezTo>
                                  <a:pt x="22490" y="33529"/>
                                  <a:pt x="12819" y="43200"/>
                                  <a:pt x="890" y="43200"/>
                                </a:cubicBezTo>
                                <a:cubicBezTo>
                                  <a:pt x="593" y="43200"/>
                                  <a:pt x="296" y="43193"/>
                                  <a:pt x="0" y="43181"/>
                                </a:cubicBezTo>
                              </a:path>
                              <a:path w="22490" h="43200" stroke="0" extrusionOk="0">
                                <a:moveTo>
                                  <a:pt x="889" y="0"/>
                                </a:moveTo>
                                <a:cubicBezTo>
                                  <a:pt x="12819" y="0"/>
                                  <a:pt x="22490" y="9670"/>
                                  <a:pt x="22490" y="21600"/>
                                </a:cubicBezTo>
                                <a:cubicBezTo>
                                  <a:pt x="22490" y="33529"/>
                                  <a:pt x="12819" y="43200"/>
                                  <a:pt x="890" y="43200"/>
                                </a:cubicBezTo>
                                <a:cubicBezTo>
                                  <a:pt x="593" y="43200"/>
                                  <a:pt x="296" y="43193"/>
                                  <a:pt x="0" y="43181"/>
                                </a:cubicBezTo>
                                <a:lnTo>
                                  <a:pt x="890" y="21600"/>
                                </a:lnTo>
                                <a:close/>
                              </a:path>
                            </a:pathLst>
                          </a:custGeom>
                          <a:noFill/>
                          <a:ln w="31750">
                            <a:solidFill>
                              <a:srgbClr val="000000"/>
                            </a:solidFill>
                            <a:round/>
                          </a:ln>
                        </wps:spPr>
                        <wps:bodyPr rot="0" vert="horz" wrap="square" lIns="91440" tIns="45720" rIns="91440" bIns="45720" anchor="t" anchorCtr="0" upright="1">
                          <a:noAutofit/>
                        </wps:bodyPr>
                      </wps:wsp>
                      <wps:wsp>
                        <wps:cNvPr id="75" name="Arc 86"/>
                        <wps:cNvSpPr>
                          <a:spLocks noChangeAspect="1"/>
                        </wps:cNvSpPr>
                        <wps:spPr bwMode="auto">
                          <a:xfrm flipV="1">
                            <a:off x="6332" y="8831"/>
                            <a:ext cx="221" cy="403"/>
                          </a:xfrm>
                          <a:custGeom>
                            <a:avLst/>
                            <a:gdLst>
                              <a:gd name="G0" fmla="+- 890 0 0"/>
                              <a:gd name="G1" fmla="+- 21600 0 0"/>
                              <a:gd name="G2" fmla="+- 21600 0 0"/>
                              <a:gd name="T0" fmla="*/ 890 w 22490"/>
                              <a:gd name="T1" fmla="*/ 0 h 43200"/>
                              <a:gd name="T2" fmla="*/ 0 w 22490"/>
                              <a:gd name="T3" fmla="*/ 43182 h 43200"/>
                              <a:gd name="T4" fmla="*/ 890 w 22490"/>
                              <a:gd name="T5" fmla="*/ 21600 h 43200"/>
                            </a:gdLst>
                            <a:ahLst/>
                            <a:cxnLst>
                              <a:cxn ang="0">
                                <a:pos x="T0" y="T1"/>
                              </a:cxn>
                              <a:cxn ang="0">
                                <a:pos x="T2" y="T3"/>
                              </a:cxn>
                              <a:cxn ang="0">
                                <a:pos x="T4" y="T5"/>
                              </a:cxn>
                            </a:cxnLst>
                            <a:rect l="0" t="0" r="r" b="b"/>
                            <a:pathLst>
                              <a:path w="22490" h="43200" fill="none" extrusionOk="0">
                                <a:moveTo>
                                  <a:pt x="889" y="0"/>
                                </a:moveTo>
                                <a:cubicBezTo>
                                  <a:pt x="12819" y="0"/>
                                  <a:pt x="22490" y="9670"/>
                                  <a:pt x="22490" y="21600"/>
                                </a:cubicBezTo>
                                <a:cubicBezTo>
                                  <a:pt x="22490" y="33529"/>
                                  <a:pt x="12819" y="43200"/>
                                  <a:pt x="890" y="43200"/>
                                </a:cubicBezTo>
                                <a:cubicBezTo>
                                  <a:pt x="593" y="43200"/>
                                  <a:pt x="296" y="43193"/>
                                  <a:pt x="0" y="43181"/>
                                </a:cubicBezTo>
                              </a:path>
                              <a:path w="22490" h="43200" stroke="0" extrusionOk="0">
                                <a:moveTo>
                                  <a:pt x="889" y="0"/>
                                </a:moveTo>
                                <a:cubicBezTo>
                                  <a:pt x="12819" y="0"/>
                                  <a:pt x="22490" y="9670"/>
                                  <a:pt x="22490" y="21600"/>
                                </a:cubicBezTo>
                                <a:cubicBezTo>
                                  <a:pt x="22490" y="33529"/>
                                  <a:pt x="12819" y="43200"/>
                                  <a:pt x="890" y="43200"/>
                                </a:cubicBezTo>
                                <a:cubicBezTo>
                                  <a:pt x="593" y="43200"/>
                                  <a:pt x="296" y="43193"/>
                                  <a:pt x="0" y="43181"/>
                                </a:cubicBezTo>
                                <a:lnTo>
                                  <a:pt x="890" y="21600"/>
                                </a:lnTo>
                                <a:close/>
                              </a:path>
                            </a:pathLst>
                          </a:custGeom>
                          <a:noFill/>
                          <a:ln w="31750">
                            <a:solidFill>
                              <a:srgbClr val="000000"/>
                            </a:solidFill>
                            <a:round/>
                          </a:ln>
                        </wps:spPr>
                        <wps:bodyPr rot="0" vert="horz" wrap="square" lIns="91440" tIns="45720" rIns="91440" bIns="45720" anchor="t" anchorCtr="0" upright="1">
                          <a:noAutofit/>
                        </wps:bodyPr>
                      </wps:wsp>
                      <wps:wsp>
                        <wps:cNvPr id="76" name="Oval 87"/>
                        <wps:cNvSpPr>
                          <a:spLocks noChangeAspect="1" noChangeArrowheads="1"/>
                        </wps:cNvSpPr>
                        <wps:spPr bwMode="auto">
                          <a:xfrm>
                            <a:off x="7624" y="8774"/>
                            <a:ext cx="514" cy="474"/>
                          </a:xfrm>
                          <a:prstGeom prst="ellipse">
                            <a:avLst/>
                          </a:prstGeom>
                          <a:solidFill>
                            <a:srgbClr val="FFFFFF"/>
                          </a:solidFill>
                          <a:ln w="19050">
                            <a:solidFill>
                              <a:srgbClr val="000000"/>
                            </a:solidFill>
                            <a:round/>
                          </a:ln>
                        </wps:spPr>
                        <wps:bodyPr rot="0" vert="horz" wrap="square" lIns="91440" tIns="45720" rIns="91440" bIns="45720" anchor="t" anchorCtr="0" upright="1">
                          <a:noAutofit/>
                        </wps:bodyPr>
                      </wps:wsp>
                      <wpg:grpSp>
                        <wpg:cNvPr id="77" name="Group 88"/>
                        <wpg:cNvGrpSpPr>
                          <a:grpSpLocks noChangeAspect="1"/>
                        </wpg:cNvGrpSpPr>
                        <wpg:grpSpPr>
                          <a:xfrm rot="2700000">
                            <a:off x="7839" y="8806"/>
                            <a:ext cx="100" cy="236"/>
                            <a:chOff x="3987" y="6083"/>
                            <a:chExt cx="210" cy="624"/>
                          </a:xfrm>
                        </wpg:grpSpPr>
                        <wps:wsp>
                          <wps:cNvPr id="78" name="AutoShape 89"/>
                          <wps:cNvSpPr>
                            <a:spLocks noChangeAspect="1" noChangeArrowheads="1"/>
                          </wps:cNvSpPr>
                          <wps:spPr bwMode="auto">
                            <a:xfrm>
                              <a:off x="3987" y="6083"/>
                              <a:ext cx="210" cy="468"/>
                            </a:xfrm>
                            <a:prstGeom prst="triangle">
                              <a:avLst>
                                <a:gd name="adj" fmla="val 50000"/>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79" name="Line 90"/>
                          <wps:cNvCnPr>
                            <a:cxnSpLocks noChangeAspect="1" noChangeShapeType="1"/>
                          </wps:cNvCnPr>
                          <wps:spPr bwMode="auto">
                            <a:xfrm flipV="1">
                              <a:off x="4095" y="6239"/>
                              <a:ext cx="0" cy="468"/>
                            </a:xfrm>
                            <a:prstGeom prst="line">
                              <a:avLst/>
                            </a:prstGeom>
                            <a:noFill/>
                            <a:ln w="19050">
                              <a:solidFill>
                                <a:srgbClr val="000000"/>
                              </a:solidFill>
                              <a:round/>
                            </a:ln>
                          </wps:spPr>
                          <wps:bodyPr/>
                        </wps:wsp>
                      </wpg:grpSp>
                      <wpg:grpSp>
                        <wpg:cNvPr id="80" name="Group 91"/>
                        <wpg:cNvGrpSpPr>
                          <a:grpSpLocks noChangeAspect="1"/>
                        </wpg:cNvGrpSpPr>
                        <wpg:grpSpPr>
                          <a:xfrm rot="2700000">
                            <a:off x="7840" y="8988"/>
                            <a:ext cx="98" cy="236"/>
                            <a:chOff x="3987" y="6083"/>
                            <a:chExt cx="210" cy="624"/>
                          </a:xfrm>
                        </wpg:grpSpPr>
                        <wps:wsp>
                          <wps:cNvPr id="81" name="AutoShape 92"/>
                          <wps:cNvSpPr>
                            <a:spLocks noChangeAspect="1" noChangeArrowheads="1"/>
                          </wps:cNvSpPr>
                          <wps:spPr bwMode="auto">
                            <a:xfrm>
                              <a:off x="3987" y="6083"/>
                              <a:ext cx="210" cy="468"/>
                            </a:xfrm>
                            <a:prstGeom prst="triangle">
                              <a:avLst>
                                <a:gd name="adj" fmla="val 50000"/>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82" name="Line 93"/>
                          <wps:cNvCnPr>
                            <a:cxnSpLocks noChangeAspect="1" noChangeShapeType="1"/>
                          </wps:cNvCnPr>
                          <wps:spPr bwMode="auto">
                            <a:xfrm flipV="1">
                              <a:off x="4095" y="6239"/>
                              <a:ext cx="0" cy="468"/>
                            </a:xfrm>
                            <a:prstGeom prst="line">
                              <a:avLst/>
                            </a:prstGeom>
                            <a:noFill/>
                            <a:ln w="19050">
                              <a:solidFill>
                                <a:srgbClr val="000000"/>
                              </a:solidFill>
                              <a:round/>
                            </a:ln>
                          </wps:spPr>
                          <wps:bodyPr/>
                        </wps:wsp>
                      </wpg:grpSp>
                      <wps:wsp>
                        <wps:cNvPr id="83" name="Line 94"/>
                        <wps:cNvCnPr>
                          <a:cxnSpLocks noChangeAspect="1" noChangeShapeType="1"/>
                        </wps:cNvCnPr>
                        <wps:spPr bwMode="auto">
                          <a:xfrm>
                            <a:off x="6983" y="9024"/>
                            <a:ext cx="1890" cy="0"/>
                          </a:xfrm>
                          <a:prstGeom prst="line">
                            <a:avLst/>
                          </a:prstGeom>
                          <a:noFill/>
                          <a:ln w="15875">
                            <a:solidFill>
                              <a:srgbClr val="000000"/>
                            </a:solidFill>
                            <a:round/>
                          </a:ln>
                        </wps:spPr>
                        <wps:bodyPr/>
                      </wps:wsp>
                      <wps:wsp>
                        <wps:cNvPr id="84" name="Rectangle 95"/>
                        <wps:cNvSpPr>
                          <a:spLocks noChangeArrowheads="1"/>
                        </wps:cNvSpPr>
                        <wps:spPr bwMode="auto">
                          <a:xfrm>
                            <a:off x="8856" y="8972"/>
                            <a:ext cx="227" cy="91"/>
                          </a:xfrm>
                          <a:prstGeom prst="rect">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85" name="Rectangle 96"/>
                        <wps:cNvSpPr>
                          <a:spLocks noChangeArrowheads="1"/>
                        </wps:cNvSpPr>
                        <wps:spPr bwMode="auto">
                          <a:xfrm>
                            <a:off x="6756" y="8972"/>
                            <a:ext cx="227" cy="91"/>
                          </a:xfrm>
                          <a:prstGeom prst="rect">
                            <a:avLst/>
                          </a:prstGeom>
                          <a:solidFill>
                            <a:srgbClr val="000000"/>
                          </a:solidFill>
                          <a:ln w="9525">
                            <a:solidFill>
                              <a:srgbClr val="000000"/>
                            </a:solidFill>
                            <a:miter lim="800000"/>
                          </a:ln>
                        </wps:spPr>
                        <wps:bodyPr rot="0" vert="horz" wrap="square" lIns="91440" tIns="45720" rIns="91440" bIns="45720" anchor="t" anchorCtr="0" upright="1">
                          <a:noAutofit/>
                        </wps:bodyPr>
                      </wps:wsp>
                      <wps:wsp>
                        <wps:cNvPr id="86" name="Text Box 97"/>
                        <wps:cNvSpPr txBox="1">
                          <a:spLocks noChangeArrowheads="1"/>
                        </wps:cNvSpPr>
                        <wps:spPr bwMode="auto">
                          <a:xfrm>
                            <a:off x="4430" y="8368"/>
                            <a:ext cx="1017" cy="312"/>
                          </a:xfrm>
                          <a:prstGeom prst="rect">
                            <a:avLst/>
                          </a:prstGeom>
                          <a:solidFill>
                            <a:srgbClr val="FFFFFF"/>
                          </a:solidFill>
                          <a:ln w="9525">
                            <a:solidFill>
                              <a:srgbClr val="FFFFFF"/>
                            </a:solidFill>
                            <a:miter lim="800000"/>
                          </a:ln>
                        </wps:spPr>
                        <wps:txbx>
                          <w:txbxContent>
                            <w:p>
                              <w:pPr>
                                <w:spacing w:line="240" w:lineRule="exact"/>
                                <w:rPr>
                                  <w:sz w:val="18"/>
                                </w:rPr>
                              </w:pPr>
                              <w:r>
                                <w:rPr>
                                  <w:rFonts w:hint="eastAsia"/>
                                  <w:sz w:val="18"/>
                                </w:rPr>
                                <w:t>标准跳纤</w:t>
                              </w:r>
                            </w:p>
                          </w:txbxContent>
                        </wps:txbx>
                        <wps:bodyPr rot="0" vert="horz" wrap="square" lIns="54000" tIns="10800" rIns="54000" bIns="10800" anchor="t" anchorCtr="0" upright="1">
                          <a:noAutofit/>
                        </wps:bodyPr>
                      </wps:wsp>
                      <wps:wsp>
                        <wps:cNvPr id="87" name="Text Box 98"/>
                        <wps:cNvSpPr txBox="1">
                          <a:spLocks noChangeArrowheads="1"/>
                        </wps:cNvSpPr>
                        <wps:spPr bwMode="auto">
                          <a:xfrm>
                            <a:off x="7403" y="8462"/>
                            <a:ext cx="1050" cy="283"/>
                          </a:xfrm>
                          <a:prstGeom prst="rect">
                            <a:avLst/>
                          </a:prstGeom>
                          <a:solidFill>
                            <a:srgbClr val="FFFFFF"/>
                          </a:solidFill>
                          <a:ln w="9525">
                            <a:solidFill>
                              <a:srgbClr val="FFFFFF"/>
                            </a:solidFill>
                            <a:miter lim="800000"/>
                          </a:ln>
                        </wps:spPr>
                        <wps:txbx>
                          <w:txbxContent>
                            <w:p>
                              <w:pPr>
                                <w:spacing w:line="240" w:lineRule="exact"/>
                                <w:rPr>
                                  <w:sz w:val="18"/>
                                </w:rPr>
                              </w:pPr>
                              <w:r>
                                <w:rPr>
                                  <w:rFonts w:hint="eastAsia"/>
                                  <w:sz w:val="18"/>
                                </w:rPr>
                                <w:t>被测跳纤</w:t>
                              </w:r>
                            </w:p>
                          </w:txbxContent>
                        </wps:txbx>
                        <wps:bodyPr rot="0" vert="horz" wrap="square" lIns="54000" tIns="10800" rIns="54000" bIns="10800" anchor="t" anchorCtr="0" upright="1">
                          <a:noAutofit/>
                        </wps:bodyPr>
                      </wps:wsp>
                      <wps:wsp>
                        <wps:cNvPr id="88" name="Text Box 99"/>
                        <wps:cNvSpPr txBox="1">
                          <a:spLocks noChangeArrowheads="1"/>
                        </wps:cNvSpPr>
                        <wps:spPr bwMode="auto">
                          <a:xfrm>
                            <a:off x="6005" y="7924"/>
                            <a:ext cx="1155" cy="312"/>
                          </a:xfrm>
                          <a:prstGeom prst="rect">
                            <a:avLst/>
                          </a:prstGeom>
                          <a:solidFill>
                            <a:srgbClr val="FFFFFF"/>
                          </a:solidFill>
                          <a:ln w="9525">
                            <a:solidFill>
                              <a:srgbClr val="FFFFFF"/>
                            </a:solidFill>
                            <a:miter lim="800000"/>
                          </a:ln>
                        </wps:spPr>
                        <wps:txbx>
                          <w:txbxContent>
                            <w:p>
                              <w:pPr>
                                <w:spacing w:line="240" w:lineRule="exact"/>
                                <w:rPr>
                                  <w:sz w:val="18"/>
                                </w:rPr>
                              </w:pPr>
                              <w:r>
                                <w:rPr>
                                  <w:rFonts w:hint="eastAsia"/>
                                  <w:sz w:val="18"/>
                                </w:rPr>
                                <w:t>光缆交接箱</w:t>
                              </w:r>
                            </w:p>
                          </w:txbxContent>
                        </wps:txbx>
                        <wps:bodyPr rot="0" vert="horz" wrap="square" lIns="54000" tIns="10800" rIns="54000" bIns="10800" anchor="t" anchorCtr="0" upright="1">
                          <a:noAutofit/>
                        </wps:bodyPr>
                      </wps:wsp>
                      <wps:wsp>
                        <wps:cNvPr id="89" name="Arc 100"/>
                        <wps:cNvSpPr>
                          <a:spLocks noChangeAspect="1"/>
                        </wps:cNvSpPr>
                        <wps:spPr bwMode="auto">
                          <a:xfrm rot="10800000" flipV="1">
                            <a:off x="3728" y="8815"/>
                            <a:ext cx="220" cy="403"/>
                          </a:xfrm>
                          <a:custGeom>
                            <a:avLst/>
                            <a:gdLst>
                              <a:gd name="G0" fmla="+- 890 0 0"/>
                              <a:gd name="G1" fmla="+- 21600 0 0"/>
                              <a:gd name="G2" fmla="+- 21600 0 0"/>
                              <a:gd name="T0" fmla="*/ 890 w 22490"/>
                              <a:gd name="T1" fmla="*/ 0 h 43200"/>
                              <a:gd name="T2" fmla="*/ 0 w 22490"/>
                              <a:gd name="T3" fmla="*/ 43182 h 43200"/>
                              <a:gd name="T4" fmla="*/ 890 w 22490"/>
                              <a:gd name="T5" fmla="*/ 21600 h 43200"/>
                            </a:gdLst>
                            <a:ahLst/>
                            <a:cxnLst>
                              <a:cxn ang="0">
                                <a:pos x="T0" y="T1"/>
                              </a:cxn>
                              <a:cxn ang="0">
                                <a:pos x="T2" y="T3"/>
                              </a:cxn>
                              <a:cxn ang="0">
                                <a:pos x="T4" y="T5"/>
                              </a:cxn>
                            </a:cxnLst>
                            <a:rect l="0" t="0" r="r" b="b"/>
                            <a:pathLst>
                              <a:path w="22490" h="43200" fill="none" extrusionOk="0">
                                <a:moveTo>
                                  <a:pt x="889" y="0"/>
                                </a:moveTo>
                                <a:cubicBezTo>
                                  <a:pt x="12819" y="0"/>
                                  <a:pt x="22490" y="9670"/>
                                  <a:pt x="22490" y="21600"/>
                                </a:cubicBezTo>
                                <a:cubicBezTo>
                                  <a:pt x="22490" y="33529"/>
                                  <a:pt x="12819" y="43200"/>
                                  <a:pt x="890" y="43200"/>
                                </a:cubicBezTo>
                                <a:cubicBezTo>
                                  <a:pt x="593" y="43200"/>
                                  <a:pt x="296" y="43193"/>
                                  <a:pt x="0" y="43181"/>
                                </a:cubicBezTo>
                              </a:path>
                              <a:path w="22490" h="43200" stroke="0" extrusionOk="0">
                                <a:moveTo>
                                  <a:pt x="889" y="0"/>
                                </a:moveTo>
                                <a:cubicBezTo>
                                  <a:pt x="12819" y="0"/>
                                  <a:pt x="22490" y="9670"/>
                                  <a:pt x="22490" y="21600"/>
                                </a:cubicBezTo>
                                <a:cubicBezTo>
                                  <a:pt x="22490" y="33529"/>
                                  <a:pt x="12819" y="43200"/>
                                  <a:pt x="890" y="43200"/>
                                </a:cubicBezTo>
                                <a:cubicBezTo>
                                  <a:pt x="593" y="43200"/>
                                  <a:pt x="296" y="43193"/>
                                  <a:pt x="0" y="43181"/>
                                </a:cubicBezTo>
                                <a:lnTo>
                                  <a:pt x="890" y="21600"/>
                                </a:lnTo>
                                <a:close/>
                              </a:path>
                            </a:pathLst>
                          </a:custGeom>
                          <a:noFill/>
                          <a:ln w="31750">
                            <a:solidFill>
                              <a:srgbClr val="000000"/>
                            </a:solidFill>
                            <a:round/>
                          </a:ln>
                        </wps:spPr>
                        <wps:bodyPr rot="0" vert="horz" wrap="square" lIns="91440" tIns="45720" rIns="91440" bIns="45720" anchor="t" anchorCtr="0" upright="1">
                          <a:noAutofit/>
                        </wps:bodyPr>
                      </wps:wsp>
                      <wps:wsp>
                        <wps:cNvPr id="90" name="Text Box 101"/>
                        <wps:cNvSpPr txBox="1">
                          <a:spLocks noChangeArrowheads="1"/>
                        </wps:cNvSpPr>
                        <wps:spPr bwMode="auto">
                          <a:xfrm>
                            <a:off x="2654" y="8462"/>
                            <a:ext cx="1026" cy="1417"/>
                          </a:xfrm>
                          <a:prstGeom prst="rect">
                            <a:avLst/>
                          </a:prstGeom>
                          <a:solidFill>
                            <a:srgbClr val="FFFFFF"/>
                          </a:solidFill>
                          <a:ln w="15875">
                            <a:solidFill>
                              <a:srgbClr val="000000"/>
                            </a:solidFill>
                            <a:miter lim="800000"/>
                          </a:ln>
                        </wps:spPr>
                        <wps:txbx>
                          <w:txbxContent>
                            <w:p>
                              <w:r>
                                <w:object>
                                  <v:shape id="_x0000_i1025" o:spt="75" type="#_x0000_t75" style="height:35.3pt;width:35.3pt;" o:ole="t" filled="f" o:preferrelative="t" stroked="f" coordsize="21600,21600">
                                    <v:path/>
                                    <v:fill on="f" focussize="0,0"/>
                                    <v:stroke on="f" joinstyle="miter"/>
                                    <v:imagedata r:id="rId45" o:title=""/>
                                    <o:lock v:ext="edit" aspectratio="t"/>
                                    <w10:wrap type="none"/>
                                    <w10:anchorlock/>
                                  </v:shape>
                                  <o:OLEObject Type="Embed" ProgID="Word.Picture.8" ShapeID="_x0000_i1025" DrawAspect="Content" ObjectID="_1468075725" r:id="rId44">
                                    <o:LockedField>false</o:LockedField>
                                  </o:OLEObject>
                                </w:object>
                              </w:r>
                            </w:p>
                          </w:txbxContent>
                        </wps:txbx>
                        <wps:bodyPr rot="0" vert="horz" wrap="square" lIns="91440" tIns="45720" rIns="91440" bIns="45720" anchor="t" anchorCtr="0" upright="1">
                          <a:noAutofit/>
                        </wps:bodyPr>
                      </wps:wsp>
                      <wps:wsp>
                        <wps:cNvPr id="91" name="Text Box 102"/>
                        <wps:cNvSpPr txBox="1">
                          <a:spLocks noChangeArrowheads="1"/>
                        </wps:cNvSpPr>
                        <wps:spPr bwMode="auto">
                          <a:xfrm>
                            <a:off x="2320" y="8024"/>
                            <a:ext cx="1680" cy="312"/>
                          </a:xfrm>
                          <a:prstGeom prst="rect">
                            <a:avLst/>
                          </a:prstGeom>
                          <a:solidFill>
                            <a:srgbClr val="FFFFFF"/>
                          </a:solidFill>
                          <a:ln w="9525">
                            <a:solidFill>
                              <a:srgbClr val="FFFFFF"/>
                            </a:solidFill>
                            <a:miter lim="800000"/>
                          </a:ln>
                        </wps:spPr>
                        <wps:txbx>
                          <w:txbxContent>
                            <w:p>
                              <w:pPr>
                                <w:spacing w:line="240" w:lineRule="exact"/>
                                <w:ind w:firstLine="270" w:firstLineChars="150"/>
                                <w:rPr>
                                  <w:sz w:val="18"/>
                                </w:rPr>
                              </w:pPr>
                              <w:r>
                                <w:rPr>
                                  <w:rFonts w:hint="eastAsia"/>
                                  <w:sz w:val="18"/>
                                </w:rPr>
                                <w:t>光回损测试仪</w:t>
                              </w:r>
                            </w:p>
                          </w:txbxContent>
                        </wps:txbx>
                        <wps:bodyPr rot="0" vert="horz" wrap="square" lIns="54000" tIns="10800" rIns="54000" bIns="10800" anchor="t" anchorCtr="0" upright="1">
                          <a:noAutofit/>
                        </wps:bodyPr>
                      </wps:wsp>
                      <wps:wsp>
                        <wps:cNvPr id="92" name="Text Box 103"/>
                        <wps:cNvSpPr txBox="1">
                          <a:spLocks noChangeArrowheads="1"/>
                        </wps:cNvSpPr>
                        <wps:spPr bwMode="auto">
                          <a:xfrm>
                            <a:off x="6005" y="8392"/>
                            <a:ext cx="1155" cy="312"/>
                          </a:xfrm>
                          <a:prstGeom prst="rect">
                            <a:avLst/>
                          </a:prstGeom>
                          <a:solidFill>
                            <a:srgbClr val="FFFFFF"/>
                          </a:solidFill>
                          <a:ln w="9525">
                            <a:solidFill>
                              <a:srgbClr val="FFFFFF"/>
                            </a:solidFill>
                            <a:miter lim="800000"/>
                          </a:ln>
                        </wps:spPr>
                        <wps:txbx>
                          <w:txbxContent>
                            <w:p>
                              <w:pPr>
                                <w:rPr>
                                  <w:sz w:val="18"/>
                                  <w:szCs w:val="18"/>
                                </w:rPr>
                              </w:pPr>
                              <w:r>
                                <w:rPr>
                                  <w:rFonts w:hint="eastAsia"/>
                                  <w:sz w:val="18"/>
                                  <w:szCs w:val="18"/>
                                </w:rPr>
                                <w:t>被测适配器</w:t>
                              </w:r>
                            </w:p>
                          </w:txbxContent>
                        </wps:txbx>
                        <wps:bodyPr rot="0" vert="horz" wrap="square" lIns="54000" tIns="10800" rIns="54000" bIns="10800" anchor="t" anchorCtr="0" upright="1">
                          <a:noAutofit/>
                        </wps:bodyPr>
                      </wps:wsp>
                      <wps:wsp>
                        <wps:cNvPr id="93" name="Text Box 104"/>
                        <wps:cNvSpPr txBox="1">
                          <a:spLocks noChangeArrowheads="1"/>
                        </wps:cNvSpPr>
                        <wps:spPr bwMode="auto">
                          <a:xfrm>
                            <a:off x="4043" y="9146"/>
                            <a:ext cx="315" cy="312"/>
                          </a:xfrm>
                          <a:prstGeom prst="rect">
                            <a:avLst/>
                          </a:prstGeom>
                          <a:solidFill>
                            <a:srgbClr val="FFFFFF"/>
                          </a:solidFill>
                          <a:ln w="9525">
                            <a:solidFill>
                              <a:srgbClr val="FFFFFF"/>
                            </a:solidFill>
                            <a:miter lim="800000"/>
                          </a:ln>
                        </wps:spPr>
                        <wps:txbx>
                          <w:txbxContent>
                            <w:p>
                              <w:r>
                                <w:rPr>
                                  <w:rFonts w:hint="eastAsia"/>
                                </w:rPr>
                                <w:t>S</w:t>
                              </w:r>
                              <w:r>
                                <w:rPr>
                                  <w:rFonts w:hint="eastAsia"/>
                                  <w:vertAlign w:val="subscript"/>
                                </w:rPr>
                                <w:t>1</w:t>
                              </w:r>
                            </w:p>
                          </w:txbxContent>
                        </wps:txbx>
                        <wps:bodyPr rot="0" vert="horz" wrap="square" lIns="7200" tIns="7200" rIns="7200" bIns="7200" anchor="t" anchorCtr="0" upright="1">
                          <a:noAutofit/>
                        </wps:bodyPr>
                      </wps:wsp>
                      <wps:wsp>
                        <wps:cNvPr id="94" name="Text Box 105"/>
                        <wps:cNvSpPr txBox="1">
                          <a:spLocks noChangeArrowheads="1"/>
                        </wps:cNvSpPr>
                        <wps:spPr bwMode="auto">
                          <a:xfrm>
                            <a:off x="8978" y="9146"/>
                            <a:ext cx="315" cy="312"/>
                          </a:xfrm>
                          <a:prstGeom prst="rect">
                            <a:avLst/>
                          </a:prstGeom>
                          <a:solidFill>
                            <a:srgbClr val="FFFFFF"/>
                          </a:solidFill>
                          <a:ln w="9525">
                            <a:solidFill>
                              <a:srgbClr val="FFFFFF"/>
                            </a:solidFill>
                            <a:miter lim="800000"/>
                          </a:ln>
                        </wps:spPr>
                        <wps:txbx>
                          <w:txbxContent>
                            <w:p>
                              <w:r>
                                <w:rPr>
                                  <w:rFonts w:hint="eastAsia"/>
                                </w:rPr>
                                <w:t>R</w:t>
                              </w:r>
                              <w:r>
                                <w:rPr>
                                  <w:rFonts w:hint="eastAsia"/>
                                  <w:vertAlign w:val="subscript"/>
                                </w:rPr>
                                <w:t>2</w:t>
                              </w:r>
                            </w:p>
                          </w:txbxContent>
                        </wps:txbx>
                        <wps:bodyPr rot="0" vert="horz" wrap="square" lIns="7200" tIns="7200" rIns="7200" bIns="7200" anchor="t" anchorCtr="0" upright="1">
                          <a:noAutofit/>
                        </wps:bodyPr>
                      </wps:wsp>
                    </wpg:wgp>
                  </a:graphicData>
                </a:graphic>
              </wp:anchor>
            </w:drawing>
          </mc:Choice>
          <mc:Fallback>
            <w:pict>
              <v:group id="_x0000_s1026" o:spid="_x0000_s1026" o:spt="203" style="position:absolute;left:0pt;margin-left:31.3pt;margin-top:13.5pt;height:97.75pt;width:348.65pt;z-index:251662336;mso-width-relative:page;mso-height-relative:page;" coordorigin="2320,7924" coordsize="6973,1955" o:gfxdata="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">
                <o:lock v:ext="edit" aspectratio="f"/>
                <v:rect id="Rectangle 72" o:spid="_x0000_s1026" o:spt="1" style="position:absolute;left:5933;top:8306;height:1248;width:1260;" fillcolor="#FFFFFF" filled="t" stroked="t" coordsize="21600,21600" o:gfxdata="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b9IDrsAAADb&#10;AAAADwAAAAAAAAABACAAAAAiAAAAZHJzL2Rvd25yZXYueG1sUEsBAhQAFAAAAAgAh07iQDMvBZ47&#10;AAAAOQAAABAAAAAAAAAAAQAgAAAACgEAAGRycy9zaGFwZXhtbC54bWxQSwUGAAAAAAYABgBbAQAA&#10;tAMAAAAA&#10;">
                  <v:fill on="t" focussize="0,0"/>
                  <v:stroke weight="1.25pt" color="#000000" miterlimit="8" joinstyle="miter"/>
                  <v:imagedata o:title=""/>
                  <o:lock v:ext="edit" aspectratio="f"/>
                </v:rect>
                <v:shape id="Text Box 73" o:spid="_x0000_s1026" o:spt="202" type="#_x0000_t202" style="position:absolute;left:6773;top:9086;height:312;width:315;" fillcolor="#FFFFFF" filled="t" stroked="t" coordsize="21600,21600" o:gfxdata="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y1TH28AAAA&#10;2wAAAA8AAAAAAAAAAQAgAAAAIgAAAGRycy9kb3ducmV2LnhtbFBLAQIUABQAAAAIAIdO4kAzLwWe&#10;OwAAADkAAAAQAAAAAAAAAAEAIAAAAAsBAABkcnMvc2hhcGV4bWwueG1sUEsFBgAAAAAGAAYAWwEA&#10;ALUDAAAAAA==&#10;">
                  <v:fill on="t" focussize="0,0"/>
                  <v:stroke color="#FFFFFF" miterlimit="8" joinstyle="miter"/>
                  <v:imagedata o:title=""/>
                  <o:lock v:ext="edit" aspectratio="f"/>
                  <v:textbox inset="0.2mm,0.2mm,0.2mm,0.2mm">
                    <w:txbxContent>
                      <w:p>
                        <w:r>
                          <w:rPr>
                            <w:rFonts w:hint="eastAsia"/>
                          </w:rPr>
                          <w:t>R</w:t>
                        </w:r>
                        <w:r>
                          <w:rPr>
                            <w:rFonts w:hint="eastAsia"/>
                            <w:vertAlign w:val="subscript"/>
                          </w:rPr>
                          <w:t>1</w:t>
                        </w:r>
                      </w:p>
                    </w:txbxContent>
                  </v:textbox>
                </v:shape>
                <v:shape id="Text Box 74" o:spid="_x0000_s1026" o:spt="202" type="#_x0000_t202" style="position:absolute;left:6038;top:9086;height:312;width:315;" fillcolor="#FFFFFF" filled="t" stroked="t" coordsize="21600,21600" o:gfxdata="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enmvQAA&#10;ANsAAAAPAAAAAAAAAAEAIAAAACIAAABkcnMvZG93bnJldi54bWxQSwECFAAUAAAACACHTuJAMy8F&#10;njsAAAA5AAAAEAAAAAAAAAABACAAAAAMAQAAZHJzL3NoYXBleG1sLnhtbFBLBQYAAAAABgAGAFsB&#10;AAC2AwAAAAA=&#10;">
                  <v:fill on="t" focussize="0,0"/>
                  <v:stroke color="#FFFFFF" miterlimit="8" joinstyle="miter"/>
                  <v:imagedata o:title=""/>
                  <o:lock v:ext="edit" aspectratio="f"/>
                  <v:textbox inset="0.2mm,0.2mm,0.2mm,0.2mm">
                    <w:txbxContent>
                      <w:p>
                        <w:r>
                          <w:rPr>
                            <w:rFonts w:hint="eastAsia"/>
                          </w:rPr>
                          <w:t>S</w:t>
                        </w:r>
                        <w:r>
                          <w:rPr>
                            <w:rFonts w:hint="eastAsia"/>
                            <w:vertAlign w:val="subscript"/>
                          </w:rPr>
                          <w:t>2</w:t>
                        </w:r>
                      </w:p>
                    </w:txbxContent>
                  </v:textbox>
                </v:shape>
                <v:rect id="Rectangle 75" o:spid="_x0000_s1026" o:spt="1" style="position:absolute;left:3833;top:8979;height:91;width:227;" fillcolor="#000000" filled="t" stroked="t" coordsize="21600,21600" o:gfxdata="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bwEEyrgAAADbAAAA&#10;DwAAAAAAAAABACAAAAAiAAAAZHJzL2Rvd25yZXYueG1sUEsBAhQAFAAAAAgAh07iQDMvBZ47AAAA&#10;OQAAABAAAAAAAAAAAQAgAAAABwEAAGRycy9zaGFwZXhtbC54bWxQSwUGAAAAAAYABgBbAQAAsQMA&#10;AAAA&#10;">
                  <v:fill on="t" focussize="0,0"/>
                  <v:stroke color="#000000" miterlimit="8" joinstyle="miter"/>
                  <v:imagedata o:title=""/>
                  <o:lock v:ext="edit" aspectratio="f"/>
                </v:rect>
                <v:rect id="Rectangle 76" o:spid="_x0000_s1026" o:spt="1" style="position:absolute;left:6143;top:8979;height:91;width:227;" fillcolor="#000000" filled="t" stroked="t" coordsize="21600,21600" o:gfxdata="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AE2hUbgAAADbAAAA&#10;DwAAAAAAAAABACAAAAAiAAAAZHJzL2Rvd25yZXYueG1sUEsBAhQAFAAAAAgAh07iQDMvBZ47AAAA&#10;OQAAABAAAAAAAAAAAQAgAAAABwEAAGRycy9zaGFwZXhtbC54bWxQSwUGAAAAAAYABgBbAQAAsQMA&#10;AAAA&#10;">
                  <v:fill on="t" focussize="0,0"/>
                  <v:stroke color="#000000" miterlimit="8" joinstyle="miter"/>
                  <v:imagedata o:title=""/>
                  <o:lock v:ext="edit" aspectratio="f"/>
                </v:rect>
                <v:shape id="Oval 77" o:spid="_x0000_s1026" o:spt="3" type="#_x0000_t3" style="position:absolute;left:4684;top:8774;height:474;width:514;" fillcolor="#FFFFFF" filled="t" stroked="t" coordsize="21600,21600" o:gfxdata="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e3+1rsAAADb&#10;AAAADwAAAAAAAAABACAAAAAiAAAAZHJzL2Rvd25yZXYueG1sUEsBAhQAFAAAAAgAh07iQDMvBZ47&#10;AAAAOQAAABAAAAAAAAAAAQAgAAAACgEAAGRycy9zaGFwZXhtbC54bWxQSwUGAAAAAAYABgBbAQAA&#10;tAMAAAAA&#10;">
                  <v:fill on="t" focussize="0,0"/>
                  <v:stroke weight="1.5pt" color="#000000" joinstyle="round"/>
                  <v:imagedata o:title=""/>
                  <o:lock v:ext="edit" aspectratio="t"/>
                </v:shape>
                <v:group id="Group 78" o:spid="_x0000_s1026" o:spt="203" style="position:absolute;left:4899;top:8806;height:236;width:100;rotation:2949120f;" coordorigin="3987,6083" coordsize="210,624" o:gfxdata="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8q3670AAADbAAAADwAAAAAAAAABACAAAAAiAAAAZHJzL2Rvd25yZXYueG1s&#10;UEsBAhQAFAAAAAgAh07iQDMvBZ47AAAAOQAAABUAAAAAAAAAAQAgAAAADAEAAGRycy9ncm91cHNo&#10;YXBleG1sLnhtbFBLBQYAAAAABgAGAGABAADJAwAAAAA=&#10;">
                  <o:lock v:ext="edit" aspectratio="t"/>
                  <v:shape id="AutoShape 79" o:spid="_x0000_s1026" o:spt="5" type="#_x0000_t5" style="position:absolute;left:3987;top:6083;height:468;width:210;" fillcolor="#000000" filled="t" stroked="t" coordsize="21600,21600" o:gfxdata="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8Ll0q5AAAA2wAA&#10;AA8AAAAAAAAAAQAgAAAAIgAAAGRycy9kb3ducmV2LnhtbFBLAQIUABQAAAAIAIdO4kAzLwWeOwAA&#10;ADkAAAAQAAAAAAAAAAEAIAAAAAgBAABkcnMvc2hhcGV4bWwueG1sUEsFBgAAAAAGAAYAWwEAALID&#10;AAAAAA==&#10;" adj="10800">
                    <v:fill on="t" focussize="0,0"/>
                    <v:stroke color="#000000" miterlimit="8" joinstyle="miter"/>
                    <v:imagedata o:title=""/>
                    <o:lock v:ext="edit" aspectratio="t"/>
                  </v:shape>
                  <v:line id="Line 80" o:spid="_x0000_s1026" o:spt="20" style="position:absolute;left:4095;top:6239;flip:y;height:468;width:0;" filled="f" stroked="t" coordsize="21600,21600" o:gfxdata="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AZSrLhtwAAANsAAAAP&#10;AAAAAAAAAAEAIAAAACIAAABkcnMvZG93bnJldi54bWxQSwECFAAUAAAACACHTuJAMy8FnjsAAAA5&#10;AAAAEAAAAAAAAAABACAAAAAGAQAAZHJzL3NoYXBleG1sLnhtbFBLBQYAAAAABgAGAFsBAACwAwAA&#10;AAA=&#10;">
                    <v:fill on="f" focussize="0,0"/>
                    <v:stroke weight="1.5pt" color="#000000" joinstyle="round"/>
                    <v:imagedata o:title=""/>
                    <o:lock v:ext="edit" aspectratio="t"/>
                  </v:line>
                </v:group>
                <v:group id="Group 81" o:spid="_x0000_s1026" o:spt="203" style="position:absolute;left:4900;top:8988;height:236;width:98;rotation:2949120f;" coordorigin="3987,6083" coordsize="210,624" o:gfxdata="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sfq5QroAAADbAAAADwAAAAAAAAABACAAAAAiAAAAZHJzL2Rvd25yZXYueG1sUEsB&#10;AhQAFAAAAAgAh07iQDMvBZ47AAAAOQAAABUAAAAAAAAAAQAgAAAACQEAAGRycy9ncm91cHNoYXBl&#10;eG1sLnhtbFBLBQYAAAAABgAGAGABAADGAwAAAAA=&#10;">
                  <o:lock v:ext="edit" aspectratio="t"/>
                  <v:shape id="AutoShape 82" o:spid="_x0000_s1026" o:spt="5" type="#_x0000_t5" style="position:absolute;left:3987;top:6083;height:468;width:210;" fillcolor="#000000" filled="t" stroked="t" coordsize="21600,21600" o:gfxdata="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voqAq8AAAA&#10;2wAAAA8AAAAAAAAAAQAgAAAAIgAAAGRycy9kb3ducmV2LnhtbFBLAQIUABQAAAAIAIdO4kAzLwWe&#10;OwAAADkAAAAQAAAAAAAAAAEAIAAAAAsBAABkcnMvc2hhcGV4bWwueG1sUEsFBgAAAAAGAAYAWwEA&#10;ALUDAAAAAA==&#10;" adj="10800">
                    <v:fill on="t" focussize="0,0"/>
                    <v:stroke color="#000000" miterlimit="8" joinstyle="miter"/>
                    <v:imagedata o:title=""/>
                    <o:lock v:ext="edit" aspectratio="t"/>
                  </v:shape>
                  <v:line id="Line 83" o:spid="_x0000_s1026" o:spt="20" style="position:absolute;left:4095;top:6239;flip:y;height:468;width:0;" filled="f" stroked="t" coordsize="21600,21600" o:gfxdata="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SN7ZNtwAAANsAAAAP&#10;AAAAAAAAAAEAIAAAACIAAABkcnMvZG93bnJldi54bWxQSwECFAAUAAAACACHTuJAMy8FnjsAAAA5&#10;AAAAEAAAAAAAAAABACAAAAAGAQAAZHJzL3NoYXBleG1sLnhtbFBLBQYAAAAABgAGAFsBAACwAwAA&#10;AAA=&#10;">
                    <v:fill on="f" focussize="0,0"/>
                    <v:stroke weight="1.5pt" color="#000000" joinstyle="round"/>
                    <v:imagedata o:title=""/>
                    <o:lock v:ext="edit" aspectratio="t"/>
                  </v:line>
                </v:group>
                <v:line id="Line 84" o:spid="_x0000_s1026" o:spt="20" style="position:absolute;left:4043;top:9031;height:0;width:2100;" filled="f" stroked="t" coordsize="21600,21600" o:gfxdata="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WwoF1ugAAANsA&#10;AAAPAAAAAAAAAAEAIAAAACIAAABkcnMvZG93bnJldi54bWxQSwECFAAUAAAACACHTuJAMy8FnjsA&#10;AAA5AAAAEAAAAAAAAAABACAAAAAJAQAAZHJzL3NoYXBleG1sLnhtbFBLBQYAAAAABgAGAFsBAACz&#10;AwAAAAA=&#10;">
                  <v:fill on="f" focussize="0,0"/>
                  <v:stroke weight="1.25pt" color="#000000" joinstyle="round"/>
                  <v:imagedata o:title=""/>
                  <o:lock v:ext="edit" aspectratio="t"/>
                </v:line>
                <v:shape id="Arc 85" o:spid="_x0000_s1026" o:spt="100" style="position:absolute;left:6553;top:8831;flip:y;height:403;width:220;rotation:11796480f;" filled="f" stroked="t" coordsize="22490,43200" o:gfxdata="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ZraD+vQAA&#10;ANsAAAAPAAAAAAAAAAEAIAAAACIAAABkcnMvZG93bnJldi54bWxQSwECFAAUAAAACACHTuJAMy8F&#10;njsAAAA5AAAAEAAAAAAAAAABACAAAAAMAQAAZHJzL3NoYXBleG1sLnhtbFBLBQYAAAAABgAGAFsB&#10;AAC2AwAAAAA=&#10;" path="m889,0c12819,0,22490,9670,22490,21600c22490,33529,12819,43200,890,43200c593,43200,296,43193,0,43181nfem889,0c12819,0,22490,9670,22490,21600c22490,33529,12819,43200,890,43200c593,43200,296,43193,0,43181l890,21600xnse">
                  <v:path o:connectlocs="8,0;0,402;8,201" o:connectangles="0,0,0"/>
                  <v:fill on="f" focussize="0,0"/>
                  <v:stroke weight="2.5pt" color="#000000" joinstyle="round"/>
                  <v:imagedata o:title=""/>
                  <o:lock v:ext="edit" aspectratio="t"/>
                </v:shape>
                <v:shape id="Arc 86" o:spid="_x0000_s1026" o:spt="100" style="position:absolute;left:6332;top:8831;flip:y;height:403;width:221;" filled="f" stroked="t" coordsize="22490,43200" o:gfxdata="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XlAgvQAA&#10;ANsAAAAPAAAAAAAAAAEAIAAAACIAAABkcnMvZG93bnJldi54bWxQSwECFAAUAAAACACHTuJAMy8F&#10;njsAAAA5AAAAEAAAAAAAAAABACAAAAAMAQAAZHJzL3NoYXBleG1sLnhtbFBLBQYAAAAABgAGAFsB&#10;AAC2AwAAAAA=&#10;" path="m889,0c12819,0,22490,9670,22490,21600c22490,33529,12819,43200,890,43200c593,43200,296,43193,0,43181nfem889,0c12819,0,22490,9670,22490,21600c22490,33529,12819,43200,890,43200c593,43200,296,43193,0,43181l890,21600xnse">
                  <v:path o:connectlocs="8,0;0,402;8,201" o:connectangles="0,0,0"/>
                  <v:fill on="f" focussize="0,0"/>
                  <v:stroke weight="2.5pt" color="#000000" joinstyle="round"/>
                  <v:imagedata o:title=""/>
                  <o:lock v:ext="edit" aspectratio="t"/>
                </v:shape>
                <v:shape id="Oval 87" o:spid="_x0000_s1026" o:spt="3" type="#_x0000_t3" style="position:absolute;left:7624;top:8774;height:474;width:514;" fillcolor="#FFFFFF" filled="t" stroked="t" coordsize="21600,21600" o:gfxdata="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NGgLvQAA&#10;ANsAAAAPAAAAAAAAAAEAIAAAACIAAABkcnMvZG93bnJldi54bWxQSwECFAAUAAAACACHTuJAMy8F&#10;njsAAAA5AAAAEAAAAAAAAAABACAAAAAMAQAAZHJzL3NoYXBleG1sLnhtbFBLBQYAAAAABgAGAFsB&#10;AAC2AwAAAAA=&#10;">
                  <v:fill on="t" focussize="0,0"/>
                  <v:stroke weight="1.5pt" color="#000000" joinstyle="round"/>
                  <v:imagedata o:title=""/>
                  <o:lock v:ext="edit" aspectratio="t"/>
                </v:shape>
                <v:group id="Group 88" o:spid="_x0000_s1026" o:spt="203" style="position:absolute;left:7839;top:8806;height:236;width:100;rotation:2949120f;" coordorigin="3987,6083" coordsize="210,624" o:gfxdata="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hMhNr0AAADbAAAADwAAAAAAAAABACAAAAAiAAAAZHJzL2Rvd25yZXYueG1s&#10;UEsBAhQAFAAAAAgAh07iQDMvBZ47AAAAOQAAABUAAAAAAAAAAQAgAAAADAEAAGRycy9ncm91cHNo&#10;YXBleG1sLnhtbFBLBQYAAAAABgAGAGABAADJAwAAAAA=&#10;">
                  <o:lock v:ext="edit" aspectratio="t"/>
                  <v:shape id="AutoShape 89" o:spid="_x0000_s1026" o:spt="5" type="#_x0000_t5" style="position:absolute;left:3987;top:6083;height:468;width:210;" fillcolor="#000000" filled="t" stroked="t" coordsize="21600,21600" o:gfxdata="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NrSAZe2AAAA2wAAAA8A&#10;AAAAAAAAAQAgAAAAIgAAAGRycy9kb3ducmV2LnhtbFBLAQIUABQAAAAIAIdO4kAzLwWeOwAAADkA&#10;AAAQAAAAAAAAAAEAIAAAAAUBAABkcnMvc2hhcGV4bWwueG1sUEsFBgAAAAAGAAYAWwEAAK8DAAAA&#10;AA==&#10;" adj="10800">
                    <v:fill on="t" focussize="0,0"/>
                    <v:stroke color="#000000" miterlimit="8" joinstyle="miter"/>
                    <v:imagedata o:title=""/>
                    <o:lock v:ext="edit" aspectratio="t"/>
                  </v:shape>
                  <v:line id="Line 90" o:spid="_x0000_s1026" o:spt="20" style="position:absolute;left:4095;top:6239;flip:y;height:468;width:0;" filled="f" stroked="t" coordsize="21600,21600" o:gfxdata="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nJMkPLgAAADbAAAA&#10;DwAAAAAAAAABACAAAAAiAAAAZHJzL2Rvd25yZXYueG1sUEsBAhQAFAAAAAgAh07iQDMvBZ47AAAA&#10;OQAAABAAAAAAAAAAAQAgAAAABwEAAGRycy9zaGFwZXhtbC54bWxQSwUGAAAAAAYABgBbAQAAsQMA&#10;AAAA&#10;">
                    <v:fill on="f" focussize="0,0"/>
                    <v:stroke weight="1.5pt" color="#000000" joinstyle="round"/>
                    <v:imagedata o:title=""/>
                    <o:lock v:ext="edit" aspectratio="t"/>
                  </v:line>
                </v:group>
                <v:group id="Group 91" o:spid="_x0000_s1026" o:spt="203" style="position:absolute;left:7840;top:8988;height:236;width:98;rotation:2949120f;" coordorigin="3987,6083" coordsize="210,624" o:gfxdata="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hC/JZboAAADbAAAADwAAAAAAAAABACAAAAAiAAAAZHJzL2Rvd25yZXYueG1sUEsB&#10;AhQAFAAAAAgAh07iQDMvBZ47AAAAOQAAABUAAAAAAAAAAQAgAAAACQEAAGRycy9ncm91cHNoYXBl&#10;eG1sLnhtbFBLBQYAAAAABgAGAGABAADGAwAAAAA=&#10;">
                  <o:lock v:ext="edit" aspectratio="t"/>
                  <v:shape id="AutoShape 92" o:spid="_x0000_s1026" o:spt="5" type="#_x0000_t5" style="position:absolute;left:3987;top:6083;height:468;width:210;" fillcolor="#000000" filled="t" stroked="t" coordsize="21600,21600" o:gfxdata="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fj3YLbsAAADb&#10;AAAADwAAAAAAAAABACAAAAAiAAAAZHJzL2Rvd25yZXYueG1sUEsBAhQAFAAAAAgAh07iQDMvBZ47&#10;AAAAOQAAABAAAAAAAAAAAQAgAAAACgEAAGRycy9zaGFwZXhtbC54bWxQSwUGAAAAAAYABgBbAQAA&#10;tAMAAAAA&#10;" adj="10800">
                    <v:fill on="t" focussize="0,0"/>
                    <v:stroke color="#000000" miterlimit="8" joinstyle="miter"/>
                    <v:imagedata o:title=""/>
                    <o:lock v:ext="edit" aspectratio="t"/>
                  </v:shape>
                  <v:line id="Line 93" o:spid="_x0000_s1026" o:spt="20" style="position:absolute;left:4095;top:6239;flip:y;height:468;width:0;" filled="f" stroked="t" coordsize="21600,21600" o:gfxdata="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n4sZqtwAAANsAAAAP&#10;AAAAAAAAAAEAIAAAACIAAABkcnMvZG93bnJldi54bWxQSwECFAAUAAAACACHTuJAMy8FnjsAAAA5&#10;AAAAEAAAAAAAAAABACAAAAAGAQAAZHJzL3NoYXBleG1sLnhtbFBLBQYAAAAABgAGAFsBAACwAwAA&#10;AAA=&#10;">
                    <v:fill on="f" focussize="0,0"/>
                    <v:stroke weight="1.5pt" color="#000000" joinstyle="round"/>
                    <v:imagedata o:title=""/>
                    <o:lock v:ext="edit" aspectratio="t"/>
                  </v:line>
                </v:group>
                <v:line id="Line 94" o:spid="_x0000_s1026" o:spt="20" style="position:absolute;left:6983;top:9024;height:0;width:1890;" filled="f" stroked="t" coordsize="21600,21600" o:gfxdata="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jF/FSugAAANsA&#10;AAAPAAAAAAAAAAEAIAAAACIAAABkcnMvZG93bnJldi54bWxQSwECFAAUAAAACACHTuJAMy8FnjsA&#10;AAA5AAAAEAAAAAAAAAABACAAAAAJAQAAZHJzL3NoYXBleG1sLnhtbFBLBQYAAAAABgAGAFsBAACz&#10;AwAAAAA=&#10;">
                  <v:fill on="f" focussize="0,0"/>
                  <v:stroke weight="1.25pt" color="#000000" joinstyle="round"/>
                  <v:imagedata o:title=""/>
                  <o:lock v:ext="edit" aspectratio="t"/>
                </v:line>
                <v:rect id="Rectangle 95" o:spid="_x0000_s1026" o:spt="1" style="position:absolute;left:8856;top:8972;height:91;width:227;" fillcolor="#000000" filled="t" stroked="t" coordsize="21600,21600" o:gfxdata="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3w3iMLgAAADbAAAA&#10;DwAAAAAAAAABACAAAAAiAAAAZHJzL2Rvd25yZXYueG1sUEsBAhQAFAAAAAgAh07iQDMvBZ47AAAA&#10;OQAAABAAAAAAAAAAAQAgAAAABwEAAGRycy9zaGFwZXhtbC54bWxQSwUGAAAAAAYABgBbAQAAsQMA&#10;AAAA&#10;">
                  <v:fill on="t" focussize="0,0"/>
                  <v:stroke color="#000000" miterlimit="8" joinstyle="miter"/>
                  <v:imagedata o:title=""/>
                  <o:lock v:ext="edit" aspectratio="f"/>
                </v:rect>
                <v:rect id="Rectangle 96" o:spid="_x0000_s1026" o:spt="1" style="position:absolute;left:6756;top:8972;height:91;width:227;" fillcolor="#000000" filled="t" stroked="t" coordsize="21600,21600" o:gfxdata="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sEFHq7gAAADbAAAA&#10;DwAAAAAAAAABACAAAAAiAAAAZHJzL2Rvd25yZXYueG1sUEsBAhQAFAAAAAgAh07iQDMvBZ47AAAA&#10;OQAAABAAAAAAAAAAAQAgAAAABwEAAGRycy9zaGFwZXhtbC54bWxQSwUGAAAAAAYABgBbAQAAsQMA&#10;AAAA&#10;">
                  <v:fill on="t" focussize="0,0"/>
                  <v:stroke color="#000000" miterlimit="8" joinstyle="miter"/>
                  <v:imagedata o:title=""/>
                  <o:lock v:ext="edit" aspectratio="f"/>
                </v:rect>
                <v:shape id="Text Box 97" o:spid="_x0000_s1026" o:spt="202" type="#_x0000_t202" style="position:absolute;left:4430;top:8368;height:312;width:1017;" fillcolor="#FFFFFF" filled="t" stroked="t" coordsize="21600,21600" o:gfxdata="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ey3Oy8AAAA&#10;2wAAAA8AAAAAAAAAAQAgAAAAIgAAAGRycy9kb3ducmV2LnhtbFBLAQIUABQAAAAIAIdO4kAzLwWe&#10;OwAAADkAAAAQAAAAAAAAAAEAIAAAAAsBAABkcnMvc2hhcGV4bWwueG1sUEsFBgAAAAAGAAYAWwEA&#10;ALUDAAAAAA==&#10;">
                  <v:fill on="t" focussize="0,0"/>
                  <v:stroke color="#FFFFFF" miterlimit="8" joinstyle="miter"/>
                  <v:imagedata o:title=""/>
                  <o:lock v:ext="edit" aspectratio="f"/>
                  <v:textbox inset="1.5mm,0.3mm,1.5mm,0.3mm">
                    <w:txbxContent>
                      <w:p>
                        <w:pPr>
                          <w:spacing w:line="240" w:lineRule="exact"/>
                          <w:rPr>
                            <w:sz w:val="18"/>
                          </w:rPr>
                        </w:pPr>
                        <w:r>
                          <w:rPr>
                            <w:rFonts w:hint="eastAsia"/>
                            <w:sz w:val="18"/>
                          </w:rPr>
                          <w:t>标准跳纤</w:t>
                        </w:r>
                      </w:p>
                    </w:txbxContent>
                  </v:textbox>
                </v:shape>
                <v:shape id="Text Box 98" o:spid="_x0000_s1026" o:spt="202" type="#_x0000_t202" style="position:absolute;left:7403;top:8462;height:283;width:1050;" fillcolor="#FFFFFF" filled="t" stroked="t" coordsize="21600,21600" o:gfxdata="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nl3vQAA&#10;ANsAAAAPAAAAAAAAAAEAIAAAACIAAABkcnMvZG93bnJldi54bWxQSwECFAAUAAAACACHTuJAMy8F&#10;njsAAAA5AAAAEAAAAAAAAAABACAAAAAMAQAAZHJzL3NoYXBleG1sLnhtbFBLBQYAAAAABgAGAFsB&#10;AAC2AwAAAAA=&#10;">
                  <v:fill on="t" focussize="0,0"/>
                  <v:stroke color="#FFFFFF" miterlimit="8" joinstyle="miter"/>
                  <v:imagedata o:title=""/>
                  <o:lock v:ext="edit" aspectratio="f"/>
                  <v:textbox inset="1.5mm,0.3mm,1.5mm,0.3mm">
                    <w:txbxContent>
                      <w:p>
                        <w:pPr>
                          <w:spacing w:line="240" w:lineRule="exact"/>
                          <w:rPr>
                            <w:sz w:val="18"/>
                          </w:rPr>
                        </w:pPr>
                        <w:r>
                          <w:rPr>
                            <w:rFonts w:hint="eastAsia"/>
                            <w:sz w:val="18"/>
                          </w:rPr>
                          <w:t>被测跳纤</w:t>
                        </w:r>
                      </w:p>
                    </w:txbxContent>
                  </v:textbox>
                </v:shape>
                <v:shape id="Text Box 99" o:spid="_x0000_s1026" o:spt="202" type="#_x0000_t202" style="position:absolute;left:6005;top:7924;height:312;width:1155;" fillcolor="#FFFFFF" filled="t" stroked="t" coordsize="21600,21600" o:gfxdata="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lh7QW5AAAA2wAA&#10;AA8AAAAAAAAAAQAgAAAAIgAAAGRycy9kb3ducmV2LnhtbFBLAQIUABQAAAAIAIdO4kAzLwWeOwAA&#10;ADkAAAAQAAAAAAAAAAEAIAAAAAgBAABkcnMvc2hhcGV4bWwueG1sUEsFBgAAAAAGAAYAWwEAALID&#10;AAAAAA==&#10;">
                  <v:fill on="t" focussize="0,0"/>
                  <v:stroke color="#FFFFFF" miterlimit="8" joinstyle="miter"/>
                  <v:imagedata o:title=""/>
                  <o:lock v:ext="edit" aspectratio="f"/>
                  <v:textbox inset="1.5mm,0.3mm,1.5mm,0.3mm">
                    <w:txbxContent>
                      <w:p>
                        <w:pPr>
                          <w:spacing w:line="240" w:lineRule="exact"/>
                          <w:rPr>
                            <w:sz w:val="18"/>
                          </w:rPr>
                        </w:pPr>
                        <w:r>
                          <w:rPr>
                            <w:rFonts w:hint="eastAsia"/>
                            <w:sz w:val="18"/>
                          </w:rPr>
                          <w:t>光缆交接箱</w:t>
                        </w:r>
                      </w:p>
                    </w:txbxContent>
                  </v:textbox>
                </v:shape>
                <v:shape id="Arc 100" o:spid="_x0000_s1026" o:spt="100" style="position:absolute;left:3728;top:8815;flip:y;height:403;width:220;rotation:11796480f;" filled="f" stroked="t" coordsize="22490,43200" o:gfxdata="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nl/R74A&#10;AADbAAAADwAAAAAAAAABACAAAAAiAAAAZHJzL2Rvd25yZXYueG1sUEsBAhQAFAAAAAgAh07iQDMv&#10;BZ47AAAAOQAAABAAAAAAAAAAAQAgAAAADQEAAGRycy9zaGFwZXhtbC54bWxQSwUGAAAAAAYABgBb&#10;AQAAtwMAAAAA&#10;" path="m889,0c12819,0,22490,9670,22490,21600c22490,33529,12819,43200,890,43200c593,43200,296,43193,0,43181nfem889,0c12819,0,22490,9670,22490,21600c22490,33529,12819,43200,890,43200c593,43200,296,43193,0,43181l890,21600xnse">
                  <v:path o:connectlocs="8,0;0,402;8,201" o:connectangles="0,0,0"/>
                  <v:fill on="f" focussize="0,0"/>
                  <v:stroke weight="2.5pt" color="#000000" joinstyle="round"/>
                  <v:imagedata o:title=""/>
                  <o:lock v:ext="edit" aspectratio="t"/>
                </v:shape>
                <v:shape id="Text Box 101" o:spid="_x0000_s1026" o:spt="202" type="#_x0000_t202" style="position:absolute;left:2654;top:8462;height:1417;width:1026;" fillcolor="#FFFFFF" filled="t" stroked="t" coordsize="21600,21600" o:gfxdata="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pbWIK5AAAA2wAA&#10;AA8AAAAAAAAAAQAgAAAAIgAAAGRycy9kb3ducmV2LnhtbFBLAQIUABQAAAAIAIdO4kAzLwWeOwAA&#10;ADkAAAAQAAAAAAAAAAEAIAAAAAgBAABkcnMvc2hhcGV4bWwueG1sUEsFBgAAAAAGAAYAWwEAALID&#10;AAAAAA==&#10;">
                  <v:fill on="t" focussize="0,0"/>
                  <v:stroke weight="1.25pt" color="#000000" miterlimit="8" joinstyle="miter"/>
                  <v:imagedata o:title=""/>
                  <o:lock v:ext="edit" aspectratio="f"/>
                  <v:textbox>
                    <w:txbxContent>
                      <w:p>
                        <w:r>
                          <w:object>
                            <v:shape id="_x0000_i1025" o:spt="75" type="#_x0000_t75" style="height:35.3pt;width:35.3pt;" o:ole="t" filled="f" o:preferrelative="t" stroked="f" coordsize="21600,21600">
                              <v:path/>
                              <v:fill on="f" focussize="0,0"/>
                              <v:stroke on="f" joinstyle="miter"/>
                              <v:imagedata r:id="rId45" o:title=""/>
                              <o:lock v:ext="edit" aspectratio="t"/>
                              <w10:wrap type="none"/>
                              <w10:anchorlock/>
                            </v:shape>
                            <o:OLEObject Type="Embed" ProgID="Word.Picture.8" ShapeID="_x0000_i1025" DrawAspect="Content" ObjectID="_1468075726" r:id="rId46">
                              <o:LockedField>false</o:LockedField>
                            </o:OLEObject>
                          </w:object>
                        </w:r>
                      </w:p>
                    </w:txbxContent>
                  </v:textbox>
                </v:shape>
                <v:shape id="Text Box 102" o:spid="_x0000_s1026" o:spt="202" type="#_x0000_t202" style="position:absolute;left:2320;top:8024;height:312;width:1680;" fillcolor="#FFFFFF" filled="t" stroked="t" coordsize="21600,21600" o:gfxdata="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tgtJFvQAA&#10;ANsAAAAPAAAAAAAAAAEAIAAAACIAAABkcnMvZG93bnJldi54bWxQSwECFAAUAAAACACHTuJAMy8F&#10;njsAAAA5AAAAEAAAAAAAAAABACAAAAAMAQAAZHJzL3NoYXBleG1sLnhtbFBLBQYAAAAABgAGAFsB&#10;AAC2AwAAAAA=&#10;">
                  <v:fill on="t" focussize="0,0"/>
                  <v:stroke color="#FFFFFF" miterlimit="8" joinstyle="miter"/>
                  <v:imagedata o:title=""/>
                  <o:lock v:ext="edit" aspectratio="f"/>
                  <v:textbox inset="1.5mm,0.3mm,1.5mm,0.3mm">
                    <w:txbxContent>
                      <w:p>
                        <w:pPr>
                          <w:spacing w:line="240" w:lineRule="exact"/>
                          <w:ind w:firstLine="270" w:firstLineChars="150"/>
                          <w:rPr>
                            <w:sz w:val="18"/>
                          </w:rPr>
                        </w:pPr>
                        <w:r>
                          <w:rPr>
                            <w:rFonts w:hint="eastAsia"/>
                            <w:sz w:val="18"/>
                          </w:rPr>
                          <w:t>光回损测试仪</w:t>
                        </w:r>
                      </w:p>
                    </w:txbxContent>
                  </v:textbox>
                </v:shape>
                <v:shape id="Text Box 103" o:spid="_x0000_s1026" o:spt="202" type="#_x0000_t202" style="position:absolute;left:6005;top:8392;height:312;width:1155;" fillcolor="#FFFFFF" filled="t" stroked="t" coordsize="21600,21600" o:gfxdata="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UEwyvQAA&#10;ANsAAAAPAAAAAAAAAAEAIAAAACIAAABkcnMvZG93bnJldi54bWxQSwECFAAUAAAACACHTuJAMy8F&#10;njsAAAA5AAAAEAAAAAAAAAABACAAAAAMAQAAZHJzL3NoYXBleG1sLnhtbFBLBQYAAAAABgAGAFsB&#10;AAC2AwAAAAA=&#10;">
                  <v:fill on="t" focussize="0,0"/>
                  <v:stroke color="#FFFFFF" miterlimit="8" joinstyle="miter"/>
                  <v:imagedata o:title=""/>
                  <o:lock v:ext="edit" aspectratio="f"/>
                  <v:textbox inset="1.5mm,0.3mm,1.5mm,0.3mm">
                    <w:txbxContent>
                      <w:p>
                        <w:pPr>
                          <w:rPr>
                            <w:sz w:val="18"/>
                            <w:szCs w:val="18"/>
                          </w:rPr>
                        </w:pPr>
                        <w:r>
                          <w:rPr>
                            <w:rFonts w:hint="eastAsia"/>
                            <w:sz w:val="18"/>
                            <w:szCs w:val="18"/>
                          </w:rPr>
                          <w:t>被测适配器</w:t>
                        </w:r>
                      </w:p>
                    </w:txbxContent>
                  </v:textbox>
                </v:shape>
                <v:shape id="Text Box 104" o:spid="_x0000_s1026" o:spt="202" type="#_x0000_t202" style="position:absolute;left:4043;top:9146;height:312;width:315;" fillcolor="#FFFFFF" filled="t" stroked="t" coordsize="21600,21600" o:gfxdata="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iyZwbsAAADb&#10;AAAADwAAAAAAAAABACAAAAAiAAAAZHJzL2Rvd25yZXYueG1sUEsBAhQAFAAAAAgAh07iQDMvBZ47&#10;AAAAOQAAABAAAAAAAAAAAQAgAAAACgEAAGRycy9zaGFwZXhtbC54bWxQSwUGAAAAAAYABgBbAQAA&#10;tAMAAAAA&#10;">
                  <v:fill on="t" focussize="0,0"/>
                  <v:stroke color="#FFFFFF" miterlimit="8" joinstyle="miter"/>
                  <v:imagedata o:title=""/>
                  <o:lock v:ext="edit" aspectratio="f"/>
                  <v:textbox inset="0.2mm,0.2mm,0.2mm,0.2mm">
                    <w:txbxContent>
                      <w:p>
                        <w:r>
                          <w:rPr>
                            <w:rFonts w:hint="eastAsia"/>
                          </w:rPr>
                          <w:t>S</w:t>
                        </w:r>
                        <w:r>
                          <w:rPr>
                            <w:rFonts w:hint="eastAsia"/>
                            <w:vertAlign w:val="subscript"/>
                          </w:rPr>
                          <w:t>1</w:t>
                        </w:r>
                      </w:p>
                    </w:txbxContent>
                  </v:textbox>
                </v:shape>
                <v:shape id="Text Box 105" o:spid="_x0000_s1026" o:spt="202" type="#_x0000_t202" style="position:absolute;left:8978;top:9146;height:312;width:315;" fillcolor="#FFFFFF" filled="t" stroked="t" coordsize="21600,21600" o:gfxdata="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cUBtbsAAADb&#10;AAAADwAAAAAAAAABACAAAAAiAAAAZHJzL2Rvd25yZXYueG1sUEsBAhQAFAAAAAgAh07iQDMvBZ47&#10;AAAAOQAAABAAAAAAAAAAAQAgAAAACgEAAGRycy9zaGFwZXhtbC54bWxQSwUGAAAAAAYABgBbAQAA&#10;tAMAAAAA&#10;">
                  <v:fill on="t" focussize="0,0"/>
                  <v:stroke color="#FFFFFF" miterlimit="8" joinstyle="miter"/>
                  <v:imagedata o:title=""/>
                  <o:lock v:ext="edit" aspectratio="f"/>
                  <v:textbox inset="0.2mm,0.2mm,0.2mm,0.2mm">
                    <w:txbxContent>
                      <w:p>
                        <w:r>
                          <w:rPr>
                            <w:rFonts w:hint="eastAsia"/>
                          </w:rPr>
                          <w:t>R</w:t>
                        </w:r>
                        <w:r>
                          <w:rPr>
                            <w:rFonts w:hint="eastAsia"/>
                            <w:vertAlign w:val="subscript"/>
                          </w:rPr>
                          <w:t>2</w:t>
                        </w:r>
                      </w:p>
                    </w:txbxContent>
                  </v:textbox>
                </v:shape>
              </v:group>
            </w:pict>
          </mc:Fallback>
        </mc:AlternateContent>
      </w:r>
    </w:p>
    <w:p>
      <w:pPr>
        <w:keepNext/>
        <w:widowControl/>
        <w:spacing w:line="360" w:lineRule="auto"/>
        <w:ind w:firstLine="420" w:firstLineChars="200"/>
        <w:contextualSpacing/>
        <w:jc w:val="center"/>
        <w:rPr>
          <w:rFonts w:ascii="宋体" w:hAnsi="宋体"/>
          <w:color w:val="FF0000"/>
          <w:kern w:val="0"/>
        </w:rPr>
      </w:pPr>
    </w:p>
    <w:p>
      <w:pPr>
        <w:keepNext/>
        <w:widowControl/>
        <w:spacing w:line="360" w:lineRule="auto"/>
        <w:ind w:firstLine="420" w:firstLineChars="200"/>
        <w:contextualSpacing/>
        <w:jc w:val="center"/>
        <w:rPr>
          <w:rFonts w:ascii="宋体" w:hAnsi="宋体"/>
          <w:color w:val="FF0000"/>
          <w:kern w:val="0"/>
        </w:rPr>
      </w:pPr>
    </w:p>
    <w:p>
      <w:pPr>
        <w:keepNext/>
        <w:widowControl/>
        <w:spacing w:line="360" w:lineRule="auto"/>
        <w:ind w:firstLine="420" w:firstLineChars="200"/>
        <w:contextualSpacing/>
        <w:jc w:val="center"/>
        <w:rPr>
          <w:rFonts w:ascii="宋体" w:hAnsi="宋体"/>
          <w:color w:val="FF0000"/>
          <w:kern w:val="0"/>
        </w:rPr>
      </w:pPr>
    </w:p>
    <w:p>
      <w:pPr>
        <w:keepNext/>
        <w:widowControl/>
        <w:spacing w:line="360" w:lineRule="auto"/>
        <w:ind w:firstLine="420" w:firstLineChars="200"/>
        <w:contextualSpacing/>
        <w:jc w:val="center"/>
        <w:rPr>
          <w:rFonts w:ascii="宋体" w:hAnsi="宋体"/>
          <w:color w:val="FF0000"/>
          <w:kern w:val="0"/>
        </w:rPr>
      </w:pPr>
    </w:p>
    <w:p>
      <w:pPr>
        <w:pStyle w:val="35"/>
        <w:spacing w:line="360" w:lineRule="auto"/>
        <w:ind w:firstLine="480"/>
        <w:jc w:val="center"/>
        <w:rPr>
          <w:rFonts w:ascii="宋体_GB2312" w:hAnsi="宋体_GB2312" w:eastAsia="宋体_GB2312"/>
          <w:sz w:val="24"/>
          <w:szCs w:val="24"/>
        </w:rPr>
      </w:pPr>
      <w:r>
        <w:rPr>
          <w:rFonts w:hint="eastAsia" w:ascii="宋体_GB2312" w:hAnsi="宋体_GB2312" w:eastAsia="宋体_GB2312"/>
          <w:sz w:val="24"/>
          <w:szCs w:val="24"/>
        </w:rPr>
        <w:t>图3</w:t>
      </w:r>
      <w:r>
        <w:rPr>
          <w:rFonts w:ascii="宋体_GB2312" w:hAnsi="宋体_GB2312" w:eastAsia="宋体_GB2312"/>
          <w:sz w:val="24"/>
          <w:szCs w:val="24"/>
        </w:rPr>
        <w:t>0</w:t>
      </w:r>
      <w:r>
        <w:rPr>
          <w:rFonts w:hint="eastAsia" w:ascii="宋体_GB2312" w:hAnsi="宋体_GB2312" w:eastAsia="宋体_GB2312"/>
          <w:sz w:val="24"/>
          <w:szCs w:val="24"/>
        </w:rPr>
        <w:t xml:space="preserve">  回波损耗测试原理图</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
          <w:sz w:val="24"/>
        </w:rPr>
      </w:pPr>
      <w:r>
        <w:rPr>
          <w:rFonts w:hint="eastAsia" w:ascii="宋体_GB2312" w:hAnsi="宋体_GB2312" w:eastAsia="宋体_GB2312"/>
          <w:kern w:val="2"/>
          <w:sz w:val="24"/>
        </w:rPr>
        <w:t>测试时</w:t>
      </w:r>
      <w:r>
        <w:rPr>
          <w:rFonts w:hint="eastAsia" w:ascii="宋体_GB2312" w:hAnsi="宋体_GB2312" w:eastAsia="宋体_GB2312"/>
          <w:color w:val="000000" w:themeColor="text1"/>
          <w:kern w:val="2"/>
          <w:sz w:val="24"/>
          <w14:textFill>
            <w14:solidFill>
              <w14:schemeClr w14:val="tx1"/>
            </w14:solidFill>
          </w14:textFill>
        </w:rPr>
        <w:t>，按图</w:t>
      </w:r>
      <w:r>
        <w:rPr>
          <w:rFonts w:ascii="宋体_GB2312" w:hAnsi="宋体_GB2312" w:eastAsia="宋体_GB2312"/>
          <w:color w:val="000000" w:themeColor="text1"/>
          <w:kern w:val="2"/>
          <w:sz w:val="24"/>
          <w14:textFill>
            <w14:solidFill>
              <w14:schemeClr w14:val="tx1"/>
            </w14:solidFill>
          </w14:textFill>
        </w:rPr>
        <w:t>30</w:t>
      </w:r>
      <w:r>
        <w:rPr>
          <w:rFonts w:hint="eastAsia" w:ascii="宋体_GB2312" w:hAnsi="宋体_GB2312" w:eastAsia="宋体_GB2312"/>
          <w:color w:val="000000" w:themeColor="text1"/>
          <w:kern w:val="2"/>
          <w:sz w:val="24"/>
          <w14:textFill>
            <w14:solidFill>
              <w14:schemeClr w14:val="tx1"/>
            </w14:solidFill>
          </w14:textFill>
        </w:rPr>
        <w:t>所示接上被测跳</w:t>
      </w:r>
      <w:r>
        <w:rPr>
          <w:rFonts w:hint="eastAsia" w:ascii="宋体_GB2312" w:hAnsi="宋体_GB2312" w:eastAsia="宋体_GB2312"/>
          <w:kern w:val="2"/>
          <w:sz w:val="24"/>
        </w:rPr>
        <w:t>纤，如果仪表需要消除</w:t>
      </w:r>
      <w:r>
        <w:rPr>
          <w:rFonts w:ascii="宋体_GB2312" w:hAnsi="宋体_GB2312" w:eastAsia="宋体_GB2312"/>
          <w:kern w:val="2"/>
          <w:sz w:val="24"/>
        </w:rPr>
        <w:t>R</w:t>
      </w:r>
      <w:r>
        <w:rPr>
          <w:rFonts w:ascii="宋体_GB2312" w:hAnsi="宋体_GB2312" w:eastAsia="宋体_GB2312"/>
          <w:kern w:val="2"/>
          <w:sz w:val="24"/>
          <w:vertAlign w:val="subscript"/>
        </w:rPr>
        <w:t>2</w:t>
      </w:r>
      <w:r>
        <w:rPr>
          <w:rFonts w:hint="eastAsia" w:ascii="宋体_GB2312" w:hAnsi="宋体_GB2312" w:eastAsia="宋体_GB2312"/>
          <w:kern w:val="2"/>
          <w:sz w:val="24"/>
        </w:rPr>
        <w:t>端反射影响，应在被测跳纤暴露端</w:t>
      </w:r>
      <w:r>
        <w:rPr>
          <w:rFonts w:ascii="宋体_GB2312" w:hAnsi="宋体_GB2312" w:eastAsia="宋体_GB2312"/>
          <w:kern w:val="2"/>
          <w:sz w:val="24"/>
        </w:rPr>
        <w:t>R</w:t>
      </w:r>
      <w:r>
        <w:rPr>
          <w:rFonts w:ascii="宋体_GB2312" w:hAnsi="宋体_GB2312" w:eastAsia="宋体_GB2312"/>
          <w:kern w:val="2"/>
          <w:sz w:val="24"/>
          <w:vertAlign w:val="subscript"/>
        </w:rPr>
        <w:t>2</w:t>
      </w:r>
      <w:r>
        <w:rPr>
          <w:rFonts w:hint="eastAsia" w:ascii="宋体_GB2312" w:hAnsi="宋体_GB2312" w:eastAsia="宋体_GB2312"/>
          <w:kern w:val="2"/>
          <w:sz w:val="24"/>
        </w:rPr>
        <w:t>涂上适量的反向匹配液或在直径为</w:t>
      </w:r>
      <w:r>
        <w:rPr>
          <w:rFonts w:ascii="宋体_GB2312" w:hAnsi="宋体_GB2312" w:eastAsia="宋体_GB2312"/>
          <w:kern w:val="2"/>
          <w:sz w:val="24"/>
        </w:rPr>
        <w:t>7mm左右的圆柱体上缠绕足够圈数，此时仪表所示值即为被测跳纤R</w:t>
      </w:r>
      <w:r>
        <w:rPr>
          <w:rFonts w:ascii="宋体_GB2312" w:hAnsi="宋体_GB2312" w:eastAsia="宋体_GB2312"/>
          <w:kern w:val="2"/>
          <w:sz w:val="24"/>
          <w:vertAlign w:val="subscript"/>
        </w:rPr>
        <w:t>1</w:t>
      </w:r>
      <w:r>
        <w:rPr>
          <w:rFonts w:hint="eastAsia" w:ascii="宋体_GB2312" w:hAnsi="宋体_GB2312" w:eastAsia="宋体_GB2312"/>
          <w:kern w:val="2"/>
          <w:sz w:val="24"/>
        </w:rPr>
        <w:t>端对应的回波损耗值；同理，将被测跳纤调换方向，则可测出另一端对应的回波损耗值。</w:t>
      </w:r>
    </w:p>
    <w:p>
      <w:pPr>
        <w:keepNext w:val="0"/>
        <w:spacing w:before="156" w:beforeLines="50" w:line="300" w:lineRule="auto"/>
        <w:ind w:firstLine="480" w:firstLineChars="200"/>
        <w:contextualSpacing w:val="0"/>
        <w:rPr>
          <w:rFonts w:ascii="宋体_GB2312" w:hAnsi="宋体_GB2312" w:eastAsia="宋体_GB2312"/>
          <w:sz w:val="24"/>
          <w:szCs w:val="24"/>
        </w:rPr>
      </w:pPr>
      <w:r>
        <w:rPr>
          <w:rFonts w:hint="eastAsia" w:ascii="宋体_GB2312" w:hAnsi="宋体_GB2312" w:eastAsia="宋体_GB2312"/>
          <w:sz w:val="24"/>
          <w:szCs w:val="24"/>
        </w:rPr>
        <w:t>（</w:t>
      </w:r>
      <w:r>
        <w:rPr>
          <w:rFonts w:ascii="宋体_GB2312" w:hAnsi="宋体_GB2312" w:eastAsia="宋体_GB2312"/>
          <w:sz w:val="24"/>
          <w:szCs w:val="24"/>
        </w:rPr>
        <w:t>2）基准法按GB/T 12507.1-2000</w:t>
      </w:r>
      <w:r>
        <w:rPr>
          <w:rFonts w:hint="eastAsia" w:ascii="宋体_GB2312" w:hAnsi="宋体_GB2312" w:eastAsia="宋体_GB2312"/>
          <w:sz w:val="24"/>
        </w:rPr>
        <w:t>《</w:t>
      </w:r>
      <w:r>
        <w:rPr>
          <w:rFonts w:ascii="Source Sans Pro" w:hAnsi="Source Sans Pro"/>
          <w:color w:val="000000"/>
          <w:shd w:val="clear" w:color="auto" w:fill="FFFFFF"/>
        </w:rPr>
        <w:t>光纤光缆连接器 第1部分</w:t>
      </w:r>
      <w:r>
        <w:rPr>
          <w:rFonts w:hint="eastAsia" w:ascii="Source Sans Pro" w:hAnsi="Source Sans Pro"/>
          <w:color w:val="000000"/>
          <w:shd w:val="clear" w:color="auto" w:fill="FFFFFF"/>
        </w:rPr>
        <w:t>：</w:t>
      </w:r>
      <w:r>
        <w:rPr>
          <w:rFonts w:ascii="Source Sans Pro" w:hAnsi="Source Sans Pro"/>
          <w:color w:val="000000"/>
          <w:shd w:val="clear" w:color="auto" w:fill="FFFFFF"/>
        </w:rPr>
        <w:t>总规范</w:t>
      </w:r>
      <w:r>
        <w:rPr>
          <w:rFonts w:hint="eastAsia" w:ascii="宋体_GB2312" w:hAnsi="宋体_GB2312" w:eastAsia="宋体_GB2312"/>
          <w:sz w:val="24"/>
        </w:rPr>
        <w:t>》</w:t>
      </w:r>
      <w:r>
        <w:rPr>
          <w:rFonts w:hint="eastAsia" w:ascii="宋体_GB2312" w:hAnsi="宋体_GB2312" w:eastAsia="宋体_GB2312"/>
          <w:sz w:val="24"/>
          <w:szCs w:val="24"/>
        </w:rPr>
        <w:t>中</w:t>
      </w:r>
      <w:r>
        <w:rPr>
          <w:rFonts w:ascii="宋体_GB2312" w:hAnsi="宋体_GB2312" w:eastAsia="宋体_GB2312"/>
          <w:sz w:val="24"/>
          <w:szCs w:val="24"/>
        </w:rPr>
        <w:t>2.7.4</w:t>
      </w:r>
      <w:r>
        <w:rPr>
          <w:rFonts w:hint="eastAsia" w:ascii="宋体_GB2312" w:hAnsi="宋体_GB2312" w:eastAsia="宋体_GB2312"/>
          <w:sz w:val="24"/>
          <w:szCs w:val="24"/>
        </w:rPr>
        <w:t>进行。</w:t>
      </w:r>
    </w:p>
    <w:p>
      <w:pPr>
        <w:keepNext w:val="0"/>
        <w:widowControl w:val="0"/>
        <w:spacing w:before="156" w:beforeLines="50" w:line="300" w:lineRule="auto"/>
        <w:ind w:firstLine="480" w:firstLineChars="200"/>
        <w:contextualSpacing w:val="0"/>
        <w:rPr>
          <w:rFonts w:ascii="宋体_GB2312" w:hAnsi="宋体_GB2312" w:eastAsia="宋体_GB2312"/>
          <w:sz w:val="24"/>
          <w:lang w:val="en-GB"/>
        </w:rPr>
      </w:pPr>
      <w:r>
        <w:rPr>
          <w:rFonts w:hint="eastAsia" w:ascii="宋体_GB2312" w:hAnsi="宋体_GB2312" w:eastAsia="宋体_GB2312"/>
          <w:sz w:val="24"/>
        </w:rPr>
        <w:t>5</w:t>
      </w:r>
      <w:r>
        <w:rPr>
          <w:rFonts w:ascii="宋体_GB2312" w:hAnsi="宋体_GB2312" w:eastAsia="宋体_GB2312"/>
          <w:sz w:val="24"/>
        </w:rPr>
        <w:t>.2.4.3</w:t>
      </w:r>
      <w:r>
        <w:rPr>
          <w:rFonts w:hint="eastAsia" w:ascii="宋体_GB2312" w:hAnsi="宋体_GB2312" w:eastAsia="宋体_GB2312"/>
          <w:sz w:val="24"/>
          <w:lang w:val="en-GB"/>
        </w:rPr>
        <w:t>光纤连接器端面几何尺寸测试</w:t>
      </w:r>
    </w:p>
    <w:p>
      <w:pPr>
        <w:pStyle w:val="42"/>
        <w:spacing w:before="156" w:beforeLines="50" w:line="560" w:lineRule="exact"/>
        <w:ind w:firstLine="480" w:firstLineChars="200"/>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.2.4.3.1</w:t>
      </w:r>
      <w:r>
        <w:rPr>
          <w:rFonts w:hint="eastAsia" w:ascii="宋体_GB2312" w:hAnsi="宋体_GB2312" w:eastAsia="宋体_GB2312"/>
          <w:sz w:val="24"/>
        </w:rPr>
        <w:t>基准法</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w:t>
      </w:r>
      <w:r>
        <w:rPr>
          <w:rFonts w:hint="default" w:ascii="宋体_GB2312" w:hAnsi="宋体_GB2312" w:eastAsia="宋体_GB2312"/>
          <w:sz w:val="24"/>
          <w:szCs w:val="24"/>
        </w:rPr>
        <w:t>曲率半径</w:t>
      </w:r>
      <w:r>
        <w:rPr>
          <w:rFonts w:hint="eastAsia" w:ascii="宋体_GB2312" w:hAnsi="宋体_GB2312" w:eastAsia="宋体_GB2312"/>
          <w:sz w:val="24"/>
        </w:rPr>
        <w:t>应按</w:t>
      </w:r>
      <w:r>
        <w:rPr>
          <w:rFonts w:ascii="宋体_GB2312" w:hAnsi="宋体_GB2312" w:eastAsia="宋体_GB2312"/>
          <w:sz w:val="24"/>
        </w:rPr>
        <w:t>IEC 61300-3-47</w:t>
      </w:r>
      <w:r>
        <w:rPr>
          <w:rFonts w:hint="eastAsia" w:ascii="宋体_GB2312" w:hAnsi="宋体_GB2312" w:eastAsia="宋体_GB2312"/>
          <w:sz w:val="24"/>
        </w:rPr>
        <w:t>中规定的方法进行测试。</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（2）</w:t>
      </w:r>
      <w:r>
        <w:rPr>
          <w:rFonts w:hint="default" w:ascii="宋体_GB2312" w:hAnsi="宋体_GB2312" w:eastAsia="宋体_GB2312"/>
          <w:sz w:val="24"/>
          <w:szCs w:val="24"/>
        </w:rPr>
        <w:t>顶点偏移</w:t>
      </w:r>
      <w:r>
        <w:rPr>
          <w:rFonts w:hint="eastAsia" w:ascii="宋体_GB2312" w:hAnsi="宋体_GB2312" w:eastAsia="宋体_GB2312"/>
          <w:sz w:val="24"/>
        </w:rPr>
        <w:t>应按</w:t>
      </w:r>
      <w:r>
        <w:rPr>
          <w:rFonts w:ascii="宋体_GB2312" w:hAnsi="宋体_GB2312" w:eastAsia="宋体_GB2312"/>
          <w:sz w:val="24"/>
        </w:rPr>
        <w:t>IEC 61300-3-47</w:t>
      </w:r>
      <w:r>
        <w:rPr>
          <w:rFonts w:hint="eastAsia" w:ascii="宋体_GB2312" w:hAnsi="宋体_GB2312" w:eastAsia="宋体_GB2312"/>
          <w:sz w:val="24"/>
        </w:rPr>
        <w:t>中规定的方法进行测试。</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（3）</w:t>
      </w:r>
      <w:r>
        <w:rPr>
          <w:rFonts w:hint="default" w:ascii="宋体_GB2312" w:hAnsi="宋体_GB2312" w:eastAsia="宋体_GB2312"/>
          <w:sz w:val="24"/>
          <w:szCs w:val="24"/>
        </w:rPr>
        <w:t>光纤凹陷（或突出）</w:t>
      </w:r>
      <w:r>
        <w:rPr>
          <w:rFonts w:hint="eastAsia" w:ascii="宋体_GB2312" w:hAnsi="宋体_GB2312" w:eastAsia="宋体_GB2312"/>
          <w:sz w:val="24"/>
        </w:rPr>
        <w:t>应按</w:t>
      </w:r>
      <w:r>
        <w:rPr>
          <w:rFonts w:ascii="宋体_GB2312" w:hAnsi="宋体_GB2312" w:eastAsia="宋体_GB2312"/>
          <w:sz w:val="24"/>
        </w:rPr>
        <w:t>IEC 61300-3-47</w:t>
      </w:r>
      <w:r>
        <w:rPr>
          <w:rFonts w:hint="eastAsia" w:ascii="宋体_GB2312" w:hAnsi="宋体_GB2312" w:eastAsia="宋体_GB2312"/>
          <w:sz w:val="24"/>
        </w:rPr>
        <w:t>中规定的方法进行测试。</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（4）</w:t>
      </w:r>
      <w:r>
        <w:rPr>
          <w:rFonts w:ascii="宋体_GB2312" w:hAnsi="宋体_GB2312" w:eastAsia="宋体_GB2312"/>
          <w:sz w:val="24"/>
        </w:rPr>
        <w:t>APC型插针的APC角度应按IEC 61300-3-47</w:t>
      </w:r>
      <w:r>
        <w:rPr>
          <w:rFonts w:hint="eastAsia" w:ascii="宋体_GB2312" w:hAnsi="宋体_GB2312" w:eastAsia="宋体_GB2312"/>
          <w:sz w:val="24"/>
        </w:rPr>
        <w:t>中规定的方法进行测试。</w:t>
      </w:r>
    </w:p>
    <w:p>
      <w:pPr>
        <w:pStyle w:val="42"/>
        <w:spacing w:before="156" w:beforeLines="50" w:line="560" w:lineRule="exact"/>
        <w:ind w:firstLine="480" w:firstLineChars="200"/>
        <w:rPr>
          <w:rFonts w:ascii="宋体_GB2312" w:hAnsi="宋体_GB2312" w:eastAsia="宋体_GB2312"/>
          <w:sz w:val="24"/>
        </w:rPr>
      </w:pPr>
      <w:r>
        <w:rPr>
          <w:rFonts w:hint="eastAsia" w:ascii="宋体_GB2312" w:hAnsi="宋体_GB2312" w:eastAsia="宋体_GB2312"/>
          <w:sz w:val="24"/>
        </w:rPr>
        <w:t>5</w:t>
      </w:r>
      <w:r>
        <w:rPr>
          <w:rFonts w:ascii="宋体_GB2312" w:hAnsi="宋体_GB2312" w:eastAsia="宋体_GB2312"/>
          <w:sz w:val="24"/>
        </w:rPr>
        <w:t>.2.4.3.2</w:t>
      </w:r>
      <w:r>
        <w:rPr>
          <w:rFonts w:hint="eastAsia" w:ascii="宋体_GB2312" w:hAnsi="宋体_GB2312" w:eastAsia="宋体_GB2312"/>
          <w:sz w:val="24"/>
          <w:szCs w:val="24"/>
        </w:rPr>
        <w:t>替代法</w:t>
      </w:r>
    </w:p>
    <w:p>
      <w:pPr>
        <w:keepNext w:val="0"/>
        <w:spacing w:before="156" w:beforeLines="50" w:line="300" w:lineRule="auto"/>
        <w:ind w:firstLine="480" w:firstLineChars="200"/>
        <w:contextualSpacing w:val="0"/>
        <w:rPr>
          <w:rFonts w:ascii="宋体_GB2312" w:hAnsi="宋体_GB2312" w:eastAsia="宋体_GB2312"/>
          <w:sz w:val="24"/>
          <w:szCs w:val="24"/>
        </w:rPr>
      </w:pPr>
      <w:r>
        <w:rPr>
          <w:rFonts w:hint="eastAsia" w:ascii="宋体_GB2312" w:hAnsi="宋体_GB2312" w:eastAsia="宋体_GB2312"/>
          <w:sz w:val="24"/>
        </w:rPr>
        <w:t>可采用端面干涉仪直接测量出光纤连接器端面的曲率半径、顶点偏移、光纤凹陷/突出。</w:t>
      </w:r>
    </w:p>
    <w:p>
      <w:pPr>
        <w:keepNext w:val="0"/>
        <w:widowControl w:val="0"/>
        <w:spacing w:before="156" w:beforeLines="50" w:line="300" w:lineRule="auto"/>
        <w:ind w:firstLine="480" w:firstLineChars="200"/>
        <w:contextualSpacing w:val="0"/>
        <w:rPr>
          <w:rFonts w:ascii="宋体_GB2312" w:hAnsi="宋体_GB2312" w:eastAsia="宋体_GB2312"/>
          <w:sz w:val="24"/>
          <w:lang w:val="en-GB"/>
        </w:rPr>
      </w:pPr>
      <w:r>
        <w:rPr>
          <w:rFonts w:hint="eastAsia" w:ascii="宋体_GB2312" w:hAnsi="宋体_GB2312" w:eastAsia="宋体_GB2312"/>
          <w:sz w:val="24"/>
        </w:rPr>
        <w:t>5</w:t>
      </w:r>
      <w:r>
        <w:rPr>
          <w:rFonts w:ascii="宋体_GB2312" w:hAnsi="宋体_GB2312" w:eastAsia="宋体_GB2312"/>
          <w:sz w:val="24"/>
        </w:rPr>
        <w:t>.2.5</w:t>
      </w:r>
      <w:r>
        <w:rPr>
          <w:rFonts w:hint="eastAsia" w:ascii="宋体_GB2312" w:hAnsi="宋体_GB2312" w:eastAsia="宋体_GB2312"/>
          <w:sz w:val="24"/>
          <w:lang w:val="en-GB"/>
        </w:rPr>
        <w:t>互换性</w:t>
      </w:r>
      <w:r>
        <w:rPr>
          <w:rFonts w:hint="eastAsia" w:ascii="宋体_GB2312" w:hAnsi="宋体_GB2312" w:eastAsia="宋体_GB2312"/>
          <w:sz w:val="24"/>
          <w:szCs w:val="24"/>
          <w:lang w:val="en-GB"/>
        </w:rPr>
        <w:t>试验</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
          <w:sz w:val="24"/>
        </w:rPr>
      </w:pPr>
      <w:r>
        <w:rPr>
          <w:rFonts w:hint="eastAsia" w:ascii="宋体_GB2312" w:hAnsi="宋体_GB2312" w:eastAsia="宋体_GB2312"/>
          <w:kern w:val="2"/>
          <w:sz w:val="24"/>
        </w:rPr>
        <w:t>随机抽取</w:t>
      </w:r>
      <w:r>
        <w:rPr>
          <w:rFonts w:ascii="宋体_GB2312" w:hAnsi="宋体_GB2312" w:eastAsia="宋体_GB2312"/>
          <w:kern w:val="2"/>
          <w:sz w:val="24"/>
        </w:rPr>
        <w:t>5套光纤连接器（含适配器和跳纤）为一组进行互换试验。在5套连接器中任意抽取一套作为公共参考适配器和跳纤，按图2</w:t>
      </w:r>
      <w:r>
        <w:rPr>
          <w:rFonts w:ascii="宋体_GB2312" w:hAnsi="宋体_GB2312" w:eastAsia="宋体_GB2312"/>
          <w:sz w:val="24"/>
        </w:rPr>
        <w:t>9</w:t>
      </w:r>
      <w:r>
        <w:rPr>
          <w:rFonts w:hint="eastAsia" w:ascii="宋体_GB2312" w:hAnsi="宋体_GB2312" w:eastAsia="宋体_GB2312"/>
          <w:kern w:val="2"/>
          <w:sz w:val="24"/>
        </w:rPr>
        <w:t>和图</w:t>
      </w:r>
      <w:r>
        <w:rPr>
          <w:rFonts w:ascii="宋体_GB2312" w:hAnsi="宋体_GB2312" w:eastAsia="宋体_GB2312"/>
          <w:kern w:val="2"/>
          <w:sz w:val="24"/>
        </w:rPr>
        <w:t>3</w:t>
      </w:r>
      <w:r>
        <w:rPr>
          <w:rFonts w:ascii="宋体_GB2312" w:hAnsi="宋体_GB2312" w:eastAsia="宋体_GB2312"/>
          <w:sz w:val="24"/>
        </w:rPr>
        <w:t>0</w:t>
      </w:r>
      <w:r>
        <w:rPr>
          <w:rFonts w:hint="eastAsia" w:ascii="宋体_GB2312" w:hAnsi="宋体_GB2312" w:eastAsia="宋体_GB2312"/>
          <w:kern w:val="2"/>
          <w:sz w:val="24"/>
        </w:rPr>
        <w:t>连接，测试其光学性能，用余下</w:t>
      </w:r>
      <w:r>
        <w:rPr>
          <w:rFonts w:ascii="宋体_GB2312" w:hAnsi="宋体_GB2312" w:eastAsia="宋体_GB2312"/>
          <w:kern w:val="2"/>
          <w:sz w:val="24"/>
        </w:rPr>
        <w:t>4根跳纤分别替换公共跳纤，进行光学性能测试，测试过程允许清洗插针和套筒。试验后试样光学性能符合表</w:t>
      </w:r>
      <w:r>
        <w:rPr>
          <w:rFonts w:ascii="宋体_GB2312" w:hAnsi="宋体_GB2312" w:eastAsia="宋体_GB2312"/>
          <w:sz w:val="24"/>
        </w:rPr>
        <w:t>3</w:t>
      </w:r>
      <w:r>
        <w:rPr>
          <w:rFonts w:hint="eastAsia" w:ascii="宋体_GB2312" w:hAnsi="宋体_GB2312" w:eastAsia="宋体_GB2312"/>
          <w:kern w:val="2"/>
          <w:sz w:val="24"/>
        </w:rPr>
        <w:t>中</w:t>
      </w:r>
      <w:r>
        <w:rPr>
          <w:rFonts w:hint="eastAsia" w:ascii="宋体_GB2312" w:hAnsi="宋体_GB2312" w:eastAsia="宋体_GB2312"/>
          <w:sz w:val="24"/>
        </w:rPr>
        <w:t>的</w:t>
      </w:r>
      <w:r>
        <w:rPr>
          <w:rFonts w:hint="eastAsia" w:ascii="宋体_GB2312" w:hAnsi="宋体_GB2312" w:eastAsia="宋体_GB2312"/>
          <w:kern w:val="2"/>
          <w:sz w:val="24"/>
        </w:rPr>
        <w:t>要求。</w:t>
      </w:r>
    </w:p>
    <w:p>
      <w:pPr>
        <w:keepNext w:val="0"/>
        <w:widowControl w:val="0"/>
        <w:spacing w:before="156" w:beforeLines="50" w:line="300" w:lineRule="auto"/>
        <w:ind w:firstLine="480" w:firstLineChars="200"/>
        <w:contextualSpacing w:val="0"/>
        <w:rPr>
          <w:rFonts w:ascii="宋体_GB2312" w:hAnsi="宋体_GB2312" w:eastAsia="宋体_GB2312"/>
          <w:sz w:val="24"/>
          <w:lang w:val="en-GB"/>
        </w:rPr>
      </w:pPr>
      <w:r>
        <w:rPr>
          <w:rFonts w:hint="eastAsia" w:ascii="宋体_GB2312" w:hAnsi="宋体_GB2312" w:eastAsia="宋体_GB2312"/>
          <w:sz w:val="24"/>
        </w:rPr>
        <w:t>5</w:t>
      </w:r>
      <w:r>
        <w:rPr>
          <w:rFonts w:ascii="宋体_GB2312" w:hAnsi="宋体_GB2312" w:eastAsia="宋体_GB2312"/>
          <w:sz w:val="24"/>
        </w:rPr>
        <w:t>.2.6</w:t>
      </w:r>
      <w:r>
        <w:rPr>
          <w:rFonts w:hint="eastAsia" w:ascii="宋体_GB2312" w:hAnsi="宋体_GB2312" w:eastAsia="宋体_GB2312"/>
          <w:sz w:val="24"/>
          <w:szCs w:val="24"/>
          <w:lang w:val="en-GB"/>
        </w:rPr>
        <w:t>机械耐久性试验</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
          <w:sz w:val="24"/>
        </w:rPr>
      </w:pPr>
      <w:r>
        <w:rPr>
          <w:rFonts w:hint="eastAsia" w:ascii="宋体_GB2312" w:hAnsi="宋体_GB2312" w:eastAsia="宋体_GB2312"/>
          <w:kern w:val="2"/>
          <w:sz w:val="24"/>
        </w:rPr>
        <w:t>在对方插头插入的情况下，以通常使用的方法插入和拔出，共插拔</w:t>
      </w:r>
      <w:r>
        <w:rPr>
          <w:rFonts w:hint="eastAsia" w:ascii="宋体_GB2312" w:hAnsi="宋体_GB2312" w:eastAsia="宋体_GB2312"/>
          <w:sz w:val="24"/>
        </w:rPr>
        <w:t>1</w:t>
      </w:r>
      <w:r>
        <w:rPr>
          <w:rFonts w:ascii="宋体_GB2312" w:hAnsi="宋体_GB2312" w:eastAsia="宋体_GB2312"/>
          <w:sz w:val="24"/>
        </w:rPr>
        <w:t>0</w:t>
      </w:r>
      <w:r>
        <w:rPr>
          <w:rFonts w:hint="eastAsia" w:ascii="宋体_GB2312" w:hAnsi="宋体_GB2312" w:eastAsia="宋体_GB2312"/>
          <w:kern w:val="2"/>
          <w:sz w:val="24"/>
        </w:rPr>
        <w:t>00次，最后50次时每10次记录一次光学性能数据，同时对插针体及适配器的弹性套筒进行清洁，记录5次数据。取5次数据的平均值。试验后试样应满足下面要求：</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
          <w:sz w:val="24"/>
        </w:rPr>
      </w:pPr>
      <w:r>
        <w:rPr>
          <w:rFonts w:hint="eastAsia" w:ascii="宋体_GB2312" w:hAnsi="宋体_GB2312" w:eastAsia="宋体_GB2312"/>
          <w:sz w:val="24"/>
        </w:rPr>
        <w:t>（1）</w:t>
      </w:r>
      <w:r>
        <w:rPr>
          <w:rFonts w:hint="eastAsia" w:ascii="宋体_GB2312" w:hAnsi="宋体_GB2312" w:eastAsia="宋体_GB2312"/>
          <w:kern w:val="2"/>
          <w:sz w:val="24"/>
        </w:rPr>
        <w:t>不得有机械损伤，插针表面无明显划痕</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
          <w:sz w:val="24"/>
        </w:rPr>
      </w:pPr>
      <w:r>
        <w:rPr>
          <w:rFonts w:hint="eastAsia" w:ascii="宋体_GB2312" w:hAnsi="宋体_GB2312" w:eastAsia="宋体_GB2312"/>
          <w:sz w:val="24"/>
        </w:rPr>
        <w:t>（2）</w:t>
      </w:r>
      <w:r>
        <w:rPr>
          <w:rFonts w:hint="eastAsia" w:ascii="宋体_GB2312" w:hAnsi="宋体_GB2312" w:eastAsia="宋体_GB2312"/>
          <w:kern w:val="2"/>
          <w:sz w:val="24"/>
        </w:rPr>
        <w:t>光学性能符合表</w:t>
      </w:r>
      <w:r>
        <w:rPr>
          <w:rFonts w:ascii="宋体_GB2312" w:hAnsi="宋体_GB2312" w:eastAsia="宋体_GB2312"/>
          <w:sz w:val="24"/>
        </w:rPr>
        <w:t>3</w:t>
      </w:r>
      <w:r>
        <w:rPr>
          <w:rFonts w:hint="eastAsia" w:ascii="宋体_GB2312" w:hAnsi="宋体_GB2312" w:eastAsia="宋体_GB2312"/>
          <w:kern w:val="2"/>
          <w:sz w:val="24"/>
        </w:rPr>
        <w:t>中</w:t>
      </w:r>
      <w:r>
        <w:rPr>
          <w:rFonts w:hint="eastAsia" w:ascii="宋体_GB2312" w:hAnsi="宋体_GB2312" w:eastAsia="宋体_GB2312"/>
          <w:sz w:val="24"/>
        </w:rPr>
        <w:t>的</w:t>
      </w:r>
      <w:r>
        <w:rPr>
          <w:rFonts w:hint="eastAsia" w:ascii="宋体_GB2312" w:hAnsi="宋体_GB2312" w:eastAsia="宋体_GB2312"/>
          <w:kern w:val="2"/>
          <w:sz w:val="24"/>
        </w:rPr>
        <w:t>要求。</w:t>
      </w:r>
    </w:p>
    <w:p>
      <w:pPr>
        <w:keepNext w:val="0"/>
        <w:widowControl w:val="0"/>
        <w:spacing w:before="156" w:beforeLines="50" w:line="300" w:lineRule="auto"/>
        <w:ind w:firstLine="480" w:firstLineChars="200"/>
        <w:contextualSpacing w:val="0"/>
        <w:rPr>
          <w:rFonts w:ascii="宋体_GB2312" w:hAnsi="宋体_GB2312" w:eastAsia="宋体_GB2312"/>
          <w:sz w:val="24"/>
          <w:highlight w:val="none"/>
          <w:lang w:val="en-GB"/>
        </w:rPr>
      </w:pPr>
      <w:r>
        <w:rPr>
          <w:rFonts w:ascii="宋体_GB2312" w:hAnsi="宋体_GB2312" w:eastAsia="宋体_GB2312"/>
          <w:sz w:val="24"/>
          <w:highlight w:val="none"/>
        </w:rPr>
        <w:t>5.2.7</w:t>
      </w:r>
      <w:r>
        <w:rPr>
          <w:rFonts w:hint="eastAsia" w:ascii="宋体_GB2312" w:hAnsi="宋体_GB2312" w:eastAsia="宋体_GB2312"/>
          <w:sz w:val="24"/>
          <w:highlight w:val="none"/>
          <w:lang w:val="en-GB"/>
        </w:rPr>
        <w:t>抗拉</w:t>
      </w:r>
      <w:r>
        <w:rPr>
          <w:rFonts w:hint="eastAsia" w:ascii="宋体_GB2312" w:hAnsi="宋体_GB2312" w:eastAsia="宋体_GB2312"/>
          <w:sz w:val="24"/>
          <w:szCs w:val="24"/>
          <w:highlight w:val="none"/>
          <w:lang w:val="en-GB"/>
        </w:rPr>
        <w:t>试验</w:t>
      </w:r>
    </w:p>
    <w:p>
      <w:pPr>
        <w:spacing w:before="156" w:beforeLines="50" w:line="300" w:lineRule="auto"/>
        <w:ind w:firstLine="480" w:firstLineChars="200"/>
        <w:rPr>
          <w:rFonts w:ascii="宋体_GB2312" w:hAnsi="宋体_GB2312" w:eastAsia="宋体_GB2312"/>
          <w:sz w:val="24"/>
          <w:highlight w:val="none"/>
        </w:rPr>
      </w:pPr>
      <w:r>
        <w:rPr>
          <w:rFonts w:hint="eastAsia" w:ascii="宋体_GB2312" w:hAnsi="宋体_GB2312" w:eastAsia="宋体_GB2312"/>
          <w:sz w:val="24"/>
          <w:highlight w:val="none"/>
        </w:rPr>
        <w:t>（</w:t>
      </w:r>
      <w:r>
        <w:rPr>
          <w:rFonts w:ascii="宋体_GB2312" w:hAnsi="宋体_GB2312" w:eastAsia="宋体_GB2312"/>
          <w:sz w:val="24"/>
          <w:highlight w:val="none"/>
        </w:rPr>
        <w:t>1</w:t>
      </w:r>
      <w:r>
        <w:rPr>
          <w:rFonts w:hint="eastAsia" w:ascii="宋体_GB2312" w:hAnsi="宋体_GB2312" w:eastAsia="宋体_GB2312"/>
          <w:sz w:val="24"/>
          <w:highlight w:val="none"/>
        </w:rPr>
        <w:t>）LC型光纤连接器按</w:t>
      </w:r>
      <w:r>
        <w:rPr>
          <w:rFonts w:hint="eastAsia" w:ascii="宋体_GB2312" w:hAnsi="宋体_GB2312" w:eastAsia="宋体_GB2312"/>
          <w:sz w:val="24"/>
          <w:highlight w:val="none"/>
        </w:rPr>
        <w:fldChar w:fldCharType="begin"/>
      </w:r>
      <w:r>
        <w:rPr>
          <w:rFonts w:hint="eastAsia" w:ascii="宋体_GB2312" w:hAnsi="宋体_GB2312" w:eastAsia="宋体_GB2312"/>
          <w:sz w:val="24"/>
          <w:highlight w:val="none"/>
        </w:rPr>
        <w:instrText xml:space="preserve"> HYPERLINK "http://www.ccsa.org.cn/tech_doc/show.php3?source=yd&amp;id=1480" </w:instrText>
      </w:r>
      <w:r>
        <w:rPr>
          <w:rFonts w:hint="eastAsia" w:ascii="宋体_GB2312" w:hAnsi="宋体_GB2312" w:eastAsia="宋体_GB2312"/>
          <w:sz w:val="24"/>
          <w:highlight w:val="none"/>
        </w:rPr>
        <w:fldChar w:fldCharType="separate"/>
      </w:r>
      <w:r>
        <w:rPr>
          <w:rFonts w:ascii="宋体_GB2312" w:hAnsi="宋体_GB2312" w:eastAsia="宋体_GB2312"/>
          <w:sz w:val="24"/>
          <w:highlight w:val="none"/>
        </w:rPr>
        <w:t>YD/T 1272.1</w:t>
      </w:r>
      <w:r>
        <w:rPr>
          <w:rFonts w:hint="eastAsia" w:ascii="宋体_GB2312" w:hAnsi="宋体_GB2312" w:eastAsia="宋体_GB2312"/>
          <w:sz w:val="24"/>
          <w:highlight w:val="none"/>
        </w:rPr>
        <w:fldChar w:fldCharType="end"/>
      </w:r>
      <w:r>
        <w:rPr>
          <w:rFonts w:hint="eastAsia" w:ascii="宋体_GB2312" w:hAnsi="宋体_GB2312" w:eastAsia="宋体_GB2312"/>
          <w:sz w:val="24"/>
          <w:highlight w:val="none"/>
        </w:rPr>
        <w:t>-20</w:t>
      </w:r>
      <w:r>
        <w:rPr>
          <w:rFonts w:ascii="宋体_GB2312" w:hAnsi="宋体_GB2312" w:eastAsia="宋体_GB2312"/>
          <w:sz w:val="24"/>
          <w:highlight w:val="none"/>
        </w:rPr>
        <w:t>18</w:t>
      </w:r>
      <w:r>
        <w:rPr>
          <w:rFonts w:hint="eastAsia" w:ascii="宋体_GB2312" w:hAnsi="宋体_GB2312" w:eastAsia="宋体_GB2312"/>
          <w:sz w:val="24"/>
          <w:highlight w:val="none"/>
        </w:rPr>
        <w:t>《</w:t>
      </w:r>
      <w:r>
        <w:rPr>
          <w:rFonts w:hint="eastAsia" w:ascii="宋体_GB2312" w:hAnsi="宋体_GB2312" w:eastAsia="宋体_GB2312"/>
          <w:color w:val="606266"/>
          <w:sz w:val="24"/>
          <w:szCs w:val="24"/>
          <w:highlight w:val="none"/>
          <w:shd w:val="clear" w:color="auto" w:fill="auto"/>
        </w:rPr>
        <w:t>光纤活动连接器</w:t>
      </w:r>
      <w:r>
        <w:rPr>
          <w:rFonts w:ascii="宋体_GB2312" w:hAnsi="宋体_GB2312" w:eastAsia="宋体_GB2312"/>
          <w:color w:val="606266"/>
          <w:sz w:val="24"/>
          <w:szCs w:val="24"/>
          <w:highlight w:val="none"/>
          <w:shd w:val="clear" w:color="auto" w:fill="auto"/>
        </w:rPr>
        <w:t xml:space="preserve"> </w:t>
      </w:r>
      <w:r>
        <w:rPr>
          <w:rFonts w:hint="eastAsia" w:ascii="宋体_GB2312" w:hAnsi="宋体_GB2312" w:eastAsia="宋体_GB2312"/>
          <w:color w:val="606266"/>
          <w:sz w:val="24"/>
          <w:szCs w:val="24"/>
          <w:highlight w:val="none"/>
          <w:shd w:val="clear" w:color="auto" w:fill="auto"/>
        </w:rPr>
        <w:t>第</w:t>
      </w:r>
      <w:r>
        <w:rPr>
          <w:rFonts w:ascii="宋体_GB2312" w:hAnsi="宋体_GB2312" w:eastAsia="宋体_GB2312"/>
          <w:color w:val="606266"/>
          <w:sz w:val="24"/>
          <w:szCs w:val="24"/>
          <w:highlight w:val="none"/>
          <w:shd w:val="clear" w:color="auto" w:fill="auto"/>
        </w:rPr>
        <w:t>1</w:t>
      </w:r>
      <w:r>
        <w:rPr>
          <w:rFonts w:hint="eastAsia" w:ascii="宋体_GB2312" w:hAnsi="宋体_GB2312" w:eastAsia="宋体_GB2312"/>
          <w:color w:val="606266"/>
          <w:sz w:val="24"/>
          <w:szCs w:val="24"/>
          <w:highlight w:val="none"/>
          <w:shd w:val="clear" w:color="auto" w:fill="auto"/>
        </w:rPr>
        <w:t>部分：</w:t>
      </w:r>
      <w:r>
        <w:rPr>
          <w:rFonts w:ascii="宋体_GB2312" w:hAnsi="宋体_GB2312" w:eastAsia="宋体_GB2312"/>
          <w:color w:val="606266"/>
          <w:sz w:val="24"/>
          <w:szCs w:val="24"/>
          <w:highlight w:val="none"/>
          <w:shd w:val="clear" w:color="auto" w:fill="auto"/>
        </w:rPr>
        <w:t>LC</w:t>
      </w:r>
      <w:r>
        <w:rPr>
          <w:rFonts w:hint="eastAsia" w:ascii="宋体_GB2312" w:hAnsi="宋体_GB2312" w:eastAsia="宋体_GB2312"/>
          <w:color w:val="606266"/>
          <w:sz w:val="24"/>
          <w:szCs w:val="24"/>
          <w:highlight w:val="none"/>
          <w:shd w:val="clear" w:color="auto" w:fill="auto"/>
        </w:rPr>
        <w:t>型</w:t>
      </w:r>
      <w:r>
        <w:rPr>
          <w:rFonts w:hint="eastAsia" w:ascii="宋体_GB2312" w:hAnsi="宋体_GB2312" w:eastAsia="宋体_GB2312"/>
          <w:sz w:val="24"/>
          <w:highlight w:val="none"/>
        </w:rPr>
        <w:t>》中6.</w:t>
      </w:r>
      <w:r>
        <w:rPr>
          <w:rFonts w:ascii="宋体_GB2312" w:hAnsi="宋体_GB2312" w:eastAsia="宋体_GB2312"/>
          <w:sz w:val="24"/>
          <w:highlight w:val="none"/>
        </w:rPr>
        <w:t>7.9</w:t>
      </w:r>
      <w:r>
        <w:rPr>
          <w:rFonts w:hint="eastAsia" w:ascii="宋体_GB2312" w:hAnsi="宋体_GB2312" w:eastAsia="宋体_GB2312"/>
          <w:sz w:val="24"/>
          <w:highlight w:val="none"/>
        </w:rPr>
        <w:t>条规定要求进行。</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w:t>
      </w:r>
      <w:r>
        <w:rPr>
          <w:rFonts w:ascii="宋体_GB2312" w:hAnsi="宋体_GB2312" w:eastAsia="宋体_GB2312"/>
          <w:sz w:val="24"/>
        </w:rPr>
        <w:t>2</w:t>
      </w:r>
      <w:r>
        <w:rPr>
          <w:rFonts w:hint="eastAsia" w:ascii="宋体_GB2312" w:hAnsi="宋体_GB2312" w:eastAsia="宋体_GB2312"/>
          <w:sz w:val="24"/>
        </w:rPr>
        <w:t>）SC型光纤连接器按YD/T 1272.3-20</w:t>
      </w:r>
      <w:r>
        <w:rPr>
          <w:rFonts w:ascii="宋体_GB2312" w:hAnsi="宋体_GB2312" w:eastAsia="宋体_GB2312"/>
          <w:sz w:val="24"/>
        </w:rPr>
        <w:t>1</w:t>
      </w:r>
      <w:r>
        <w:rPr>
          <w:rFonts w:hint="eastAsia" w:ascii="宋体_GB2312" w:hAnsi="宋体_GB2312" w:eastAsia="宋体_GB2312"/>
          <w:sz w:val="24"/>
        </w:rPr>
        <w:t>5《</w:t>
      </w:r>
      <w:r>
        <w:rPr>
          <w:rFonts w:hint="eastAsia" w:ascii="宋体_GB2312" w:hAnsi="宋体_GB2312" w:eastAsia="宋体_GB2312"/>
          <w:color w:val="606266"/>
          <w:sz w:val="24"/>
          <w:szCs w:val="24"/>
          <w:shd w:val="clear" w:color="auto" w:fill="auto"/>
        </w:rPr>
        <w:t>光纤活动连接器</w:t>
      </w:r>
      <w:r>
        <w:rPr>
          <w:rFonts w:ascii="宋体_GB2312" w:hAnsi="宋体_GB2312" w:eastAsia="宋体_GB2312"/>
          <w:color w:val="606266"/>
          <w:sz w:val="24"/>
          <w:szCs w:val="24"/>
          <w:shd w:val="clear" w:color="auto" w:fill="auto"/>
        </w:rPr>
        <w:t xml:space="preserve"> </w:t>
      </w:r>
      <w:r>
        <w:rPr>
          <w:rFonts w:hint="eastAsia" w:ascii="宋体_GB2312" w:hAnsi="宋体_GB2312" w:eastAsia="宋体_GB2312"/>
          <w:color w:val="606266"/>
          <w:sz w:val="24"/>
          <w:szCs w:val="24"/>
          <w:shd w:val="clear" w:color="auto" w:fill="auto"/>
        </w:rPr>
        <w:t>第</w:t>
      </w:r>
      <w:r>
        <w:rPr>
          <w:rFonts w:ascii="宋体_GB2312" w:hAnsi="宋体_GB2312" w:eastAsia="宋体_GB2312"/>
          <w:color w:val="606266"/>
          <w:sz w:val="24"/>
          <w:szCs w:val="24"/>
          <w:shd w:val="clear" w:color="auto" w:fill="auto"/>
        </w:rPr>
        <w:t>3</w:t>
      </w:r>
      <w:r>
        <w:rPr>
          <w:rFonts w:hint="eastAsia" w:ascii="宋体_GB2312" w:hAnsi="宋体_GB2312" w:eastAsia="宋体_GB2312"/>
          <w:color w:val="606266"/>
          <w:sz w:val="24"/>
          <w:szCs w:val="24"/>
          <w:shd w:val="clear" w:color="auto" w:fill="auto"/>
        </w:rPr>
        <w:t>部分：</w:t>
      </w:r>
      <w:r>
        <w:rPr>
          <w:rFonts w:ascii="宋体_GB2312" w:hAnsi="宋体_GB2312" w:eastAsia="宋体_GB2312"/>
          <w:color w:val="606266"/>
          <w:sz w:val="24"/>
          <w:szCs w:val="24"/>
          <w:shd w:val="clear" w:color="auto" w:fill="auto"/>
        </w:rPr>
        <w:t>SC</w:t>
      </w:r>
      <w:r>
        <w:rPr>
          <w:rFonts w:hint="eastAsia" w:ascii="宋体_GB2312" w:hAnsi="宋体_GB2312" w:eastAsia="宋体_GB2312"/>
          <w:color w:val="606266"/>
          <w:sz w:val="24"/>
          <w:szCs w:val="24"/>
          <w:shd w:val="clear" w:color="auto" w:fill="auto"/>
        </w:rPr>
        <w:t>型</w:t>
      </w:r>
      <w:r>
        <w:rPr>
          <w:rFonts w:hint="eastAsia" w:ascii="宋体_GB2312" w:hAnsi="宋体_GB2312" w:eastAsia="宋体_GB2312"/>
          <w:sz w:val="24"/>
        </w:rPr>
        <w:t>》 中6.</w:t>
      </w:r>
      <w:r>
        <w:rPr>
          <w:rFonts w:ascii="宋体_GB2312" w:hAnsi="宋体_GB2312" w:eastAsia="宋体_GB2312"/>
          <w:sz w:val="24"/>
        </w:rPr>
        <w:t>7.9</w:t>
      </w:r>
      <w:r>
        <w:rPr>
          <w:rFonts w:hint="eastAsia" w:ascii="宋体_GB2312" w:hAnsi="宋体_GB2312" w:eastAsia="宋体_GB2312"/>
          <w:sz w:val="24"/>
        </w:rPr>
        <w:t>条规定要求进行。</w:t>
      </w:r>
    </w:p>
    <w:p>
      <w:pPr>
        <w:keepNext w:val="0"/>
        <w:widowControl w:val="0"/>
        <w:autoSpaceDE/>
        <w:autoSpaceDN/>
        <w:spacing w:before="156" w:beforeLines="50" w:line="300" w:lineRule="auto"/>
        <w:ind w:firstLine="480" w:firstLineChars="200"/>
        <w:contextualSpacing w:val="0"/>
        <w:rPr>
          <w:rFonts w:ascii="宋体_GB2312" w:hAnsi="宋体_GB2312" w:eastAsia="宋体_GB2312"/>
          <w:color w:val="FF0000"/>
          <w:kern w:val="2"/>
          <w:sz w:val="24"/>
          <w:szCs w:val="24"/>
        </w:rPr>
      </w:pPr>
      <w:r>
        <w:rPr>
          <w:rFonts w:hint="eastAsia" w:ascii="宋体_GB2312" w:hAnsi="宋体_GB2312" w:eastAsia="宋体_GB2312"/>
          <w:sz w:val="24"/>
        </w:rPr>
        <w:t>（3）</w:t>
      </w:r>
      <w:r>
        <w:rPr>
          <w:rFonts w:ascii="宋体_GB2312" w:hAnsi="宋体_GB2312" w:eastAsia="宋体_GB2312"/>
          <w:kern w:val="2"/>
          <w:sz w:val="24"/>
          <w:szCs w:val="24"/>
        </w:rPr>
        <w:t xml:space="preserve">FC型光纤连接器按YD/T </w:t>
      </w:r>
      <w:r>
        <w:rPr>
          <w:rFonts w:hint="eastAsia" w:ascii="宋体_GB2312" w:hAnsi="宋体_GB2312" w:eastAsia="宋体_GB2312"/>
          <w:sz w:val="24"/>
        </w:rPr>
        <w:t>1272.</w:t>
      </w:r>
      <w:r>
        <w:rPr>
          <w:rFonts w:ascii="宋体_GB2312" w:hAnsi="宋体_GB2312" w:eastAsia="宋体_GB2312"/>
          <w:sz w:val="24"/>
        </w:rPr>
        <w:t>4</w:t>
      </w:r>
      <w:r>
        <w:rPr>
          <w:rFonts w:hint="eastAsia" w:ascii="宋体_GB2312" w:hAnsi="宋体_GB2312" w:eastAsia="宋体_GB2312"/>
          <w:sz w:val="24"/>
        </w:rPr>
        <w:t>-</w:t>
      </w:r>
      <w:r>
        <w:rPr>
          <w:rFonts w:ascii="宋体_GB2312" w:hAnsi="宋体_GB2312" w:eastAsia="宋体_GB2312"/>
          <w:sz w:val="24"/>
        </w:rPr>
        <w:t>2018</w:t>
      </w:r>
      <w:r>
        <w:rPr>
          <w:rFonts w:hint="eastAsia" w:ascii="宋体_GB2312" w:hAnsi="宋体_GB2312" w:eastAsia="宋体_GB2312"/>
          <w:sz w:val="24"/>
        </w:rPr>
        <w:t>《</w:t>
      </w:r>
      <w:r>
        <w:rPr>
          <w:rFonts w:hint="eastAsia" w:ascii="宋体_GB2312" w:hAnsi="宋体_GB2312" w:eastAsia="宋体_GB2312"/>
          <w:color w:val="606266"/>
          <w:sz w:val="24"/>
          <w:szCs w:val="24"/>
          <w:shd w:val="clear" w:color="auto" w:fill="auto"/>
        </w:rPr>
        <w:t>光纤活动连接器</w:t>
      </w:r>
      <w:r>
        <w:rPr>
          <w:rFonts w:ascii="宋体_GB2312" w:hAnsi="宋体_GB2312" w:eastAsia="宋体_GB2312"/>
          <w:color w:val="606266"/>
          <w:sz w:val="24"/>
          <w:szCs w:val="24"/>
          <w:shd w:val="clear" w:color="auto" w:fill="auto"/>
        </w:rPr>
        <w:t xml:space="preserve"> </w:t>
      </w:r>
      <w:r>
        <w:rPr>
          <w:rFonts w:hint="eastAsia" w:ascii="宋体_GB2312" w:hAnsi="宋体_GB2312" w:eastAsia="宋体_GB2312"/>
          <w:color w:val="606266"/>
          <w:sz w:val="24"/>
          <w:szCs w:val="24"/>
          <w:shd w:val="clear" w:color="auto" w:fill="auto"/>
        </w:rPr>
        <w:t>第</w:t>
      </w:r>
      <w:r>
        <w:rPr>
          <w:rFonts w:ascii="宋体_GB2312" w:hAnsi="宋体_GB2312" w:eastAsia="宋体_GB2312"/>
          <w:color w:val="606266"/>
          <w:sz w:val="24"/>
          <w:szCs w:val="24"/>
          <w:shd w:val="clear" w:color="auto" w:fill="auto"/>
        </w:rPr>
        <w:t>4</w:t>
      </w:r>
      <w:r>
        <w:rPr>
          <w:rFonts w:hint="eastAsia" w:ascii="宋体_GB2312" w:hAnsi="宋体_GB2312" w:eastAsia="宋体_GB2312"/>
          <w:color w:val="606266"/>
          <w:sz w:val="24"/>
          <w:szCs w:val="24"/>
          <w:shd w:val="clear" w:color="auto" w:fill="auto"/>
        </w:rPr>
        <w:t>部分：</w:t>
      </w:r>
      <w:r>
        <w:rPr>
          <w:rFonts w:ascii="宋体_GB2312" w:hAnsi="宋体_GB2312" w:eastAsia="宋体_GB2312"/>
          <w:color w:val="606266"/>
          <w:sz w:val="24"/>
          <w:szCs w:val="24"/>
          <w:shd w:val="clear" w:color="auto" w:fill="auto"/>
        </w:rPr>
        <w:t>FC</w:t>
      </w:r>
      <w:r>
        <w:rPr>
          <w:rFonts w:hint="eastAsia" w:ascii="宋体_GB2312" w:hAnsi="宋体_GB2312" w:eastAsia="宋体_GB2312"/>
          <w:color w:val="606266"/>
          <w:sz w:val="24"/>
          <w:szCs w:val="24"/>
          <w:shd w:val="clear" w:color="auto" w:fill="auto"/>
        </w:rPr>
        <w:t>型</w:t>
      </w:r>
      <w:r>
        <w:rPr>
          <w:rFonts w:hint="eastAsia" w:ascii="宋体_GB2312" w:hAnsi="宋体_GB2312" w:eastAsia="宋体_GB2312"/>
          <w:sz w:val="24"/>
        </w:rPr>
        <w:t>》</w:t>
      </w:r>
      <w:r>
        <w:rPr>
          <w:rFonts w:hint="eastAsia" w:ascii="宋体_GB2312" w:hAnsi="宋体_GB2312" w:eastAsia="宋体_GB2312"/>
          <w:kern w:val="2"/>
          <w:sz w:val="24"/>
          <w:szCs w:val="24"/>
        </w:rPr>
        <w:t>中</w:t>
      </w:r>
      <w:r>
        <w:rPr>
          <w:rFonts w:hint="eastAsia" w:ascii="宋体_GB2312" w:hAnsi="宋体_GB2312" w:eastAsia="宋体_GB2312"/>
          <w:sz w:val="24"/>
        </w:rPr>
        <w:t>6.</w:t>
      </w:r>
      <w:r>
        <w:rPr>
          <w:rFonts w:ascii="宋体_GB2312" w:hAnsi="宋体_GB2312" w:eastAsia="宋体_GB2312"/>
          <w:sz w:val="24"/>
        </w:rPr>
        <w:t>7.9</w:t>
      </w:r>
      <w:r>
        <w:rPr>
          <w:rFonts w:hint="eastAsia" w:ascii="宋体_GB2312" w:hAnsi="宋体_GB2312" w:eastAsia="宋体_GB2312"/>
          <w:sz w:val="24"/>
        </w:rPr>
        <w:t>条</w:t>
      </w:r>
      <w:r>
        <w:rPr>
          <w:rFonts w:hint="eastAsia" w:ascii="宋体_GB2312" w:hAnsi="宋体_GB2312" w:eastAsia="宋体_GB2312"/>
          <w:kern w:val="2"/>
          <w:sz w:val="24"/>
          <w:szCs w:val="24"/>
        </w:rPr>
        <w:t>规定要求进行</w:t>
      </w:r>
      <w:r>
        <w:rPr>
          <w:rFonts w:hint="eastAsia" w:ascii="宋体_GB2312" w:hAnsi="宋体_GB2312" w:eastAsia="宋体_GB2312"/>
          <w:sz w:val="24"/>
        </w:rPr>
        <w:t>。</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
          <w:sz w:val="24"/>
          <w:szCs w:val="24"/>
        </w:rPr>
      </w:pPr>
      <w:r>
        <w:rPr>
          <w:rFonts w:hint="eastAsia" w:ascii="宋体_GB2312" w:hAnsi="宋体_GB2312" w:eastAsia="宋体_GB2312"/>
          <w:kern w:val="2"/>
          <w:sz w:val="24"/>
          <w:szCs w:val="24"/>
        </w:rPr>
        <w:t>试验后试样应满足下面要求：</w:t>
      </w:r>
    </w:p>
    <w:p>
      <w:pPr>
        <w:keepNext w:val="0"/>
        <w:spacing w:before="156" w:beforeLines="50" w:line="300" w:lineRule="auto"/>
        <w:ind w:left="0" w:firstLine="480" w:firstLineChars="200"/>
        <w:contextualSpacing w:val="0"/>
        <w:rPr>
          <w:rFonts w:ascii="宋体_GB2312" w:hAnsi="宋体_GB2312" w:eastAsia="宋体_GB2312"/>
          <w:sz w:val="24"/>
          <w:szCs w:val="24"/>
        </w:rPr>
      </w:pPr>
      <w:r>
        <w:rPr>
          <w:rFonts w:hint="eastAsia" w:ascii="宋体_GB2312" w:hAnsi="宋体_GB2312" w:eastAsia="宋体_GB2312"/>
          <w:sz w:val="24"/>
        </w:rPr>
        <w:t>（1）</w:t>
      </w:r>
      <w:r>
        <w:rPr>
          <w:rFonts w:hint="eastAsia" w:ascii="宋体_GB2312" w:hAnsi="宋体_GB2312" w:eastAsia="宋体_GB2312"/>
          <w:sz w:val="24"/>
          <w:szCs w:val="24"/>
        </w:rPr>
        <w:t>不得有机械损伤，如变形、脱落、松驰等现象。</w:t>
      </w:r>
    </w:p>
    <w:p>
      <w:pPr>
        <w:keepNext w:val="0"/>
        <w:spacing w:before="156" w:beforeLines="50" w:line="300" w:lineRule="auto"/>
        <w:ind w:left="0" w:firstLine="480" w:firstLineChars="200"/>
        <w:contextualSpacing w:val="0"/>
        <w:rPr>
          <w:rFonts w:ascii="宋体_GB2312" w:hAnsi="宋体_GB2312" w:eastAsia="宋体_GB2312"/>
          <w:sz w:val="24"/>
          <w:szCs w:val="24"/>
        </w:rPr>
      </w:pPr>
      <w:r>
        <w:rPr>
          <w:rFonts w:hint="eastAsia" w:ascii="宋体_GB2312" w:hAnsi="宋体_GB2312" w:eastAsia="宋体_GB2312"/>
          <w:sz w:val="24"/>
        </w:rPr>
        <w:t>（2）</w:t>
      </w:r>
      <w:r>
        <w:rPr>
          <w:rFonts w:hint="eastAsia" w:ascii="宋体_GB2312" w:hAnsi="宋体_GB2312" w:eastAsia="宋体_GB2312"/>
          <w:sz w:val="24"/>
          <w:szCs w:val="24"/>
        </w:rPr>
        <w:t>光学性能符合表</w:t>
      </w:r>
      <w:r>
        <w:rPr>
          <w:rFonts w:ascii="宋体_GB2312" w:hAnsi="宋体_GB2312" w:eastAsia="宋体_GB2312"/>
          <w:sz w:val="24"/>
        </w:rPr>
        <w:t>3</w:t>
      </w:r>
      <w:r>
        <w:rPr>
          <w:rFonts w:hint="eastAsia" w:ascii="宋体_GB2312" w:hAnsi="宋体_GB2312" w:eastAsia="宋体_GB2312"/>
          <w:sz w:val="24"/>
          <w:szCs w:val="24"/>
        </w:rPr>
        <w:t>中</w:t>
      </w:r>
      <w:r>
        <w:rPr>
          <w:rFonts w:hint="eastAsia" w:ascii="宋体_GB2312" w:hAnsi="宋体_GB2312" w:eastAsia="宋体_GB2312"/>
          <w:sz w:val="24"/>
        </w:rPr>
        <w:t>的</w:t>
      </w:r>
      <w:r>
        <w:rPr>
          <w:rFonts w:hint="eastAsia" w:ascii="宋体_GB2312" w:hAnsi="宋体_GB2312" w:eastAsia="宋体_GB2312"/>
          <w:sz w:val="24"/>
          <w:szCs w:val="24"/>
        </w:rPr>
        <w:t>要求。</w:t>
      </w:r>
    </w:p>
    <w:p>
      <w:pPr>
        <w:keepNext w:val="0"/>
        <w:spacing w:before="156" w:beforeLines="50" w:line="300" w:lineRule="auto"/>
        <w:ind w:firstLine="480" w:firstLineChars="200"/>
        <w:contextualSpacing w:val="0"/>
        <w:rPr>
          <w:rFonts w:hint="eastAsia" w:ascii="宋体_GB2312" w:hAnsi="宋体_GB2312" w:eastAsia="宋体_GB2312"/>
          <w:sz w:val="24"/>
          <w:szCs w:val="24"/>
          <w:lang w:val="en-GB"/>
        </w:rPr>
      </w:pPr>
      <w:bookmarkStart w:id="189" w:name="_Toc402258707"/>
      <w:bookmarkStart w:id="190" w:name="_Toc194038099"/>
      <w:bookmarkStart w:id="191" w:name="_Toc402257800"/>
      <w:r>
        <w:rPr>
          <w:rFonts w:hint="eastAsia" w:ascii="宋体_GB2312" w:hAnsi="宋体_GB2312" w:eastAsia="宋体_GB2312"/>
          <w:sz w:val="24"/>
          <w:lang w:val="en-GB"/>
        </w:rPr>
        <w:t>5.2.8</w:t>
      </w:r>
      <w:r>
        <w:rPr>
          <w:rFonts w:hint="eastAsia" w:ascii="宋体_GB2312" w:hAnsi="宋体_GB2312" w:eastAsia="宋体_GB2312"/>
          <w:sz w:val="24"/>
          <w:szCs w:val="24"/>
          <w:lang w:val="en-GB"/>
        </w:rPr>
        <w:t>高压防护接地装置试验</w:t>
      </w:r>
      <w:bookmarkEnd w:id="189"/>
      <w:bookmarkEnd w:id="190"/>
      <w:bookmarkEnd w:id="191"/>
    </w:p>
    <w:p>
      <w:pPr>
        <w:keepNext w:val="0"/>
        <w:widowControl w:val="0"/>
        <w:spacing w:before="156" w:beforeLines="50" w:line="300" w:lineRule="auto"/>
        <w:ind w:firstLine="480" w:firstLineChars="200"/>
        <w:contextualSpacing w:val="0"/>
        <w:rPr>
          <w:rFonts w:ascii="宋体_GB2312" w:hAnsi="宋体_GB2312" w:eastAsia="宋体_GB2312"/>
          <w:sz w:val="24"/>
          <w:lang w:val="en-GB"/>
        </w:rPr>
      </w:pPr>
      <w:r>
        <w:rPr>
          <w:rFonts w:hint="eastAsia" w:ascii="宋体_GB2312" w:hAnsi="宋体_GB2312" w:eastAsia="宋体_GB2312"/>
          <w:sz w:val="24"/>
        </w:rPr>
        <w:t>5</w:t>
      </w:r>
      <w:r>
        <w:rPr>
          <w:rFonts w:ascii="宋体_GB2312" w:hAnsi="宋体_GB2312" w:eastAsia="宋体_GB2312"/>
          <w:sz w:val="24"/>
        </w:rPr>
        <w:t>.2.8.1</w:t>
      </w:r>
      <w:r>
        <w:rPr>
          <w:rFonts w:hint="eastAsia" w:ascii="宋体_GB2312" w:hAnsi="宋体_GB2312" w:eastAsia="宋体_GB2312"/>
          <w:sz w:val="24"/>
          <w:lang w:val="en-GB"/>
        </w:rPr>
        <w:t>耐电压水平</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
          <w:sz w:val="24"/>
        </w:rPr>
      </w:pPr>
      <w:r>
        <w:rPr>
          <w:rFonts w:hint="eastAsia" w:ascii="宋体_GB2312" w:hAnsi="宋体_GB2312" w:eastAsia="宋体_GB2312"/>
          <w:kern w:val="2"/>
          <w:sz w:val="24"/>
        </w:rPr>
        <w:t>按</w:t>
      </w:r>
      <w:r>
        <w:rPr>
          <w:rFonts w:ascii="宋体_GB2312" w:hAnsi="宋体_GB2312" w:eastAsia="宋体_GB2312"/>
          <w:kern w:val="2"/>
          <w:sz w:val="24"/>
        </w:rPr>
        <w:t>GB/T 5095.2-1997中“试验4a：耐电压“的方法C进行。试验电压为直流电压3000V，施加试验电压的速率不大于500V/s，试验电压经受时间为60s±5s，</w:t>
      </w:r>
      <w:r>
        <w:rPr>
          <w:rFonts w:hint="eastAsia" w:ascii="宋体_GB2312" w:hAnsi="宋体_GB2312" w:eastAsia="宋体_GB2312"/>
          <w:kern w:val="2"/>
          <w:sz w:val="24"/>
          <w:szCs w:val="24"/>
        </w:rPr>
        <w:t>试验结果应能符合</w:t>
      </w:r>
      <w:r>
        <w:rPr>
          <w:rFonts w:hint="eastAsia" w:ascii="宋体_GB2312" w:hAnsi="宋体_GB2312" w:eastAsia="宋体_GB2312"/>
          <w:sz w:val="24"/>
        </w:rPr>
        <w:t>3.6</w:t>
      </w:r>
      <w:r>
        <w:rPr>
          <w:rFonts w:hint="eastAsia" w:ascii="宋体_GB2312" w:hAnsi="宋体_GB2312" w:eastAsia="宋体_GB2312"/>
          <w:color w:val="000000" w:themeColor="text1"/>
          <w:sz w:val="24"/>
          <w14:textFill>
            <w14:solidFill>
              <w14:schemeClr w14:val="tx1"/>
            </w14:solidFill>
          </w14:textFill>
        </w:rPr>
        <w:t>（3）</w:t>
      </w:r>
      <w:r>
        <w:rPr>
          <w:rFonts w:hint="eastAsia" w:ascii="宋体_GB2312" w:hAnsi="宋体_GB2312" w:eastAsia="宋体_GB2312"/>
          <w:color w:val="000000" w:themeColor="text1"/>
          <w:kern w:val="2"/>
          <w:sz w:val="24"/>
          <w:szCs w:val="24"/>
          <w14:textFill>
            <w14:solidFill>
              <w14:schemeClr w14:val="tx1"/>
            </w14:solidFill>
          </w14:textFill>
        </w:rPr>
        <w:t>条</w:t>
      </w:r>
      <w:r>
        <w:rPr>
          <w:rFonts w:hint="eastAsia" w:ascii="宋体_GB2312" w:hAnsi="宋体_GB2312" w:eastAsia="宋体_GB2312"/>
          <w:color w:val="000000" w:themeColor="text1"/>
          <w:sz w:val="24"/>
          <w:highlight w:val="none"/>
          <w14:textFill>
            <w14:solidFill>
              <w14:schemeClr w14:val="tx1"/>
            </w14:solidFill>
          </w14:textFill>
        </w:rPr>
        <w:t>的</w:t>
      </w:r>
      <w:r>
        <w:rPr>
          <w:rFonts w:hint="eastAsia" w:ascii="宋体_GB2312" w:hAnsi="宋体_GB2312" w:eastAsia="宋体_GB2312"/>
          <w:color w:val="000000" w:themeColor="text1"/>
          <w:kern w:val="2"/>
          <w:sz w:val="24"/>
          <w:szCs w:val="24"/>
          <w14:textFill>
            <w14:solidFill>
              <w14:schemeClr w14:val="tx1"/>
            </w14:solidFill>
          </w14:textFill>
        </w:rPr>
        <w:t>要求。</w:t>
      </w:r>
    </w:p>
    <w:p>
      <w:pPr>
        <w:keepNext w:val="0"/>
        <w:widowControl w:val="0"/>
        <w:spacing w:before="156" w:beforeLines="50" w:line="300" w:lineRule="auto"/>
        <w:ind w:firstLine="480" w:firstLineChars="200"/>
        <w:contextualSpacing w:val="0"/>
        <w:rPr>
          <w:rFonts w:ascii="宋体_GB2312" w:hAnsi="宋体_GB2312" w:eastAsia="宋体_GB2312"/>
          <w:sz w:val="24"/>
          <w:lang w:val="en-GB"/>
        </w:rPr>
      </w:pPr>
      <w:r>
        <w:rPr>
          <w:rFonts w:hint="eastAsia" w:ascii="宋体_GB2312" w:hAnsi="宋体_GB2312" w:eastAsia="宋体_GB2312"/>
          <w:sz w:val="24"/>
        </w:rPr>
        <w:t>5</w:t>
      </w:r>
      <w:r>
        <w:rPr>
          <w:rFonts w:ascii="宋体_GB2312" w:hAnsi="宋体_GB2312" w:eastAsia="宋体_GB2312"/>
          <w:sz w:val="24"/>
        </w:rPr>
        <w:t>.2.8.2</w:t>
      </w:r>
      <w:r>
        <w:rPr>
          <w:rFonts w:hint="eastAsia" w:ascii="宋体_GB2312" w:hAnsi="宋体_GB2312" w:eastAsia="宋体_GB2312"/>
          <w:sz w:val="24"/>
          <w:lang w:val="en-GB"/>
        </w:rPr>
        <w:t>绝缘电阻试验</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
          <w:sz w:val="24"/>
        </w:rPr>
      </w:pPr>
      <w:r>
        <w:rPr>
          <w:rFonts w:hint="eastAsia" w:ascii="宋体_GB2312" w:hAnsi="宋体_GB2312" w:eastAsia="宋体_GB2312"/>
          <w:kern w:val="2"/>
          <w:sz w:val="24"/>
        </w:rPr>
        <w:t>按</w:t>
      </w:r>
      <w:r>
        <w:rPr>
          <w:rFonts w:ascii="宋体_GB2312" w:hAnsi="宋体_GB2312" w:eastAsia="宋体_GB2312"/>
          <w:kern w:val="2"/>
          <w:sz w:val="24"/>
        </w:rPr>
        <w:t>GB/T 5095.2-1997中“试验3a：绝缘电阻“的方法C进行。测量绝缘电阻的回路施加直流电压为500V±50V，读取稳定的绝缘电阻数值，如果未达到稳定，应在加压后的60s±5s读取数值，</w:t>
      </w:r>
      <w:r>
        <w:rPr>
          <w:rFonts w:hint="eastAsia" w:ascii="宋体_GB2312" w:hAnsi="宋体_GB2312" w:eastAsia="宋体_GB2312"/>
          <w:kern w:val="2"/>
          <w:sz w:val="24"/>
          <w:szCs w:val="24"/>
        </w:rPr>
        <w:t>试验结果应能符合</w:t>
      </w:r>
      <w:r>
        <w:rPr>
          <w:rFonts w:hint="eastAsia" w:ascii="宋体_GB2312" w:hAnsi="宋体_GB2312" w:eastAsia="宋体_GB2312"/>
          <w:sz w:val="24"/>
        </w:rPr>
        <w:t>3.6（4）</w:t>
      </w:r>
      <w:r>
        <w:rPr>
          <w:rFonts w:hint="eastAsia" w:ascii="宋体_GB2312" w:hAnsi="宋体_GB2312" w:eastAsia="宋体_GB2312"/>
          <w:kern w:val="2"/>
          <w:sz w:val="24"/>
          <w:szCs w:val="24"/>
        </w:rPr>
        <w:t>条</w:t>
      </w:r>
      <w:r>
        <w:rPr>
          <w:rFonts w:hint="eastAsia" w:ascii="宋体_GB2312" w:hAnsi="宋体_GB2312" w:eastAsia="宋体_GB2312"/>
          <w:sz w:val="24"/>
          <w:highlight w:val="none"/>
        </w:rPr>
        <w:t>的</w:t>
      </w:r>
      <w:r>
        <w:rPr>
          <w:rFonts w:hint="eastAsia" w:ascii="宋体_GB2312" w:hAnsi="宋体_GB2312" w:eastAsia="宋体_GB2312"/>
          <w:kern w:val="2"/>
          <w:sz w:val="24"/>
          <w:szCs w:val="24"/>
        </w:rPr>
        <w:t>要求</w:t>
      </w:r>
      <w:r>
        <w:rPr>
          <w:rFonts w:hint="eastAsia" w:ascii="宋体_GB2312" w:hAnsi="宋体_GB2312" w:eastAsia="宋体_GB2312"/>
          <w:kern w:val="2"/>
          <w:sz w:val="24"/>
        </w:rPr>
        <w:t>。</w:t>
      </w:r>
    </w:p>
    <w:p>
      <w:pPr>
        <w:keepNext w:val="0"/>
        <w:widowControl w:val="0"/>
        <w:spacing w:before="156" w:beforeLines="50" w:line="300" w:lineRule="auto"/>
        <w:ind w:firstLine="480" w:firstLineChars="200"/>
        <w:contextualSpacing w:val="0"/>
        <w:rPr>
          <w:rFonts w:ascii="宋体_GB2312" w:hAnsi="宋体_GB2312" w:eastAsia="宋体_GB2312"/>
          <w:sz w:val="24"/>
          <w:szCs w:val="24"/>
          <w:lang w:val="en-GB"/>
        </w:rPr>
      </w:pPr>
      <w:bookmarkStart w:id="192" w:name="_Toc194038100"/>
      <w:r>
        <w:rPr>
          <w:rFonts w:hint="eastAsia" w:ascii="宋体_GB2312" w:hAnsi="宋体_GB2312" w:eastAsia="宋体_GB2312"/>
          <w:sz w:val="24"/>
          <w:szCs w:val="24"/>
        </w:rPr>
        <w:t>5</w:t>
      </w:r>
      <w:r>
        <w:rPr>
          <w:rFonts w:ascii="宋体_GB2312" w:hAnsi="宋体_GB2312" w:eastAsia="宋体_GB2312"/>
          <w:sz w:val="24"/>
          <w:szCs w:val="24"/>
        </w:rPr>
        <w:t>.2.9</w:t>
      </w:r>
      <w:r>
        <w:rPr>
          <w:rFonts w:hint="eastAsia" w:ascii="宋体_GB2312" w:hAnsi="宋体_GB2312" w:eastAsia="宋体_GB2312"/>
          <w:sz w:val="24"/>
          <w:szCs w:val="24"/>
          <w:lang w:val="en-GB"/>
        </w:rPr>
        <w:t>机械物理性能检查</w:t>
      </w:r>
      <w:bookmarkEnd w:id="192"/>
    </w:p>
    <w:p>
      <w:pPr>
        <w:keepNext w:val="0"/>
        <w:widowControl w:val="0"/>
        <w:spacing w:before="156" w:beforeLines="50" w:line="300" w:lineRule="auto"/>
        <w:ind w:firstLine="480" w:firstLineChars="200"/>
        <w:contextualSpacing w:val="0"/>
        <w:rPr>
          <w:rFonts w:ascii="宋体_GB2312" w:hAnsi="宋体_GB2312" w:eastAsia="宋体_GB2312"/>
          <w:sz w:val="24"/>
          <w:lang w:val="en-GB"/>
        </w:rPr>
      </w:pPr>
      <w:r>
        <w:rPr>
          <w:rFonts w:hint="eastAsia" w:ascii="宋体_GB2312" w:hAnsi="宋体_GB2312" w:eastAsia="宋体_GB2312"/>
          <w:sz w:val="24"/>
        </w:rPr>
        <w:t>5</w:t>
      </w:r>
      <w:r>
        <w:rPr>
          <w:rFonts w:ascii="宋体_GB2312" w:hAnsi="宋体_GB2312" w:eastAsia="宋体_GB2312"/>
          <w:sz w:val="24"/>
        </w:rPr>
        <w:t>.2.9.1</w:t>
      </w:r>
      <w:r>
        <w:rPr>
          <w:rFonts w:hint="eastAsia" w:ascii="宋体_GB2312" w:hAnsi="宋体_GB2312" w:eastAsia="宋体_GB2312"/>
          <w:sz w:val="24"/>
          <w:lang w:val="en-GB"/>
        </w:rPr>
        <w:t>箱体表面机械</w:t>
      </w:r>
      <w:r>
        <w:rPr>
          <w:rFonts w:hint="eastAsia" w:ascii="宋体_GB2312" w:hAnsi="宋体_GB2312" w:eastAsia="宋体_GB2312"/>
          <w:sz w:val="24"/>
          <w:szCs w:val="24"/>
          <w:lang w:val="en-GB"/>
        </w:rPr>
        <w:t>强度试验</w:t>
      </w:r>
    </w:p>
    <w:p>
      <w:pPr>
        <w:keepNext w:val="0"/>
        <w:spacing w:before="156" w:beforeLines="50" w:line="300" w:lineRule="auto"/>
        <w:ind w:left="0" w:leftChars="0" w:firstLine="480" w:firstLineChars="200"/>
        <w:contextualSpacing w:val="0"/>
        <w:rPr>
          <w:rFonts w:ascii="宋体_GB2312" w:hAnsi="宋体_GB2312" w:eastAsia="宋体_GB2312"/>
          <w:sz w:val="24"/>
          <w:szCs w:val="24"/>
        </w:rPr>
      </w:pPr>
      <w:r>
        <w:rPr>
          <w:rFonts w:hint="eastAsia" w:ascii="宋体_GB2312" w:hAnsi="宋体_GB2312" w:eastAsia="宋体_GB2312"/>
          <w:sz w:val="24"/>
          <w:szCs w:val="24"/>
        </w:rPr>
        <w:t>按</w:t>
      </w:r>
      <w:r>
        <w:rPr>
          <w:rFonts w:ascii="宋体_GB2312" w:hAnsi="宋体_GB2312" w:eastAsia="宋体_GB2312"/>
          <w:sz w:val="24"/>
        </w:rPr>
        <w:t>3.2</w:t>
      </w:r>
      <w:r>
        <w:rPr>
          <w:rFonts w:ascii="宋体_GB2312" w:hAnsi="宋体_GB2312" w:eastAsia="宋体_GB2312"/>
          <w:sz w:val="24"/>
          <w:szCs w:val="24"/>
        </w:rPr>
        <w:t>要求施加载荷，</w:t>
      </w:r>
      <w:r>
        <w:rPr>
          <w:rFonts w:hint="eastAsia" w:ascii="宋体_GB2312" w:hAnsi="宋体_GB2312" w:eastAsia="宋体_GB2312"/>
          <w:sz w:val="24"/>
          <w:szCs w:val="24"/>
        </w:rPr>
        <w:t>保持</w:t>
      </w:r>
      <w:r>
        <w:rPr>
          <w:rFonts w:ascii="宋体_GB2312" w:hAnsi="宋体_GB2312" w:eastAsia="宋体_GB2312"/>
          <w:sz w:val="24"/>
          <w:szCs w:val="24"/>
        </w:rPr>
        <w:t>15min，卸去载荷后，试验结果应符合</w:t>
      </w:r>
      <w:r>
        <w:rPr>
          <w:rFonts w:ascii="宋体_GB2312" w:hAnsi="宋体_GB2312" w:eastAsia="宋体_GB2312"/>
          <w:sz w:val="24"/>
        </w:rPr>
        <w:t>3.2</w:t>
      </w:r>
      <w:r>
        <w:rPr>
          <w:rFonts w:ascii="宋体_GB2312" w:hAnsi="宋体_GB2312" w:eastAsia="宋体_GB2312"/>
          <w:sz w:val="24"/>
          <w:szCs w:val="24"/>
        </w:rPr>
        <w:t>的要求。</w:t>
      </w:r>
    </w:p>
    <w:p>
      <w:pPr>
        <w:keepNext w:val="0"/>
        <w:widowControl w:val="0"/>
        <w:spacing w:before="156" w:beforeLines="50" w:line="300" w:lineRule="auto"/>
        <w:ind w:firstLine="480" w:firstLineChars="200"/>
        <w:contextualSpacing w:val="0"/>
        <w:rPr>
          <w:rFonts w:ascii="宋体_GB2312" w:hAnsi="宋体_GB2312" w:eastAsia="宋体_GB2312"/>
          <w:sz w:val="24"/>
          <w:szCs w:val="24"/>
          <w:lang w:val="en-GB"/>
        </w:rPr>
      </w:pPr>
      <w:r>
        <w:rPr>
          <w:rFonts w:hint="eastAsia" w:ascii="宋体_GB2312" w:hAnsi="宋体_GB2312" w:eastAsia="宋体_GB2312"/>
          <w:sz w:val="24"/>
          <w:szCs w:val="24"/>
        </w:rPr>
        <w:t>5</w:t>
      </w:r>
      <w:r>
        <w:rPr>
          <w:rFonts w:ascii="宋体_GB2312" w:hAnsi="宋体_GB2312" w:eastAsia="宋体_GB2312"/>
          <w:sz w:val="24"/>
          <w:szCs w:val="24"/>
        </w:rPr>
        <w:t>.2.9.2</w:t>
      </w:r>
      <w:r>
        <w:rPr>
          <w:rFonts w:hint="eastAsia" w:ascii="宋体_GB2312" w:hAnsi="宋体_GB2312" w:eastAsia="宋体_GB2312"/>
          <w:sz w:val="24"/>
          <w:szCs w:val="24"/>
          <w:lang w:val="en-GB"/>
        </w:rPr>
        <w:t>箱门机械强度试验</w:t>
      </w:r>
    </w:p>
    <w:p>
      <w:pPr>
        <w:keepNext w:val="0"/>
        <w:spacing w:before="156" w:beforeLines="50" w:line="300" w:lineRule="auto"/>
        <w:ind w:left="0" w:leftChars="0" w:firstLine="480" w:firstLineChars="200"/>
        <w:contextualSpacing w:val="0"/>
        <w:rPr>
          <w:rFonts w:ascii="宋体_GB2312" w:hAnsi="宋体_GB2312" w:eastAsia="宋体_GB2312"/>
          <w:sz w:val="24"/>
          <w:szCs w:val="24"/>
        </w:rPr>
      </w:pPr>
      <w:r>
        <w:rPr>
          <w:rFonts w:hint="eastAsia" w:ascii="宋体_GB2312" w:hAnsi="宋体_GB2312" w:eastAsia="宋体_GB2312"/>
          <w:sz w:val="24"/>
          <w:szCs w:val="24"/>
        </w:rPr>
        <w:t>箱门打开后，在门的最外端按</w:t>
      </w:r>
      <w:r>
        <w:rPr>
          <w:rFonts w:hint="eastAsia" w:ascii="宋体_GB2312" w:hAnsi="宋体_GB2312" w:eastAsia="宋体_GB2312"/>
          <w:sz w:val="24"/>
        </w:rPr>
        <w:t>3</w:t>
      </w:r>
      <w:r>
        <w:rPr>
          <w:rFonts w:ascii="宋体_GB2312" w:hAnsi="宋体_GB2312" w:eastAsia="宋体_GB2312"/>
          <w:sz w:val="24"/>
        </w:rPr>
        <w:t>.2</w:t>
      </w:r>
      <w:r>
        <w:rPr>
          <w:rFonts w:ascii="宋体_GB2312" w:hAnsi="宋体_GB2312" w:eastAsia="宋体_GB2312"/>
          <w:sz w:val="24"/>
          <w:szCs w:val="24"/>
        </w:rPr>
        <w:t>要求施加载荷，保持15min，卸去载荷后，试验结果应符合</w:t>
      </w:r>
      <w:r>
        <w:rPr>
          <w:rFonts w:ascii="宋体_GB2312" w:hAnsi="宋体_GB2312" w:eastAsia="宋体_GB2312"/>
          <w:sz w:val="24"/>
        </w:rPr>
        <w:t>3.2</w:t>
      </w:r>
      <w:r>
        <w:rPr>
          <w:rFonts w:ascii="宋体_GB2312" w:hAnsi="宋体_GB2312" w:eastAsia="宋体_GB2312"/>
          <w:sz w:val="24"/>
          <w:szCs w:val="24"/>
        </w:rPr>
        <w:t>的要求。</w:t>
      </w:r>
    </w:p>
    <w:p>
      <w:pPr>
        <w:keepNext w:val="0"/>
        <w:widowControl w:val="0"/>
        <w:spacing w:before="156" w:beforeLines="50" w:line="300" w:lineRule="auto"/>
        <w:ind w:firstLine="480" w:firstLineChars="200"/>
        <w:contextualSpacing w:val="0"/>
        <w:rPr>
          <w:rFonts w:ascii="宋体_GB2312" w:hAnsi="宋体_GB2312" w:eastAsia="宋体_GB2312"/>
          <w:sz w:val="24"/>
          <w:lang w:val="en-GB"/>
        </w:rPr>
      </w:pPr>
      <w:r>
        <w:rPr>
          <w:rFonts w:hint="eastAsia" w:ascii="宋体_GB2312" w:hAnsi="宋体_GB2312" w:eastAsia="宋体_GB2312"/>
          <w:sz w:val="24"/>
          <w:szCs w:val="24"/>
        </w:rPr>
        <w:t>5</w:t>
      </w:r>
      <w:r>
        <w:rPr>
          <w:rFonts w:ascii="宋体_GB2312" w:hAnsi="宋体_GB2312" w:eastAsia="宋体_GB2312"/>
          <w:sz w:val="24"/>
          <w:szCs w:val="24"/>
        </w:rPr>
        <w:t>.2.9.3</w:t>
      </w:r>
      <w:r>
        <w:rPr>
          <w:rFonts w:hint="eastAsia" w:ascii="宋体_GB2312" w:hAnsi="宋体_GB2312" w:eastAsia="宋体_GB2312"/>
          <w:sz w:val="24"/>
          <w:lang w:val="en-GB"/>
        </w:rPr>
        <w:t>光缆</w:t>
      </w:r>
      <w:r>
        <w:rPr>
          <w:rFonts w:hint="eastAsia" w:ascii="宋体_GB2312" w:hAnsi="宋体_GB2312" w:eastAsia="宋体_GB2312"/>
          <w:sz w:val="24"/>
          <w:szCs w:val="24"/>
          <w:lang w:val="en-GB"/>
        </w:rPr>
        <w:t>拉伸试验</w:t>
      </w:r>
    </w:p>
    <w:p>
      <w:pPr>
        <w:keepNext w:val="0"/>
        <w:widowControl w:val="0"/>
        <w:autoSpaceDE/>
        <w:autoSpaceDN/>
        <w:spacing w:before="156" w:beforeLines="50" w:line="300" w:lineRule="auto"/>
        <w:ind w:left="0" w:leftChars="0" w:firstLine="480" w:firstLineChars="200"/>
        <w:contextualSpacing w:val="0"/>
        <w:rPr>
          <w:rFonts w:ascii="宋体_GB2312" w:hAnsi="宋体_GB2312" w:eastAsia="宋体_GB2312"/>
          <w:kern w:val="2"/>
          <w:sz w:val="24"/>
        </w:rPr>
      </w:pPr>
      <w:r>
        <w:rPr>
          <w:rFonts w:hint="eastAsia" w:ascii="宋体_GB2312" w:hAnsi="宋体_GB2312" w:eastAsia="宋体_GB2312"/>
          <w:kern w:val="2"/>
          <w:sz w:val="24"/>
        </w:rPr>
        <w:t>准备一根箱体正常工作时使用的光缆</w:t>
      </w:r>
      <w:r>
        <w:rPr>
          <w:rFonts w:ascii="宋体_GB2312" w:hAnsi="宋体_GB2312" w:eastAsia="宋体_GB2312"/>
          <w:kern w:val="2"/>
          <w:sz w:val="24"/>
        </w:rPr>
        <w:t>(长约1m)，将光缆一端按工作状态在设备的光缆固定装置上固定牢固，同时固定好光缆的加强芯，用拉伸夹头将光缆另一端夹持牢固并拉伸，拉伸速度为20mm/min，最大拉力见</w:t>
      </w:r>
      <w:r>
        <w:rPr>
          <w:rFonts w:ascii="宋体_GB2312" w:hAnsi="宋体_GB2312" w:eastAsia="宋体_GB2312"/>
          <w:sz w:val="24"/>
        </w:rPr>
        <w:t>3.2</w:t>
      </w:r>
      <w:r>
        <w:rPr>
          <w:rFonts w:ascii="宋体_GB2312" w:hAnsi="宋体_GB2312" w:eastAsia="宋体_GB2312"/>
          <w:kern w:val="2"/>
          <w:sz w:val="24"/>
        </w:rPr>
        <w:t>要求。达到最大拉力后持续2min，卸去拉力，检查光缆固定处，应符合</w:t>
      </w:r>
      <w:r>
        <w:rPr>
          <w:rFonts w:ascii="宋体_GB2312" w:hAnsi="宋体_GB2312" w:eastAsia="宋体_GB2312"/>
          <w:sz w:val="24"/>
        </w:rPr>
        <w:t>3.2</w:t>
      </w:r>
      <w:r>
        <w:rPr>
          <w:rFonts w:ascii="宋体_GB2312" w:hAnsi="宋体_GB2312" w:eastAsia="宋体_GB2312"/>
          <w:kern w:val="2"/>
          <w:sz w:val="24"/>
        </w:rPr>
        <w:t>的要求。</w:t>
      </w:r>
    </w:p>
    <w:p>
      <w:pPr>
        <w:keepNext w:val="0"/>
        <w:widowControl w:val="0"/>
        <w:spacing w:before="156" w:beforeLines="50" w:line="300" w:lineRule="auto"/>
        <w:ind w:firstLine="480" w:firstLineChars="200"/>
        <w:contextualSpacing w:val="0"/>
        <w:rPr>
          <w:rFonts w:ascii="宋体_GB2312" w:hAnsi="宋体_GB2312" w:eastAsia="宋体_GB2312"/>
          <w:sz w:val="24"/>
          <w:lang w:val="en-GB"/>
        </w:rPr>
      </w:pPr>
      <w:r>
        <w:rPr>
          <w:rFonts w:hint="eastAsia" w:ascii="宋体_GB2312" w:hAnsi="宋体_GB2312" w:eastAsia="宋体_GB2312"/>
          <w:sz w:val="24"/>
          <w:szCs w:val="24"/>
        </w:rPr>
        <w:t>5</w:t>
      </w:r>
      <w:r>
        <w:rPr>
          <w:rFonts w:ascii="宋体_GB2312" w:hAnsi="宋体_GB2312" w:eastAsia="宋体_GB2312"/>
          <w:sz w:val="24"/>
          <w:szCs w:val="24"/>
        </w:rPr>
        <w:t>.2.9.4</w:t>
      </w:r>
      <w:r>
        <w:rPr>
          <w:rFonts w:hint="eastAsia" w:ascii="宋体_GB2312" w:hAnsi="宋体_GB2312" w:eastAsia="宋体_GB2312"/>
          <w:sz w:val="24"/>
          <w:lang w:val="en-GB"/>
        </w:rPr>
        <w:t>光缆扭转试验</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kern w:val="2"/>
          <w:sz w:val="24"/>
        </w:rPr>
        <w:t>按</w:t>
      </w:r>
      <w:r>
        <w:rPr>
          <w:rFonts w:ascii="宋体_GB2312" w:hAnsi="宋体_GB2312" w:eastAsia="宋体_GB2312"/>
          <w:sz w:val="24"/>
        </w:rPr>
        <w:t>3.2</w:t>
      </w:r>
      <w:r>
        <w:rPr>
          <w:rFonts w:ascii="宋体_GB2312" w:hAnsi="宋体_GB2312" w:eastAsia="宋体_GB2312"/>
          <w:kern w:val="2"/>
          <w:sz w:val="24"/>
        </w:rPr>
        <w:t>中要求安装试验光缆，并在距离光缆出口50cm处按</w:t>
      </w:r>
      <w:r>
        <w:rPr>
          <w:rFonts w:ascii="宋体_GB2312" w:hAnsi="宋体_GB2312" w:eastAsia="宋体_GB2312"/>
          <w:sz w:val="24"/>
        </w:rPr>
        <w:t>3.2</w:t>
      </w:r>
      <w:r>
        <w:rPr>
          <w:rFonts w:ascii="宋体_GB2312" w:hAnsi="宋体_GB2312" w:eastAsia="宋体_GB2312"/>
          <w:kern w:val="2"/>
          <w:sz w:val="24"/>
        </w:rPr>
        <w:t>规定对光缆进行扭转，先扭转90º,在该位置保持1min后回到起始位置，在相反方向重复同样的操作，完成一个循环，共扭转3个循环。试验结束后，检查光缆固定处，应符合</w:t>
      </w:r>
      <w:r>
        <w:rPr>
          <w:rFonts w:ascii="宋体_GB2312" w:hAnsi="宋体_GB2312" w:eastAsia="宋体_GB2312"/>
          <w:sz w:val="24"/>
        </w:rPr>
        <w:t>3.2</w:t>
      </w:r>
      <w:r>
        <w:rPr>
          <w:rFonts w:ascii="宋体_GB2312" w:hAnsi="宋体_GB2312" w:eastAsia="宋体_GB2312"/>
          <w:kern w:val="2"/>
          <w:sz w:val="24"/>
        </w:rPr>
        <w:t>的要求。</w:t>
      </w:r>
    </w:p>
    <w:p>
      <w:pPr>
        <w:widowControl w:val="0"/>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szCs w:val="24"/>
        </w:rPr>
        <w:t>5</w:t>
      </w:r>
      <w:r>
        <w:rPr>
          <w:rFonts w:ascii="宋体_GB2312" w:hAnsi="宋体_GB2312" w:eastAsia="宋体_GB2312"/>
          <w:sz w:val="24"/>
          <w:szCs w:val="24"/>
        </w:rPr>
        <w:t>.2.9.5</w:t>
      </w:r>
      <w:r>
        <w:rPr>
          <w:rFonts w:hint="eastAsia" w:ascii="宋体_GB2312" w:hAnsi="宋体_GB2312" w:eastAsia="宋体_GB2312"/>
          <w:sz w:val="24"/>
        </w:rPr>
        <w:t>门限试验</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本试验的试验对象为垂直铰链式门。</w:t>
      </w:r>
    </w:p>
    <w:p>
      <w:pPr>
        <w:keepNext w:val="0"/>
        <w:widowControl w:val="0"/>
        <w:autoSpaceDE/>
        <w:autoSpaceDN/>
        <w:spacing w:before="156" w:beforeLines="50" w:line="300" w:lineRule="auto"/>
        <w:ind w:left="0" w:leftChars="0" w:firstLine="480" w:firstLineChars="200"/>
        <w:contextualSpacing w:val="0"/>
        <w:rPr>
          <w:rFonts w:ascii="宋体_GB2312" w:hAnsi="宋体_GB2312" w:eastAsia="宋体_GB2312"/>
          <w:kern w:val="2"/>
          <w:sz w:val="24"/>
        </w:rPr>
      </w:pPr>
      <w:r>
        <w:rPr>
          <w:rFonts w:hint="eastAsia" w:ascii="宋体_GB2312" w:hAnsi="宋体_GB2312" w:eastAsia="宋体_GB2312"/>
          <w:sz w:val="24"/>
        </w:rPr>
        <w:t>打开门，并启动门限位装置；沿门打开的方向，在门外边缘并垂直于门表面施加如( 用: 推拉力计) 拉力 F，并保持至少1</w:t>
      </w:r>
      <w:r>
        <w:rPr>
          <w:rFonts w:ascii="宋体_GB2312" w:hAnsi="宋体_GB2312" w:eastAsia="宋体_GB2312"/>
          <w:sz w:val="24"/>
        </w:rPr>
        <w:t>0</w:t>
      </w:r>
      <w:r>
        <w:rPr>
          <w:rFonts w:hint="eastAsia" w:ascii="宋体_GB2312" w:hAnsi="宋体_GB2312" w:eastAsia="宋体_GB2312"/>
          <w:sz w:val="24"/>
        </w:rPr>
        <w:t>s；沿门关闭的方向，在门外边缘并垂直于门表面施加拉力 F，并保持至少1</w:t>
      </w:r>
      <w:r>
        <w:rPr>
          <w:rFonts w:ascii="宋体_GB2312" w:hAnsi="宋体_GB2312" w:eastAsia="宋体_GB2312"/>
          <w:sz w:val="24"/>
        </w:rPr>
        <w:t>0</w:t>
      </w:r>
      <w:r>
        <w:rPr>
          <w:rFonts w:hint="eastAsia" w:ascii="宋体_GB2312" w:hAnsi="宋体_GB2312" w:eastAsia="宋体_GB2312"/>
          <w:sz w:val="24"/>
        </w:rPr>
        <w:t>s；试验后，检查箱门及门限位，应符合</w:t>
      </w:r>
      <w:r>
        <w:rPr>
          <w:rFonts w:ascii="宋体_GB2312" w:hAnsi="宋体_GB2312" w:eastAsia="宋体_GB2312"/>
          <w:sz w:val="24"/>
        </w:rPr>
        <w:t>3.2</w:t>
      </w:r>
      <w:r>
        <w:rPr>
          <w:rFonts w:hint="eastAsia" w:ascii="宋体_GB2312" w:hAnsi="宋体_GB2312" w:eastAsia="宋体_GB2312"/>
          <w:sz w:val="24"/>
        </w:rPr>
        <w:t>的要求。</w:t>
      </w:r>
    </w:p>
    <w:p>
      <w:pPr>
        <w:keepNext w:val="0"/>
        <w:widowControl w:val="0"/>
        <w:spacing w:before="156" w:beforeLines="50" w:line="300" w:lineRule="auto"/>
        <w:ind w:firstLine="480" w:firstLineChars="200"/>
        <w:contextualSpacing w:val="0"/>
        <w:rPr>
          <w:rFonts w:ascii="宋体_GB2312" w:hAnsi="宋体_GB2312" w:eastAsia="宋体_GB2312"/>
          <w:sz w:val="24"/>
          <w:lang w:val="en-GB"/>
        </w:rPr>
      </w:pPr>
      <w:bookmarkStart w:id="193" w:name="_Toc194038101"/>
      <w:r>
        <w:rPr>
          <w:rFonts w:hint="eastAsia" w:ascii="宋体_GB2312" w:hAnsi="宋体_GB2312" w:eastAsia="宋体_GB2312"/>
          <w:sz w:val="24"/>
          <w:szCs w:val="24"/>
        </w:rPr>
        <w:t>5</w:t>
      </w:r>
      <w:r>
        <w:rPr>
          <w:rFonts w:ascii="宋体_GB2312" w:hAnsi="宋体_GB2312" w:eastAsia="宋体_GB2312"/>
          <w:sz w:val="24"/>
          <w:szCs w:val="24"/>
        </w:rPr>
        <w:t>.2.10</w:t>
      </w:r>
      <w:r>
        <w:rPr>
          <w:rFonts w:hint="eastAsia" w:ascii="宋体_GB2312" w:hAnsi="宋体_GB2312" w:eastAsia="宋体_GB2312"/>
          <w:sz w:val="24"/>
          <w:lang w:val="en-GB"/>
        </w:rPr>
        <w:t>密封性试验</w:t>
      </w:r>
      <w:bookmarkEnd w:id="193"/>
    </w:p>
    <w:p>
      <w:pPr>
        <w:spacing w:before="156" w:beforeLines="50" w:line="300" w:lineRule="auto"/>
        <w:ind w:firstLine="480" w:firstLineChars="200"/>
        <w:rPr>
          <w:rFonts w:ascii="宋体_GB2312" w:hAnsi="宋体_GB2312" w:eastAsia="宋体_GB2312"/>
          <w:kern w:val="21"/>
          <w:sz w:val="24"/>
        </w:rPr>
      </w:pPr>
      <w:r>
        <w:rPr>
          <w:rFonts w:hint="eastAsia" w:ascii="宋体_GB2312" w:hAnsi="宋体_GB2312" w:eastAsia="宋体_GB2312"/>
          <w:kern w:val="21"/>
          <w:sz w:val="24"/>
        </w:rPr>
        <w:t>（1）</w:t>
      </w:r>
      <w:r>
        <w:rPr>
          <w:rFonts w:ascii="宋体_GB2312" w:hAnsi="宋体_GB2312" w:eastAsia="宋体_GB2312"/>
          <w:kern w:val="21"/>
          <w:sz w:val="24"/>
        </w:rPr>
        <w:t>IPX</w:t>
      </w:r>
      <w:r>
        <w:rPr>
          <w:rFonts w:hint="eastAsia" w:ascii="宋体_GB2312" w:hAnsi="宋体_GB2312" w:eastAsia="宋体_GB2312"/>
          <w:kern w:val="21"/>
          <w:sz w:val="24"/>
        </w:rPr>
        <w:t>5按</w:t>
      </w:r>
      <w:r>
        <w:rPr>
          <w:rFonts w:ascii="宋体_GB2312" w:hAnsi="宋体_GB2312" w:eastAsia="宋体_GB2312"/>
          <w:kern w:val="21"/>
          <w:sz w:val="24"/>
          <w:highlight w:val="none"/>
        </w:rPr>
        <w:t>GB 4208-20</w:t>
      </w:r>
      <w:r>
        <w:rPr>
          <w:rFonts w:hint="eastAsia" w:ascii="宋体_GB2312" w:hAnsi="宋体_GB2312" w:eastAsia="宋体_GB2312"/>
          <w:kern w:val="21"/>
          <w:sz w:val="24"/>
          <w:highlight w:val="none"/>
          <w:lang w:val="en-US" w:eastAsia="zh-CN"/>
        </w:rPr>
        <w:t>17</w:t>
      </w:r>
      <w:r>
        <w:rPr>
          <w:rFonts w:hint="eastAsia" w:ascii="宋体_GB2312" w:hAnsi="宋体_GB2312" w:eastAsia="宋体_GB2312"/>
          <w:kern w:val="21"/>
          <w:sz w:val="24"/>
        </w:rPr>
        <w:t>中第1</w:t>
      </w:r>
      <w:r>
        <w:rPr>
          <w:rFonts w:ascii="宋体_GB2312" w:hAnsi="宋体_GB2312" w:eastAsia="宋体_GB2312"/>
          <w:kern w:val="21"/>
          <w:sz w:val="24"/>
        </w:rPr>
        <w:t>4.2.5</w:t>
      </w:r>
      <w:r>
        <w:rPr>
          <w:rFonts w:hint="eastAsia" w:ascii="宋体_GB2312" w:hAnsi="宋体_GB2312" w:eastAsia="宋体_GB2312"/>
          <w:kern w:val="21"/>
          <w:sz w:val="24"/>
        </w:rPr>
        <w:t>进行试验；</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1"/>
          <w:sz w:val="24"/>
        </w:rPr>
      </w:pPr>
      <w:r>
        <w:rPr>
          <w:rFonts w:hint="eastAsia" w:ascii="宋体_GB2312" w:hAnsi="宋体_GB2312" w:eastAsia="宋体_GB2312"/>
          <w:kern w:val="21"/>
          <w:sz w:val="24"/>
        </w:rPr>
        <w:t>（2）</w:t>
      </w:r>
      <w:r>
        <w:rPr>
          <w:rFonts w:ascii="宋体_GB2312" w:hAnsi="宋体_GB2312" w:eastAsia="宋体_GB2312"/>
          <w:kern w:val="21"/>
          <w:sz w:val="24"/>
        </w:rPr>
        <w:t>IPX</w:t>
      </w:r>
      <w:r>
        <w:rPr>
          <w:rFonts w:hint="eastAsia" w:ascii="宋体_GB2312" w:hAnsi="宋体_GB2312" w:eastAsia="宋体_GB2312"/>
          <w:kern w:val="21"/>
          <w:sz w:val="24"/>
        </w:rPr>
        <w:t>8按</w:t>
      </w:r>
      <w:r>
        <w:rPr>
          <w:rFonts w:ascii="宋体_GB2312" w:hAnsi="宋体_GB2312" w:eastAsia="宋体_GB2312"/>
          <w:kern w:val="21"/>
          <w:sz w:val="24"/>
          <w:highlight w:val="none"/>
        </w:rPr>
        <w:t>GB 4208-20</w:t>
      </w:r>
      <w:r>
        <w:rPr>
          <w:rFonts w:hint="eastAsia" w:ascii="宋体_GB2312" w:hAnsi="宋体_GB2312" w:eastAsia="宋体_GB2312"/>
          <w:kern w:val="21"/>
          <w:sz w:val="24"/>
          <w:highlight w:val="none"/>
          <w:lang w:val="en-US" w:eastAsia="zh-CN"/>
        </w:rPr>
        <w:t>17</w:t>
      </w:r>
      <w:r>
        <w:rPr>
          <w:rFonts w:hint="eastAsia" w:ascii="宋体_GB2312" w:hAnsi="宋体_GB2312" w:eastAsia="宋体_GB2312"/>
          <w:kern w:val="21"/>
          <w:sz w:val="24"/>
        </w:rPr>
        <w:t>中第1</w:t>
      </w:r>
      <w:r>
        <w:rPr>
          <w:rFonts w:ascii="宋体_GB2312" w:hAnsi="宋体_GB2312" w:eastAsia="宋体_GB2312"/>
          <w:kern w:val="21"/>
          <w:sz w:val="24"/>
        </w:rPr>
        <w:t>4.2.8</w:t>
      </w:r>
      <w:r>
        <w:rPr>
          <w:rFonts w:hint="eastAsia" w:ascii="宋体_GB2312" w:hAnsi="宋体_GB2312" w:eastAsia="宋体_GB2312"/>
          <w:kern w:val="21"/>
          <w:sz w:val="24"/>
        </w:rPr>
        <w:t>进行试验。</w:t>
      </w:r>
    </w:p>
    <w:p>
      <w:pPr>
        <w:keepNext w:val="0"/>
        <w:widowControl w:val="0"/>
        <w:spacing w:before="156" w:beforeLines="50" w:line="300" w:lineRule="auto"/>
        <w:ind w:firstLine="480" w:firstLineChars="200"/>
        <w:contextualSpacing w:val="0"/>
        <w:rPr>
          <w:rFonts w:ascii="宋体_GB2312" w:hAnsi="宋体_GB2312" w:eastAsia="宋体_GB2312"/>
          <w:sz w:val="24"/>
          <w:lang w:val="en-GB"/>
        </w:rPr>
      </w:pPr>
      <w:bookmarkStart w:id="194" w:name="_Toc194038102"/>
      <w:r>
        <w:rPr>
          <w:rFonts w:hint="eastAsia" w:ascii="宋体_GB2312" w:hAnsi="宋体_GB2312" w:eastAsia="宋体_GB2312"/>
          <w:sz w:val="24"/>
          <w:szCs w:val="24"/>
        </w:rPr>
        <w:t>5</w:t>
      </w:r>
      <w:r>
        <w:rPr>
          <w:rFonts w:ascii="宋体_GB2312" w:hAnsi="宋体_GB2312" w:eastAsia="宋体_GB2312"/>
          <w:sz w:val="24"/>
          <w:szCs w:val="24"/>
        </w:rPr>
        <w:t>.2.11</w:t>
      </w:r>
      <w:r>
        <w:rPr>
          <w:rFonts w:hint="eastAsia" w:ascii="宋体_GB2312" w:hAnsi="宋体_GB2312" w:eastAsia="宋体_GB2312"/>
          <w:sz w:val="24"/>
          <w:lang w:val="en-GB"/>
        </w:rPr>
        <w:t>燃烧性能试验</w:t>
      </w:r>
      <w:bookmarkEnd w:id="194"/>
    </w:p>
    <w:p>
      <w:pPr>
        <w:spacing w:before="156" w:beforeLines="50" w:line="300" w:lineRule="auto"/>
        <w:ind w:firstLine="480" w:firstLineChars="200"/>
        <w:rPr>
          <w:rFonts w:ascii="宋体_GB2312" w:hAnsi="宋体_GB2312" w:eastAsia="宋体_GB2312"/>
          <w:kern w:val="21"/>
          <w:sz w:val="24"/>
        </w:rPr>
      </w:pPr>
      <w:bookmarkStart w:id="195" w:name="_Toc194038103"/>
      <w:r>
        <w:rPr>
          <w:rFonts w:hint="eastAsia" w:ascii="宋体_GB2312" w:hAnsi="宋体_GB2312" w:eastAsia="宋体_GB2312"/>
          <w:kern w:val="21"/>
          <w:sz w:val="24"/>
        </w:rPr>
        <w:t>（</w:t>
      </w:r>
      <w:r>
        <w:rPr>
          <w:rFonts w:ascii="宋体_GB2312" w:hAnsi="宋体_GB2312" w:eastAsia="宋体_GB2312"/>
          <w:kern w:val="21"/>
          <w:sz w:val="24"/>
        </w:rPr>
        <w:t>1）按照GB/T 5169.5-2008</w:t>
      </w:r>
      <w:r>
        <w:rPr>
          <w:rFonts w:hint="eastAsia" w:ascii="宋体_GB2312" w:hAnsi="宋体_GB2312" w:eastAsia="宋体_GB2312"/>
          <w:kern w:val="21"/>
          <w:sz w:val="24"/>
        </w:rPr>
        <w:t>中规定</w:t>
      </w:r>
      <w:r>
        <w:rPr>
          <w:rFonts w:ascii="宋体_GB2312" w:hAnsi="宋体_GB2312" w:eastAsia="宋体_GB2312"/>
          <w:kern w:val="21"/>
          <w:sz w:val="24"/>
        </w:rPr>
        <w:t>的方法进行试验，其中施加试验火焰持续时间优</w:t>
      </w:r>
      <w:r>
        <w:rPr>
          <w:rFonts w:hint="eastAsia" w:ascii="宋体_GB2312" w:hAnsi="宋体_GB2312" w:eastAsia="宋体_GB2312"/>
          <w:kern w:val="21"/>
          <w:sz w:val="24"/>
        </w:rPr>
        <w:t>选</w:t>
      </w:r>
      <w:r>
        <w:rPr>
          <w:rFonts w:ascii="宋体_GB2312" w:hAnsi="宋体_GB2312" w:eastAsia="宋体_GB2312"/>
          <w:kern w:val="21"/>
          <w:sz w:val="24"/>
        </w:rPr>
        <w:t>30s。</w:t>
      </w:r>
    </w:p>
    <w:p>
      <w:pPr>
        <w:spacing w:before="156" w:beforeLines="50" w:line="300" w:lineRule="auto"/>
        <w:ind w:firstLine="480" w:firstLineChars="200"/>
        <w:rPr>
          <w:rFonts w:ascii="宋体_GB2312" w:hAnsi="宋体_GB2312" w:eastAsia="宋体_GB2312"/>
          <w:kern w:val="21"/>
          <w:sz w:val="24"/>
        </w:rPr>
      </w:pPr>
      <w:r>
        <w:rPr>
          <w:rFonts w:hint="eastAsia" w:ascii="宋体_GB2312" w:hAnsi="宋体_GB2312" w:eastAsia="宋体_GB2312"/>
          <w:kern w:val="21"/>
          <w:sz w:val="24"/>
        </w:rPr>
        <w:t>（</w:t>
      </w:r>
      <w:r>
        <w:rPr>
          <w:rFonts w:ascii="宋体_GB2312" w:hAnsi="宋体_GB2312" w:eastAsia="宋体_GB2312"/>
          <w:kern w:val="21"/>
          <w:sz w:val="24"/>
        </w:rPr>
        <w:t>2）跳纤或尾纤中使用的光缆阻燃性能试验方法按GB/T 18380.12-2008</w:t>
      </w:r>
      <w:r>
        <w:rPr>
          <w:rFonts w:hint="eastAsia" w:ascii="宋体_GB2312" w:hAnsi="宋体_GB2312" w:eastAsia="宋体_GB2312"/>
          <w:kern w:val="21"/>
          <w:sz w:val="24"/>
        </w:rPr>
        <w:t>中规定</w:t>
      </w:r>
      <w:r>
        <w:rPr>
          <w:rFonts w:ascii="宋体_GB2312" w:hAnsi="宋体_GB2312" w:eastAsia="宋体_GB2312"/>
          <w:kern w:val="21"/>
          <w:sz w:val="24"/>
        </w:rPr>
        <w:t>的方法进行试验。</w:t>
      </w:r>
    </w:p>
    <w:p>
      <w:pPr>
        <w:spacing w:before="156" w:beforeLines="50" w:line="300" w:lineRule="auto"/>
        <w:ind w:firstLine="480" w:firstLineChars="200"/>
        <w:rPr>
          <w:rFonts w:ascii="宋体_GB2312" w:hAnsi="宋体_GB2312" w:eastAsia="宋体_GB2312"/>
          <w:kern w:val="21"/>
          <w:sz w:val="24"/>
        </w:rPr>
      </w:pPr>
      <w:r>
        <w:rPr>
          <w:rFonts w:hint="eastAsia" w:ascii="宋体_GB2312" w:hAnsi="宋体_GB2312" w:eastAsia="宋体_GB2312"/>
          <w:kern w:val="21"/>
          <w:sz w:val="24"/>
        </w:rPr>
        <w:t>（</w:t>
      </w:r>
      <w:r>
        <w:rPr>
          <w:rFonts w:ascii="宋体_GB2312" w:hAnsi="宋体_GB2312" w:eastAsia="宋体_GB2312"/>
          <w:kern w:val="21"/>
          <w:sz w:val="24"/>
        </w:rPr>
        <w:t>3</w:t>
      </w:r>
      <w:r>
        <w:rPr>
          <w:rFonts w:hint="eastAsia" w:ascii="宋体_GB2312" w:hAnsi="宋体_GB2312" w:eastAsia="宋体_GB2312"/>
          <w:kern w:val="21"/>
          <w:sz w:val="24"/>
        </w:rPr>
        <w:t>）试验样品离火后持续有焰燃烧时间不超过10s；</w:t>
      </w:r>
    </w:p>
    <w:p>
      <w:pPr>
        <w:spacing w:before="156" w:beforeLines="50" w:line="300" w:lineRule="auto"/>
        <w:ind w:firstLine="480" w:firstLineChars="200"/>
        <w:rPr>
          <w:rFonts w:ascii="宋体_GB2312" w:hAnsi="宋体_GB2312" w:eastAsia="宋体_GB2312"/>
          <w:kern w:val="21"/>
          <w:sz w:val="24"/>
        </w:rPr>
      </w:pPr>
      <w:r>
        <w:rPr>
          <w:rFonts w:hint="eastAsia" w:ascii="宋体_GB2312" w:hAnsi="宋体_GB2312" w:eastAsia="宋体_GB2312"/>
          <w:kern w:val="21"/>
          <w:sz w:val="24"/>
        </w:rPr>
        <w:t>（</w:t>
      </w:r>
      <w:r>
        <w:rPr>
          <w:rFonts w:ascii="宋体_GB2312" w:hAnsi="宋体_GB2312" w:eastAsia="宋体_GB2312"/>
          <w:kern w:val="21"/>
          <w:sz w:val="24"/>
        </w:rPr>
        <w:t>4</w:t>
      </w:r>
      <w:r>
        <w:rPr>
          <w:rFonts w:hint="eastAsia" w:ascii="宋体_GB2312" w:hAnsi="宋体_GB2312" w:eastAsia="宋体_GB2312"/>
          <w:kern w:val="21"/>
          <w:sz w:val="24"/>
        </w:rPr>
        <w:t>）从试验样品上掉落的燃烧或灼热颗粒未使燃烧蔓延到放在试验样品下面的铺底层。</w:t>
      </w:r>
    </w:p>
    <w:p>
      <w:pPr>
        <w:keepNext w:val="0"/>
        <w:widowControl w:val="0"/>
        <w:spacing w:before="156" w:beforeLines="50" w:line="300" w:lineRule="auto"/>
        <w:ind w:firstLine="480" w:firstLineChars="200"/>
        <w:contextualSpacing w:val="0"/>
        <w:rPr>
          <w:rFonts w:ascii="宋体_GB2312" w:hAnsi="宋体_GB2312" w:eastAsia="宋体_GB2312"/>
          <w:sz w:val="24"/>
          <w:lang w:val="en-GB"/>
        </w:rPr>
      </w:pPr>
      <w:r>
        <w:rPr>
          <w:rFonts w:hint="eastAsia" w:ascii="宋体_GB2312" w:hAnsi="宋体_GB2312" w:eastAsia="宋体_GB2312"/>
          <w:sz w:val="24"/>
        </w:rPr>
        <w:t>5</w:t>
      </w:r>
      <w:r>
        <w:rPr>
          <w:rFonts w:ascii="宋体_GB2312" w:hAnsi="宋体_GB2312" w:eastAsia="宋体_GB2312"/>
          <w:sz w:val="24"/>
        </w:rPr>
        <w:t>.2.12</w:t>
      </w:r>
      <w:r>
        <w:rPr>
          <w:rFonts w:hint="eastAsia" w:ascii="宋体_GB2312" w:hAnsi="宋体_GB2312" w:eastAsia="宋体_GB2312"/>
          <w:sz w:val="24"/>
          <w:lang w:val="en-GB"/>
        </w:rPr>
        <w:t>环境条件试验</w:t>
      </w:r>
      <w:bookmarkEnd w:id="195"/>
    </w:p>
    <w:p>
      <w:pPr>
        <w:keepNext w:val="0"/>
        <w:widowControl w:val="0"/>
        <w:spacing w:before="156" w:beforeLines="50" w:line="300" w:lineRule="auto"/>
        <w:ind w:firstLine="480" w:firstLineChars="200"/>
        <w:contextualSpacing w:val="0"/>
        <w:rPr>
          <w:rFonts w:ascii="宋体_GB2312" w:hAnsi="宋体_GB2312" w:eastAsia="宋体_GB2312"/>
          <w:sz w:val="24"/>
          <w:lang w:val="en-GB"/>
        </w:rPr>
      </w:pPr>
      <w:r>
        <w:rPr>
          <w:rFonts w:hint="eastAsia" w:ascii="宋体_GB2312" w:hAnsi="宋体_GB2312" w:eastAsia="宋体_GB2312"/>
          <w:sz w:val="24"/>
        </w:rPr>
        <w:t>5</w:t>
      </w:r>
      <w:r>
        <w:rPr>
          <w:rFonts w:ascii="宋体_GB2312" w:hAnsi="宋体_GB2312" w:eastAsia="宋体_GB2312"/>
          <w:sz w:val="24"/>
        </w:rPr>
        <w:t>.2.12.1</w:t>
      </w:r>
      <w:r>
        <w:rPr>
          <w:rFonts w:hint="eastAsia" w:ascii="宋体_GB2312" w:hAnsi="宋体_GB2312" w:eastAsia="宋体_GB2312"/>
          <w:sz w:val="24"/>
          <w:szCs w:val="24"/>
        </w:rPr>
        <w:t>高温</w:t>
      </w:r>
      <w:r>
        <w:rPr>
          <w:rFonts w:hint="eastAsia" w:ascii="宋体_GB2312" w:hAnsi="宋体_GB2312" w:eastAsia="宋体_GB2312"/>
          <w:sz w:val="24"/>
          <w:szCs w:val="21"/>
        </w:rPr>
        <w:t>试验</w:t>
      </w:r>
    </w:p>
    <w:p>
      <w:pPr>
        <w:keepNext w:val="0"/>
        <w:widowControl w:val="0"/>
        <w:autoSpaceDE/>
        <w:autoSpaceDN/>
        <w:spacing w:before="156" w:beforeLines="50" w:line="300" w:lineRule="auto"/>
        <w:ind w:left="0" w:leftChars="0" w:firstLine="480" w:firstLineChars="200"/>
        <w:contextualSpacing w:val="0"/>
        <w:rPr>
          <w:rFonts w:ascii="宋体_GB2312" w:hAnsi="宋体_GB2312" w:eastAsia="宋体_GB2312"/>
          <w:kern w:val="21"/>
          <w:sz w:val="24"/>
        </w:rPr>
      </w:pPr>
      <w:r>
        <w:rPr>
          <w:rFonts w:hint="eastAsia" w:ascii="宋体_GB2312" w:hAnsi="宋体_GB2312" w:eastAsia="宋体_GB2312"/>
          <w:kern w:val="21"/>
          <w:sz w:val="24"/>
        </w:rPr>
        <w:t>按GB/T</w:t>
      </w:r>
      <w:r>
        <w:rPr>
          <w:rFonts w:ascii="宋体_GB2312" w:hAnsi="宋体_GB2312" w:eastAsia="宋体_GB2312"/>
          <w:kern w:val="21"/>
          <w:sz w:val="24"/>
        </w:rPr>
        <w:t xml:space="preserve"> 2423.2-2008</w:t>
      </w:r>
      <w:r>
        <w:rPr>
          <w:rFonts w:hint="eastAsia" w:ascii="宋体_GB2312" w:hAnsi="宋体_GB2312" w:eastAsia="宋体_GB2312"/>
          <w:kern w:val="21"/>
          <w:sz w:val="24"/>
        </w:rPr>
        <w:t>中规定的试验Bb进行。将无包装的试验样品（含箱体关键材料、光纤终接装置、光纤存储装置、高压防护装置、光纤连接器）置于试验箱（室）内，试验温度为+60℃±2℃，持续时间8h，然后在试验标准大气条件下恢复1h后进行相关项目测试。</w:t>
      </w:r>
    </w:p>
    <w:p>
      <w:pPr>
        <w:keepNext w:val="0"/>
        <w:widowControl w:val="0"/>
        <w:spacing w:before="156" w:beforeLines="50" w:line="300" w:lineRule="auto"/>
        <w:ind w:firstLine="480" w:firstLineChars="200"/>
        <w:contextualSpacing w:val="0"/>
        <w:rPr>
          <w:rFonts w:ascii="宋体_GB2312" w:hAnsi="宋体_GB2312" w:eastAsia="宋体_GB2312"/>
          <w:sz w:val="24"/>
          <w:szCs w:val="21"/>
        </w:rPr>
      </w:pPr>
      <w:r>
        <w:rPr>
          <w:rFonts w:hint="eastAsia" w:ascii="宋体_GB2312" w:hAnsi="宋体_GB2312" w:eastAsia="宋体_GB2312"/>
          <w:sz w:val="24"/>
        </w:rPr>
        <w:t>5</w:t>
      </w:r>
      <w:r>
        <w:rPr>
          <w:rFonts w:ascii="宋体_GB2312" w:hAnsi="宋体_GB2312" w:eastAsia="宋体_GB2312"/>
          <w:sz w:val="24"/>
        </w:rPr>
        <w:t>.2.12.2</w:t>
      </w:r>
      <w:r>
        <w:rPr>
          <w:rFonts w:hint="eastAsia" w:ascii="宋体_GB2312" w:hAnsi="宋体_GB2312" w:eastAsia="宋体_GB2312"/>
          <w:sz w:val="24"/>
          <w:szCs w:val="21"/>
        </w:rPr>
        <w:t>低温试验</w:t>
      </w:r>
    </w:p>
    <w:p>
      <w:pPr>
        <w:keepNext w:val="0"/>
        <w:widowControl w:val="0"/>
        <w:autoSpaceDE/>
        <w:autoSpaceDN/>
        <w:spacing w:before="156" w:beforeLines="50" w:line="300" w:lineRule="auto"/>
        <w:ind w:left="0" w:leftChars="0" w:firstLine="480" w:firstLineChars="200"/>
        <w:contextualSpacing w:val="0"/>
        <w:rPr>
          <w:rFonts w:ascii="宋体_GB2312" w:hAnsi="宋体_GB2312" w:eastAsia="宋体_GB2312"/>
          <w:kern w:val="21"/>
          <w:sz w:val="24"/>
        </w:rPr>
      </w:pPr>
      <w:r>
        <w:rPr>
          <w:rFonts w:hint="eastAsia" w:ascii="宋体_GB2312" w:hAnsi="宋体_GB2312" w:eastAsia="宋体_GB2312"/>
          <w:kern w:val="21"/>
          <w:sz w:val="24"/>
        </w:rPr>
        <w:t>按GB/T</w:t>
      </w:r>
      <w:r>
        <w:rPr>
          <w:rFonts w:ascii="宋体_GB2312" w:hAnsi="宋体_GB2312" w:eastAsia="宋体_GB2312"/>
          <w:kern w:val="21"/>
          <w:sz w:val="24"/>
        </w:rPr>
        <w:t xml:space="preserve"> 2423.1-2008</w:t>
      </w:r>
      <w:r>
        <w:rPr>
          <w:rFonts w:hint="eastAsia" w:ascii="宋体_GB2312" w:hAnsi="宋体_GB2312" w:eastAsia="宋体_GB2312"/>
          <w:kern w:val="21"/>
          <w:sz w:val="24"/>
        </w:rPr>
        <w:t>中规定的试验Ab进行。将无包装的试验样品（含箱体关键材料、光纤终接装置、光纤存储装置、高压防护装置、光纤连接器）置于试验箱（室）内，试验温度为-40℃±3℃，持续时间8h，然后在试验标准大气条件下恢复1h后进行相关项目测试。</w:t>
      </w:r>
    </w:p>
    <w:p>
      <w:pPr>
        <w:keepNext w:val="0"/>
        <w:widowControl w:val="0"/>
        <w:spacing w:before="156" w:beforeLines="50" w:line="300" w:lineRule="auto"/>
        <w:ind w:firstLine="480" w:firstLineChars="200"/>
        <w:contextualSpacing w:val="0"/>
        <w:rPr>
          <w:rFonts w:ascii="宋体_GB2312" w:hAnsi="宋体_GB2312" w:eastAsia="宋体_GB2312"/>
          <w:sz w:val="24"/>
          <w:szCs w:val="21"/>
        </w:rPr>
      </w:pPr>
      <w:r>
        <w:rPr>
          <w:rFonts w:hint="eastAsia" w:ascii="宋体_GB2312" w:hAnsi="宋体_GB2312" w:eastAsia="宋体_GB2312"/>
          <w:sz w:val="24"/>
        </w:rPr>
        <w:t>5</w:t>
      </w:r>
      <w:r>
        <w:rPr>
          <w:rFonts w:ascii="宋体_GB2312" w:hAnsi="宋体_GB2312" w:eastAsia="宋体_GB2312"/>
          <w:sz w:val="24"/>
        </w:rPr>
        <w:t>.2.12.3</w:t>
      </w:r>
      <w:r>
        <w:rPr>
          <w:rFonts w:hint="eastAsia" w:ascii="宋体_GB2312" w:hAnsi="宋体_GB2312" w:eastAsia="宋体_GB2312"/>
          <w:sz w:val="24"/>
          <w:szCs w:val="21"/>
        </w:rPr>
        <w:t>湿热试验</w:t>
      </w:r>
    </w:p>
    <w:p>
      <w:pPr>
        <w:keepNext w:val="0"/>
        <w:spacing w:before="156" w:beforeLines="50" w:line="300" w:lineRule="auto"/>
        <w:ind w:left="0" w:leftChars="0" w:firstLine="480" w:firstLineChars="200"/>
        <w:contextualSpacing w:val="0"/>
        <w:rPr>
          <w:rFonts w:ascii="宋体_GB2312" w:hAnsi="宋体_GB2312" w:eastAsia="宋体_GB2312"/>
          <w:sz w:val="24"/>
          <w:szCs w:val="20"/>
        </w:rPr>
      </w:pPr>
      <w:r>
        <w:rPr>
          <w:rFonts w:hint="eastAsia" w:ascii="宋体_GB2312" w:hAnsi="宋体_GB2312" w:eastAsia="宋体_GB2312"/>
          <w:sz w:val="24"/>
          <w:szCs w:val="20"/>
        </w:rPr>
        <w:t>设备应按</w:t>
      </w:r>
      <w:r>
        <w:rPr>
          <w:rFonts w:ascii="宋体_GB2312" w:hAnsi="宋体_GB2312" w:eastAsia="宋体_GB2312"/>
          <w:sz w:val="24"/>
          <w:szCs w:val="20"/>
        </w:rPr>
        <w:t>GB/T2423.4-2008中“试验Db：交变湿热试验方法”进行，</w:t>
      </w:r>
      <w:r>
        <w:rPr>
          <w:rFonts w:hint="eastAsia" w:ascii="宋体_GB2312" w:hAnsi="宋体_GB2312" w:eastAsia="宋体_GB2312"/>
          <w:kern w:val="21"/>
          <w:sz w:val="24"/>
        </w:rPr>
        <w:t>将无包装的试验样品（含箱体关键材料、光纤终接装置、光纤存储装置、高压防护装置、光纤连接器）置于试验箱（室）内，</w:t>
      </w:r>
      <w:r>
        <w:rPr>
          <w:rFonts w:ascii="宋体_GB2312" w:hAnsi="宋体_GB2312" w:eastAsia="宋体_GB2312"/>
          <w:sz w:val="24"/>
          <w:szCs w:val="20"/>
        </w:rPr>
        <w:t>其中试验高温为+40℃±2℃，试验周期为</w:t>
      </w:r>
      <w:r>
        <w:rPr>
          <w:rFonts w:hint="eastAsia" w:ascii="宋体_GB2312" w:hAnsi="宋体_GB2312" w:eastAsia="宋体_GB2312"/>
          <w:sz w:val="24"/>
          <w:szCs w:val="20"/>
        </w:rPr>
        <w:t>1</w:t>
      </w:r>
      <w:r>
        <w:rPr>
          <w:rFonts w:ascii="宋体_GB2312" w:hAnsi="宋体_GB2312" w:eastAsia="宋体_GB2312"/>
          <w:sz w:val="24"/>
          <w:szCs w:val="20"/>
        </w:rPr>
        <w:t>44</w:t>
      </w:r>
      <w:r>
        <w:rPr>
          <w:rFonts w:hint="eastAsia" w:ascii="宋体_GB2312" w:hAnsi="宋体_GB2312" w:eastAsia="宋体_GB2312"/>
          <w:sz w:val="24"/>
          <w:szCs w:val="20"/>
        </w:rPr>
        <w:t>h</w:t>
      </w:r>
      <w:r>
        <w:rPr>
          <w:rFonts w:ascii="宋体_GB2312" w:hAnsi="宋体_GB2312" w:eastAsia="宋体_GB2312"/>
          <w:sz w:val="24"/>
          <w:szCs w:val="20"/>
        </w:rPr>
        <w:t>。</w:t>
      </w:r>
    </w:p>
    <w:p>
      <w:pPr>
        <w:keepNext w:val="0"/>
        <w:spacing w:before="156" w:beforeLines="50" w:line="300" w:lineRule="auto"/>
        <w:ind w:left="0" w:leftChars="0" w:firstLine="480" w:firstLineChars="200"/>
        <w:contextualSpacing w:val="0"/>
        <w:rPr>
          <w:rFonts w:ascii="宋体_GB2312" w:hAnsi="宋体_GB2312" w:eastAsia="宋体_GB2312"/>
          <w:sz w:val="24"/>
          <w:szCs w:val="20"/>
        </w:rPr>
      </w:pPr>
      <w:r>
        <w:rPr>
          <w:rFonts w:hint="eastAsia" w:ascii="宋体_GB2312" w:hAnsi="宋体_GB2312" w:eastAsia="宋体_GB2312"/>
          <w:sz w:val="24"/>
          <w:szCs w:val="20"/>
        </w:rPr>
        <w:t>条件试验之后，再调节到试验</w:t>
      </w:r>
      <w:r>
        <w:rPr>
          <w:rFonts w:hint="eastAsia" w:ascii="宋体_GB2312" w:hAnsi="宋体_GB2312" w:eastAsia="宋体_GB2312"/>
          <w:kern w:val="21"/>
          <w:sz w:val="24"/>
          <w:szCs w:val="24"/>
        </w:rPr>
        <w:t>标准大气条件</w:t>
      </w:r>
      <w:r>
        <w:rPr>
          <w:rFonts w:hint="eastAsia" w:ascii="宋体_GB2312" w:hAnsi="宋体_GB2312" w:eastAsia="宋体_GB2312"/>
          <w:sz w:val="24"/>
          <w:szCs w:val="20"/>
        </w:rPr>
        <w:t>下恢复</w:t>
      </w:r>
      <w:r>
        <w:rPr>
          <w:rFonts w:ascii="宋体_GB2312" w:hAnsi="宋体_GB2312" w:eastAsia="宋体_GB2312"/>
          <w:sz w:val="24"/>
          <w:szCs w:val="20"/>
        </w:rPr>
        <w:t>2h后进行相关项目测试。</w:t>
      </w:r>
    </w:p>
    <w:p>
      <w:pPr>
        <w:keepNext w:val="0"/>
        <w:widowControl w:val="0"/>
        <w:spacing w:before="156" w:beforeLines="50" w:line="300" w:lineRule="auto"/>
        <w:ind w:firstLine="480" w:firstLineChars="200"/>
        <w:contextualSpacing w:val="0"/>
        <w:rPr>
          <w:rFonts w:ascii="宋体_GB2312" w:hAnsi="宋体_GB2312" w:eastAsia="宋体_GB2312"/>
          <w:sz w:val="24"/>
          <w:szCs w:val="21"/>
        </w:rPr>
      </w:pPr>
      <w:r>
        <w:rPr>
          <w:rFonts w:hint="eastAsia" w:ascii="宋体_GB2312" w:hAnsi="宋体_GB2312" w:eastAsia="宋体_GB2312"/>
          <w:sz w:val="24"/>
        </w:rPr>
        <w:t>5</w:t>
      </w:r>
      <w:r>
        <w:rPr>
          <w:rFonts w:ascii="宋体_GB2312" w:hAnsi="宋体_GB2312" w:eastAsia="宋体_GB2312"/>
          <w:sz w:val="24"/>
        </w:rPr>
        <w:t>.2.12.4</w:t>
      </w:r>
      <w:r>
        <w:rPr>
          <w:rFonts w:hint="eastAsia" w:ascii="宋体_GB2312" w:hAnsi="宋体_GB2312" w:eastAsia="宋体_GB2312"/>
          <w:sz w:val="24"/>
          <w:szCs w:val="21"/>
        </w:rPr>
        <w:t>盐雾试验</w:t>
      </w:r>
    </w:p>
    <w:p>
      <w:pPr>
        <w:keepNext w:val="0"/>
        <w:widowControl w:val="0"/>
        <w:autoSpaceDE/>
        <w:autoSpaceDN/>
        <w:spacing w:before="156" w:beforeLines="50" w:line="300" w:lineRule="auto"/>
        <w:ind w:left="0" w:leftChars="0" w:firstLine="480" w:firstLineChars="200"/>
        <w:contextualSpacing w:val="0"/>
        <w:rPr>
          <w:rFonts w:ascii="宋体_GB2312" w:hAnsi="宋体_GB2312" w:eastAsia="宋体_GB2312"/>
          <w:kern w:val="21"/>
          <w:sz w:val="24"/>
        </w:rPr>
      </w:pPr>
      <w:r>
        <w:rPr>
          <w:rFonts w:hint="eastAsia" w:ascii="宋体_GB2312" w:hAnsi="宋体_GB2312" w:eastAsia="宋体_GB2312"/>
          <w:kern w:val="21"/>
          <w:sz w:val="24"/>
        </w:rPr>
        <w:t>按GB/T</w:t>
      </w:r>
      <w:r>
        <w:rPr>
          <w:rFonts w:ascii="宋体_GB2312" w:hAnsi="宋体_GB2312" w:eastAsia="宋体_GB2312"/>
          <w:kern w:val="21"/>
          <w:sz w:val="24"/>
        </w:rPr>
        <w:t xml:space="preserve"> 2423.17-2008</w:t>
      </w:r>
      <w:r>
        <w:rPr>
          <w:rFonts w:hint="eastAsia" w:ascii="宋体_GB2312" w:hAnsi="宋体_GB2312" w:eastAsia="宋体_GB2312"/>
          <w:kern w:val="21"/>
          <w:sz w:val="24"/>
        </w:rPr>
        <w:t>中规定的试验程序对实际使用或安装时的状态的试验样品（含金属电镀结构件和F</w:t>
      </w:r>
      <w:r>
        <w:rPr>
          <w:rFonts w:ascii="宋体_GB2312" w:hAnsi="宋体_GB2312" w:eastAsia="宋体_GB2312"/>
          <w:kern w:val="21"/>
          <w:sz w:val="24"/>
        </w:rPr>
        <w:t>C</w:t>
      </w:r>
      <w:r>
        <w:rPr>
          <w:rFonts w:hint="eastAsia" w:ascii="宋体_GB2312" w:hAnsi="宋体_GB2312" w:eastAsia="宋体_GB2312"/>
          <w:kern w:val="21"/>
          <w:sz w:val="24"/>
        </w:rPr>
        <w:t>型光纤连接器）进行48h的盐雾试验。</w:t>
      </w:r>
    </w:p>
    <w:p>
      <w:pPr>
        <w:keepNext w:val="0"/>
        <w:widowControl w:val="0"/>
        <w:spacing w:before="156" w:beforeLines="50" w:line="300" w:lineRule="auto"/>
        <w:ind w:firstLine="480" w:firstLineChars="200"/>
        <w:contextualSpacing w:val="0"/>
        <w:rPr>
          <w:rFonts w:ascii="宋体_GB2312" w:hAnsi="宋体_GB2312" w:eastAsia="宋体_GB2312"/>
          <w:sz w:val="24"/>
          <w:lang w:val="en-GB"/>
        </w:rPr>
      </w:pPr>
      <w:bookmarkStart w:id="196" w:name="_Toc194038104"/>
      <w:r>
        <w:rPr>
          <w:rFonts w:hint="eastAsia" w:ascii="宋体_GB2312" w:hAnsi="宋体_GB2312" w:eastAsia="宋体_GB2312"/>
          <w:sz w:val="24"/>
        </w:rPr>
        <w:t>5</w:t>
      </w:r>
      <w:r>
        <w:rPr>
          <w:rFonts w:ascii="宋体_GB2312" w:hAnsi="宋体_GB2312" w:eastAsia="宋体_GB2312"/>
          <w:sz w:val="24"/>
        </w:rPr>
        <w:t>.2.12.5</w:t>
      </w:r>
      <w:r>
        <w:rPr>
          <w:rFonts w:hint="eastAsia" w:ascii="宋体_GB2312" w:hAnsi="宋体_GB2312" w:eastAsia="宋体_GB2312"/>
          <w:sz w:val="24"/>
          <w:lang w:val="en-GB"/>
        </w:rPr>
        <w:t>运输试验</w:t>
      </w:r>
      <w:bookmarkEnd w:id="196"/>
    </w:p>
    <w:p>
      <w:pPr>
        <w:spacing w:before="156" w:beforeLines="50" w:line="300" w:lineRule="auto"/>
        <w:ind w:firstLine="480" w:firstLineChars="200"/>
        <w:rPr>
          <w:rFonts w:ascii="宋体_GB2312" w:hAnsi="宋体_GB2312" w:eastAsia="宋体_GB2312"/>
          <w:kern w:val="21"/>
          <w:sz w:val="24"/>
        </w:rPr>
      </w:pPr>
      <w:r>
        <w:rPr>
          <w:rFonts w:hint="eastAsia" w:ascii="宋体_GB2312" w:hAnsi="宋体_GB2312" w:eastAsia="宋体_GB2312"/>
          <w:sz w:val="24"/>
        </w:rPr>
        <w:t>5</w:t>
      </w:r>
      <w:r>
        <w:rPr>
          <w:rFonts w:ascii="宋体_GB2312" w:hAnsi="宋体_GB2312" w:eastAsia="宋体_GB2312"/>
          <w:sz w:val="24"/>
        </w:rPr>
        <w:t>.2.12.5.1</w:t>
      </w:r>
      <w:r>
        <w:rPr>
          <w:rFonts w:hint="eastAsia" w:ascii="宋体_GB2312" w:hAnsi="宋体_GB2312" w:eastAsia="宋体_GB2312"/>
          <w:kern w:val="21"/>
          <w:sz w:val="24"/>
        </w:rPr>
        <w:t>总则</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1"/>
          <w:sz w:val="24"/>
        </w:rPr>
      </w:pPr>
      <w:r>
        <w:rPr>
          <w:rFonts w:hint="eastAsia" w:ascii="宋体_GB2312" w:hAnsi="宋体_GB2312" w:eastAsia="宋体_GB2312"/>
          <w:kern w:val="21"/>
          <w:sz w:val="24"/>
        </w:rPr>
        <w:t>按以下方法之一试验，试验后应能符合：</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1"/>
          <w:sz w:val="24"/>
          <w:szCs w:val="24"/>
        </w:rPr>
      </w:pPr>
      <w:r>
        <w:rPr>
          <w:rFonts w:hint="eastAsia" w:ascii="宋体_GB2312" w:hAnsi="宋体_GB2312" w:eastAsia="宋体_GB2312"/>
          <w:kern w:val="21"/>
          <w:sz w:val="24"/>
        </w:rPr>
        <w:t>（1）</w:t>
      </w:r>
      <w:r>
        <w:rPr>
          <w:rFonts w:ascii="宋体_GB2312" w:hAnsi="宋体_GB2312" w:eastAsia="宋体_GB2312"/>
          <w:kern w:val="21"/>
          <w:sz w:val="24"/>
          <w:szCs w:val="24"/>
        </w:rPr>
        <w:t xml:space="preserve"> </w:t>
      </w:r>
      <w:r>
        <w:rPr>
          <w:rFonts w:hint="eastAsia" w:ascii="宋体_GB2312" w:hAnsi="宋体_GB2312" w:eastAsia="宋体_GB2312"/>
          <w:kern w:val="21"/>
          <w:sz w:val="24"/>
          <w:szCs w:val="24"/>
        </w:rPr>
        <w:t>产品完整：产品表面及零部件不应有机械损伤，紧固件不得松脱；</w:t>
      </w:r>
    </w:p>
    <w:p>
      <w:pPr>
        <w:keepNext w:val="0"/>
        <w:widowControl w:val="0"/>
        <w:autoSpaceDE/>
        <w:autoSpaceDN/>
        <w:spacing w:before="156" w:beforeLines="50" w:line="300" w:lineRule="auto"/>
        <w:ind w:firstLine="480" w:firstLineChars="200"/>
        <w:contextualSpacing w:val="0"/>
        <w:rPr>
          <w:rFonts w:ascii="宋体_GB2312" w:hAnsi="宋体_GB2312" w:eastAsia="宋体_GB2312"/>
          <w:kern w:val="21"/>
          <w:sz w:val="24"/>
        </w:rPr>
      </w:pPr>
      <w:r>
        <w:rPr>
          <w:rFonts w:hint="eastAsia" w:ascii="宋体_GB2312" w:hAnsi="宋体_GB2312" w:eastAsia="宋体_GB2312"/>
          <w:kern w:val="21"/>
          <w:sz w:val="24"/>
        </w:rPr>
        <w:t>（2）</w:t>
      </w:r>
      <w:r>
        <w:rPr>
          <w:rFonts w:hint="eastAsia" w:ascii="宋体_GB2312" w:hAnsi="宋体_GB2312" w:eastAsia="宋体_GB2312"/>
          <w:kern w:val="21"/>
          <w:sz w:val="24"/>
          <w:szCs w:val="24"/>
        </w:rPr>
        <w:t>应符合表</w:t>
      </w:r>
      <w:r>
        <w:rPr>
          <w:rFonts w:ascii="宋体_GB2312" w:hAnsi="宋体_GB2312" w:eastAsia="宋体_GB2312"/>
          <w:kern w:val="21"/>
          <w:sz w:val="24"/>
        </w:rPr>
        <w:t>3</w:t>
      </w:r>
      <w:r>
        <w:rPr>
          <w:rFonts w:hint="eastAsia" w:ascii="宋体_GB2312" w:hAnsi="宋体_GB2312" w:eastAsia="宋体_GB2312"/>
          <w:kern w:val="21"/>
          <w:sz w:val="24"/>
          <w:szCs w:val="24"/>
        </w:rPr>
        <w:t>中的要求。</w:t>
      </w:r>
    </w:p>
    <w:p>
      <w:pPr>
        <w:keepNext w:val="0"/>
        <w:keepLines w:val="0"/>
        <w:numPr>
          <w:ilvl w:val="-1"/>
          <w:numId w:val="0"/>
        </w:numPr>
        <w:spacing w:before="156" w:beforeLines="50" w:line="300" w:lineRule="auto"/>
        <w:ind w:left="0" w:leftChars="0" w:firstLine="480" w:firstLineChars="200"/>
        <w:contextualSpacing w:val="0"/>
        <w:rPr>
          <w:rFonts w:ascii="宋体_GB2312" w:hAnsi="宋体_GB2312" w:eastAsia="宋体_GB2312"/>
          <w:kern w:val="21"/>
          <w:sz w:val="24"/>
          <w:szCs w:val="21"/>
        </w:rPr>
      </w:pPr>
      <w:r>
        <w:rPr>
          <w:rFonts w:hint="eastAsia" w:ascii="宋体_GB2312" w:hAnsi="宋体_GB2312" w:eastAsia="宋体_GB2312"/>
          <w:sz w:val="24"/>
        </w:rPr>
        <w:t>5</w:t>
      </w:r>
      <w:r>
        <w:rPr>
          <w:rFonts w:ascii="宋体_GB2312" w:hAnsi="宋体_GB2312" w:eastAsia="宋体_GB2312"/>
          <w:sz w:val="24"/>
        </w:rPr>
        <w:t>.2.12.5.2</w:t>
      </w:r>
      <w:r>
        <w:rPr>
          <w:rFonts w:hint="eastAsia" w:ascii="宋体_GB2312" w:hAnsi="宋体_GB2312" w:eastAsia="宋体_GB2312"/>
          <w:kern w:val="21"/>
          <w:sz w:val="24"/>
          <w:szCs w:val="21"/>
        </w:rPr>
        <w:t>替代法</w:t>
      </w:r>
    </w:p>
    <w:p>
      <w:pPr>
        <w:keepNext w:val="0"/>
        <w:widowControl w:val="0"/>
        <w:autoSpaceDE/>
        <w:autoSpaceDN/>
        <w:spacing w:before="156" w:beforeLines="50" w:line="300" w:lineRule="auto"/>
        <w:ind w:left="0" w:leftChars="0" w:firstLine="480" w:firstLineChars="200"/>
        <w:contextualSpacing w:val="0"/>
        <w:rPr>
          <w:rFonts w:ascii="宋体_GB2312" w:hAnsi="宋体_GB2312" w:eastAsia="宋体_GB2312"/>
          <w:kern w:val="21"/>
          <w:sz w:val="24"/>
        </w:rPr>
      </w:pPr>
      <w:r>
        <w:rPr>
          <w:rFonts w:hint="eastAsia" w:ascii="宋体_GB2312" w:hAnsi="宋体_GB2312" w:eastAsia="宋体_GB2312"/>
          <w:kern w:val="21"/>
          <w:sz w:val="24"/>
        </w:rPr>
        <w:t>以振动试验替代。试验条件：</w:t>
      </w:r>
    </w:p>
    <w:p>
      <w:pPr>
        <w:keepNext w:val="0"/>
        <w:widowControl w:val="0"/>
        <w:autoSpaceDE/>
        <w:autoSpaceDN/>
        <w:spacing w:before="156" w:beforeLines="50" w:line="300" w:lineRule="auto"/>
        <w:ind w:left="0" w:leftChars="0" w:firstLine="480" w:firstLineChars="200"/>
        <w:contextualSpacing w:val="0"/>
        <w:rPr>
          <w:rFonts w:ascii="宋体_GB2312" w:hAnsi="宋体_GB2312" w:eastAsia="宋体_GB2312"/>
          <w:kern w:val="21"/>
          <w:sz w:val="24"/>
        </w:rPr>
      </w:pPr>
      <w:r>
        <w:rPr>
          <w:rFonts w:hint="eastAsia" w:ascii="宋体_GB2312" w:hAnsi="宋体_GB2312" w:eastAsia="宋体_GB2312"/>
          <w:kern w:val="21"/>
          <w:sz w:val="24"/>
        </w:rPr>
        <w:t>（1）频率范围：10Hz</w:t>
      </w:r>
      <w:r>
        <w:rPr>
          <w:rFonts w:ascii="宋体_GB2312" w:hAnsi="宋体_GB2312" w:eastAsia="宋体_GB2312"/>
          <w:kern w:val="21"/>
          <w:sz w:val="24"/>
          <w:szCs w:val="24"/>
        </w:rPr>
        <w:t>～</w:t>
      </w:r>
      <w:r>
        <w:rPr>
          <w:rFonts w:hint="eastAsia" w:ascii="宋体_GB2312" w:hAnsi="宋体_GB2312" w:eastAsia="宋体_GB2312"/>
          <w:kern w:val="21"/>
          <w:sz w:val="24"/>
        </w:rPr>
        <w:t>55Hz。</w:t>
      </w:r>
    </w:p>
    <w:p>
      <w:pPr>
        <w:keepNext w:val="0"/>
        <w:widowControl w:val="0"/>
        <w:autoSpaceDE/>
        <w:autoSpaceDN/>
        <w:spacing w:before="156" w:beforeLines="50" w:line="300" w:lineRule="auto"/>
        <w:ind w:left="0" w:leftChars="0" w:firstLine="480" w:firstLineChars="200"/>
        <w:contextualSpacing w:val="0"/>
        <w:rPr>
          <w:rFonts w:ascii="宋体_GB2312" w:hAnsi="宋体_GB2312" w:eastAsia="宋体_GB2312"/>
          <w:kern w:val="21"/>
          <w:sz w:val="24"/>
        </w:rPr>
      </w:pPr>
      <w:r>
        <w:rPr>
          <w:rFonts w:hint="eastAsia" w:ascii="宋体_GB2312" w:hAnsi="宋体_GB2312" w:eastAsia="宋体_GB2312"/>
          <w:kern w:val="21"/>
          <w:sz w:val="24"/>
        </w:rPr>
        <w:t>（2）扫频要求：扫频的速率应为每分钟一个倍频程，其容差为±10%。</w:t>
      </w:r>
    </w:p>
    <w:p>
      <w:pPr>
        <w:keepNext w:val="0"/>
        <w:widowControl w:val="0"/>
        <w:autoSpaceDE/>
        <w:autoSpaceDN/>
        <w:spacing w:before="156" w:beforeLines="50" w:line="300" w:lineRule="auto"/>
        <w:ind w:left="0" w:leftChars="0" w:firstLine="480" w:firstLineChars="200"/>
        <w:contextualSpacing w:val="0"/>
        <w:rPr>
          <w:rFonts w:ascii="宋体_GB2312" w:hAnsi="宋体_GB2312" w:eastAsia="宋体_GB2312"/>
          <w:kern w:val="21"/>
          <w:sz w:val="24"/>
        </w:rPr>
      </w:pPr>
      <w:r>
        <w:rPr>
          <w:rFonts w:hint="eastAsia" w:ascii="宋体_GB2312" w:hAnsi="宋体_GB2312" w:eastAsia="宋体_GB2312"/>
          <w:kern w:val="21"/>
          <w:sz w:val="24"/>
        </w:rPr>
        <w:t>（3）振幅：0.75mm。</w:t>
      </w:r>
    </w:p>
    <w:p>
      <w:pPr>
        <w:keepNext w:val="0"/>
        <w:widowControl w:val="0"/>
        <w:autoSpaceDE/>
        <w:autoSpaceDN/>
        <w:spacing w:before="156" w:beforeLines="50" w:line="300" w:lineRule="auto"/>
        <w:ind w:left="0" w:leftChars="0" w:firstLine="480" w:firstLineChars="200"/>
        <w:contextualSpacing w:val="0"/>
        <w:rPr>
          <w:rFonts w:ascii="宋体_GB2312" w:hAnsi="宋体_GB2312" w:eastAsia="宋体_GB2312"/>
          <w:kern w:val="21"/>
          <w:sz w:val="24"/>
        </w:rPr>
      </w:pPr>
      <w:r>
        <w:rPr>
          <w:rFonts w:hint="eastAsia" w:ascii="宋体_GB2312" w:hAnsi="宋体_GB2312" w:eastAsia="宋体_GB2312"/>
          <w:kern w:val="21"/>
          <w:sz w:val="24"/>
        </w:rPr>
        <w:t>（4）每一方向持续时间：30min。</w:t>
      </w:r>
    </w:p>
    <w:p>
      <w:pPr>
        <w:keepNext w:val="0"/>
        <w:widowControl w:val="0"/>
        <w:autoSpaceDE/>
        <w:autoSpaceDN/>
        <w:spacing w:before="156" w:beforeLines="50" w:line="300" w:lineRule="auto"/>
        <w:ind w:left="0" w:leftChars="0" w:firstLine="480" w:firstLineChars="200"/>
        <w:contextualSpacing w:val="0"/>
        <w:rPr>
          <w:rFonts w:ascii="宋体_GB2312" w:hAnsi="宋体_GB2312" w:eastAsia="宋体_GB2312"/>
          <w:kern w:val="21"/>
          <w:sz w:val="24"/>
        </w:rPr>
      </w:pPr>
      <w:r>
        <w:rPr>
          <w:rFonts w:hint="eastAsia" w:ascii="宋体_GB2312" w:hAnsi="宋体_GB2312" w:eastAsia="宋体_GB2312"/>
          <w:kern w:val="21"/>
          <w:sz w:val="24"/>
        </w:rPr>
        <w:t>（5）试验程序：将试样（含光纤终接装置、光纤存储装置、光纤连接器）固定在振动台上，并应在两个垂直方向上承受振动，方向之一与连接器公共轴线方向平行。</w:t>
      </w:r>
    </w:p>
    <w:p>
      <w:pPr>
        <w:keepNext w:val="0"/>
        <w:keepLines w:val="0"/>
        <w:numPr>
          <w:ilvl w:val="-1"/>
          <w:numId w:val="0"/>
        </w:numPr>
        <w:spacing w:before="156" w:beforeLines="50" w:line="300" w:lineRule="auto"/>
        <w:ind w:left="0" w:leftChars="0" w:firstLine="480" w:firstLineChars="200"/>
        <w:contextualSpacing w:val="0"/>
        <w:rPr>
          <w:rFonts w:ascii="宋体_GB2312" w:hAnsi="宋体_GB2312" w:eastAsia="宋体_GB2312"/>
          <w:kern w:val="21"/>
          <w:sz w:val="24"/>
          <w:szCs w:val="21"/>
        </w:rPr>
      </w:pPr>
      <w:r>
        <w:rPr>
          <w:rFonts w:hint="eastAsia" w:ascii="宋体_GB2312" w:hAnsi="宋体_GB2312" w:eastAsia="宋体_GB2312"/>
          <w:sz w:val="24"/>
        </w:rPr>
        <w:t>5</w:t>
      </w:r>
      <w:r>
        <w:rPr>
          <w:rFonts w:ascii="宋体_GB2312" w:hAnsi="宋体_GB2312" w:eastAsia="宋体_GB2312"/>
          <w:sz w:val="24"/>
        </w:rPr>
        <w:t>.2.12.5.3</w:t>
      </w:r>
      <w:r>
        <w:rPr>
          <w:rFonts w:hint="eastAsia" w:ascii="宋体_GB2312" w:hAnsi="宋体_GB2312" w:eastAsia="宋体_GB2312"/>
          <w:kern w:val="21"/>
          <w:sz w:val="24"/>
          <w:szCs w:val="21"/>
        </w:rPr>
        <w:t>基准法</w:t>
      </w:r>
    </w:p>
    <w:p>
      <w:pPr>
        <w:spacing w:before="156" w:beforeLines="50" w:line="300" w:lineRule="auto"/>
        <w:ind w:firstLine="480" w:firstLineChars="200"/>
        <w:rPr>
          <w:rFonts w:ascii="宋体_GB2312" w:hAnsi="宋体_GB2312" w:eastAsia="宋体_GB2312"/>
          <w:kern w:val="21"/>
          <w:sz w:val="24"/>
        </w:rPr>
      </w:pPr>
      <w:r>
        <w:rPr>
          <w:rFonts w:hint="eastAsia" w:ascii="宋体_GB2312" w:hAnsi="宋体_GB2312" w:eastAsia="宋体_GB2312"/>
          <w:kern w:val="21"/>
          <w:sz w:val="24"/>
        </w:rPr>
        <w:t>按GB/T</w:t>
      </w:r>
      <w:r>
        <w:rPr>
          <w:rFonts w:ascii="宋体_GB2312" w:hAnsi="宋体_GB2312" w:eastAsia="宋体_GB2312"/>
          <w:kern w:val="21"/>
          <w:sz w:val="24"/>
        </w:rPr>
        <w:t xml:space="preserve"> </w:t>
      </w:r>
      <w:r>
        <w:rPr>
          <w:rFonts w:hint="eastAsia" w:ascii="宋体_GB2312" w:hAnsi="宋体_GB2312" w:eastAsia="宋体_GB2312"/>
          <w:kern w:val="21"/>
          <w:sz w:val="24"/>
        </w:rPr>
        <w:t>3873中“A.10公路运输”的试验要求进行。</w:t>
      </w:r>
    </w:p>
    <w:p>
      <w:pPr>
        <w:pStyle w:val="42"/>
        <w:spacing w:before="156" w:beforeLines="50" w:line="560" w:lineRule="exact"/>
        <w:ind w:firstLine="480" w:firstLineChars="200"/>
        <w:rPr>
          <w:rFonts w:ascii="宋体_GB2312" w:hAnsi="宋体_GB2312" w:eastAsia="宋体_GB2312"/>
          <w:sz w:val="24"/>
        </w:rPr>
      </w:pPr>
      <w:r>
        <w:rPr>
          <w:rFonts w:hint="eastAsia" w:ascii="宋体_GB2312" w:hAnsi="宋体_GB2312" w:eastAsia="宋体_GB2312"/>
          <w:sz w:val="24"/>
          <w:szCs w:val="24"/>
        </w:rPr>
        <w:t>5</w:t>
      </w:r>
      <w:r>
        <w:rPr>
          <w:rFonts w:ascii="宋体_GB2312" w:hAnsi="宋体_GB2312" w:eastAsia="宋体_GB2312"/>
          <w:sz w:val="24"/>
          <w:szCs w:val="24"/>
        </w:rPr>
        <w:t>.2.1</w:t>
      </w:r>
      <w:r>
        <w:rPr>
          <w:rFonts w:ascii="宋体_GB2312" w:hAnsi="宋体_GB2312" w:eastAsia="宋体_GB2312"/>
          <w:sz w:val="24"/>
        </w:rPr>
        <w:t>3</w:t>
      </w:r>
      <w:r>
        <w:rPr>
          <w:rFonts w:hint="eastAsia" w:ascii="宋体_GB2312" w:hAnsi="宋体_GB2312" w:eastAsia="宋体_GB2312"/>
          <w:sz w:val="24"/>
        </w:rPr>
        <w:t xml:space="preserve">限用物质含量试验   </w:t>
      </w:r>
    </w:p>
    <w:p>
      <w:pPr>
        <w:spacing w:before="156" w:beforeLines="50" w:line="300" w:lineRule="auto"/>
        <w:ind w:firstLine="480" w:firstLineChars="200"/>
        <w:rPr>
          <w:rFonts w:ascii="宋体_GB2312" w:hAnsi="宋体_GB2312" w:eastAsia="宋体_GB2312"/>
          <w:kern w:val="21"/>
          <w:sz w:val="24"/>
        </w:rPr>
      </w:pPr>
      <w:r>
        <w:rPr>
          <w:rFonts w:hint="eastAsia" w:ascii="宋体_GB2312" w:hAnsi="宋体_GB2312" w:eastAsia="宋体_GB2312"/>
          <w:kern w:val="21"/>
          <w:sz w:val="24"/>
        </w:rPr>
        <w:t>限用物质含量的试验方法按</w:t>
      </w:r>
      <w:r>
        <w:rPr>
          <w:rFonts w:ascii="宋体_GB2312" w:hAnsi="宋体_GB2312" w:eastAsia="宋体_GB2312"/>
          <w:kern w:val="21"/>
          <w:sz w:val="24"/>
        </w:rPr>
        <w:t>GB/T 26125-2011</w:t>
      </w:r>
      <w:r>
        <w:rPr>
          <w:rFonts w:hint="eastAsia" w:ascii="宋体_GB2312" w:hAnsi="宋体_GB2312" w:eastAsia="宋体_GB2312"/>
          <w:kern w:val="21"/>
          <w:sz w:val="24"/>
        </w:rPr>
        <w:t>《</w:t>
      </w:r>
      <w:r>
        <w:rPr>
          <w:rFonts w:hint="eastAsia" w:ascii="宋体_GB2312" w:hAnsi="宋体_GB2312" w:eastAsia="宋体_GB2312"/>
          <w:color w:val="606266"/>
          <w:kern w:val="21"/>
          <w:sz w:val="24"/>
          <w:szCs w:val="24"/>
          <w:shd w:val="clear" w:color="auto" w:fill="auto"/>
        </w:rPr>
        <w:t>电子电气产品</w:t>
      </w:r>
      <w:r>
        <w:rPr>
          <w:rFonts w:ascii="宋体_GB2312" w:hAnsi="宋体_GB2312" w:eastAsia="宋体_GB2312"/>
          <w:color w:val="606266"/>
          <w:kern w:val="21"/>
          <w:sz w:val="24"/>
          <w:szCs w:val="24"/>
          <w:shd w:val="clear" w:color="auto" w:fill="auto"/>
        </w:rPr>
        <w:t xml:space="preserve"> </w:t>
      </w:r>
      <w:r>
        <w:rPr>
          <w:rFonts w:hint="eastAsia" w:ascii="宋体_GB2312" w:hAnsi="宋体_GB2312" w:eastAsia="宋体_GB2312"/>
          <w:color w:val="606266"/>
          <w:kern w:val="21"/>
          <w:sz w:val="24"/>
          <w:szCs w:val="24"/>
          <w:shd w:val="clear" w:color="auto" w:fill="auto"/>
        </w:rPr>
        <w:t>六种限用物质（铅、汞、镉、六价铬、多溴联苯和多溴二苯醚）的测定</w:t>
      </w:r>
      <w:r>
        <w:rPr>
          <w:rFonts w:hint="eastAsia" w:ascii="宋体_GB2312" w:hAnsi="宋体_GB2312" w:eastAsia="宋体_GB2312"/>
          <w:kern w:val="21"/>
          <w:sz w:val="24"/>
        </w:rPr>
        <w:t>》的规定进行。</w:t>
      </w:r>
    </w:p>
    <w:bookmarkEnd w:id="110"/>
    <w:bookmarkEnd w:id="115"/>
    <w:p>
      <w:pPr>
        <w:pStyle w:val="2"/>
        <w:adjustRightInd w:val="0"/>
        <w:spacing w:before="0" w:after="0" w:line="276" w:lineRule="auto"/>
        <w:textAlignment w:val="baseline"/>
        <w:rPr>
          <w:rFonts w:ascii="宋体_GB2312" w:hAnsi="宋体_GB2312" w:eastAsia="宋体_GB2312"/>
          <w:sz w:val="24"/>
          <w:szCs w:val="24"/>
          <w:lang w:val="en-US"/>
        </w:rPr>
      </w:pPr>
      <w:bookmarkStart w:id="197" w:name="_Toc17188"/>
      <w:bookmarkStart w:id="198" w:name="_Toc362879589"/>
      <w:bookmarkStart w:id="199" w:name="_Toc362878592"/>
      <w:bookmarkStart w:id="200" w:name="_Toc27401457"/>
      <w:bookmarkStart w:id="201" w:name="_Toc15263"/>
      <w:bookmarkStart w:id="202" w:name="_Toc8004"/>
      <w:r>
        <w:rPr>
          <w:rFonts w:hint="eastAsia" w:ascii="宋体_GB2312" w:hAnsi="宋体_GB2312" w:eastAsia="宋体_GB2312"/>
          <w:sz w:val="24"/>
          <w:szCs w:val="24"/>
          <w:lang w:val="en-US"/>
        </w:rPr>
        <w:t>6包装、运输和贮存</w:t>
      </w:r>
      <w:bookmarkEnd w:id="197"/>
      <w:bookmarkEnd w:id="198"/>
      <w:bookmarkEnd w:id="199"/>
      <w:bookmarkEnd w:id="200"/>
      <w:bookmarkEnd w:id="201"/>
      <w:bookmarkEnd w:id="202"/>
    </w:p>
    <w:p>
      <w:pPr>
        <w:pStyle w:val="2"/>
        <w:adjustRightInd w:val="0"/>
        <w:spacing w:before="0" w:after="0" w:line="276" w:lineRule="auto"/>
        <w:textAlignment w:val="baseline"/>
        <w:rPr>
          <w:rFonts w:ascii="宋体_GB2312" w:hAnsi="宋体_GB2312" w:eastAsia="宋体_GB2312"/>
          <w:sz w:val="24"/>
          <w:szCs w:val="24"/>
          <w:lang w:val="en-US"/>
        </w:rPr>
      </w:pPr>
      <w:bookmarkStart w:id="203" w:name="_Toc362878593"/>
      <w:bookmarkStart w:id="204" w:name="_Toc27401458"/>
      <w:bookmarkStart w:id="205" w:name="_Toc362879590"/>
      <w:bookmarkStart w:id="206" w:name="_Toc513"/>
      <w:bookmarkStart w:id="207" w:name="_Toc194038110"/>
      <w:bookmarkStart w:id="208" w:name="_Toc12173"/>
      <w:bookmarkStart w:id="209" w:name="_Toc3042"/>
      <w:r>
        <w:rPr>
          <w:rFonts w:hint="eastAsia" w:ascii="宋体_GB2312" w:hAnsi="宋体_GB2312" w:eastAsia="宋体_GB2312"/>
          <w:sz w:val="24"/>
          <w:szCs w:val="24"/>
          <w:lang w:val="en-US"/>
        </w:rPr>
        <w:t>6.1 包装</w:t>
      </w:r>
      <w:bookmarkEnd w:id="203"/>
      <w:bookmarkEnd w:id="204"/>
      <w:bookmarkEnd w:id="205"/>
      <w:bookmarkEnd w:id="206"/>
      <w:bookmarkEnd w:id="207"/>
      <w:bookmarkEnd w:id="208"/>
      <w:bookmarkEnd w:id="209"/>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OCC应包装出厂，包装要求及包装箱面标志应符合GB/T 3873中的规定。应无污染、节能、绿色环保。包装箱内除产品外，还应装入以下物品和有关文件，文件可用塑料袋或纸袋封装：</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（1）备附件及专用工具；</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（2）产品使用说明书；</w:t>
      </w:r>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（3）产品合格证；</w:t>
      </w:r>
    </w:p>
    <w:p>
      <w:pPr>
        <w:spacing w:before="156" w:beforeLines="50" w:line="300" w:lineRule="auto"/>
        <w:ind w:firstLine="480" w:firstLineChars="200"/>
        <w:rPr>
          <w:rFonts w:ascii="宋体_GB2312" w:hAnsi="宋体_GB2312" w:eastAsia="宋体_GB2312"/>
          <w:kern w:val="0"/>
          <w:sz w:val="24"/>
        </w:rPr>
      </w:pPr>
      <w:r>
        <w:rPr>
          <w:rFonts w:hint="eastAsia" w:ascii="宋体_GB2312" w:hAnsi="宋体_GB2312" w:eastAsia="宋体_GB2312"/>
          <w:sz w:val="24"/>
        </w:rPr>
        <w:t>（4）装箱清单。</w:t>
      </w:r>
    </w:p>
    <w:p>
      <w:pPr>
        <w:pStyle w:val="2"/>
        <w:adjustRightInd w:val="0"/>
        <w:spacing w:before="0" w:after="0" w:line="276" w:lineRule="auto"/>
        <w:textAlignment w:val="baseline"/>
        <w:rPr>
          <w:rFonts w:ascii="宋体_GB2312" w:hAnsi="宋体_GB2312" w:eastAsia="宋体_GB2312"/>
          <w:sz w:val="24"/>
          <w:szCs w:val="24"/>
          <w:lang w:val="en-US"/>
        </w:rPr>
      </w:pPr>
      <w:bookmarkStart w:id="210" w:name="_Toc27401459"/>
      <w:bookmarkStart w:id="211" w:name="_Toc194038111"/>
      <w:bookmarkStart w:id="212" w:name="_Toc362878594"/>
      <w:bookmarkStart w:id="213" w:name="_Toc16503"/>
      <w:bookmarkStart w:id="214" w:name="_Toc362879591"/>
      <w:bookmarkStart w:id="215" w:name="_Toc4660"/>
      <w:bookmarkStart w:id="216" w:name="_Toc18839"/>
      <w:r>
        <w:rPr>
          <w:rFonts w:hint="eastAsia" w:ascii="宋体_GB2312" w:hAnsi="宋体_GB2312" w:eastAsia="宋体_GB2312"/>
          <w:sz w:val="24"/>
          <w:szCs w:val="24"/>
          <w:lang w:val="en-US"/>
        </w:rPr>
        <w:t>6.2 运输</w:t>
      </w:r>
      <w:bookmarkEnd w:id="210"/>
      <w:bookmarkEnd w:id="211"/>
      <w:bookmarkEnd w:id="212"/>
      <w:bookmarkEnd w:id="213"/>
      <w:bookmarkEnd w:id="214"/>
      <w:bookmarkEnd w:id="215"/>
      <w:bookmarkEnd w:id="216"/>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OCC包装后，可用汽车、火车、轮船、飞机等运输，在运输中应避免碰撞、跌落、雨雪的直接淋袭和日光暴晒。</w:t>
      </w:r>
    </w:p>
    <w:p>
      <w:pPr>
        <w:pStyle w:val="2"/>
        <w:adjustRightInd w:val="0"/>
        <w:spacing w:before="0" w:after="0" w:line="276" w:lineRule="auto"/>
        <w:textAlignment w:val="baseline"/>
        <w:rPr>
          <w:rFonts w:ascii="宋体_GB2312" w:hAnsi="宋体_GB2312" w:eastAsia="宋体_GB2312"/>
          <w:sz w:val="24"/>
          <w:szCs w:val="24"/>
          <w:lang w:val="en-US"/>
        </w:rPr>
      </w:pPr>
      <w:bookmarkStart w:id="217" w:name="_Toc362878595"/>
      <w:bookmarkStart w:id="218" w:name="_Toc362879592"/>
      <w:bookmarkStart w:id="219" w:name="_Toc25138"/>
      <w:bookmarkStart w:id="220" w:name="_Toc27401460"/>
      <w:bookmarkStart w:id="221" w:name="_Toc194038112"/>
      <w:bookmarkStart w:id="222" w:name="_Toc10691"/>
      <w:bookmarkStart w:id="223" w:name="_Toc17151"/>
      <w:r>
        <w:rPr>
          <w:rFonts w:hint="eastAsia" w:ascii="宋体_GB2312" w:hAnsi="宋体_GB2312" w:eastAsia="宋体_GB2312"/>
          <w:sz w:val="24"/>
          <w:szCs w:val="24"/>
          <w:lang w:val="en-US"/>
        </w:rPr>
        <w:t>6.3 贮存</w:t>
      </w:r>
      <w:bookmarkEnd w:id="217"/>
      <w:bookmarkEnd w:id="218"/>
      <w:bookmarkEnd w:id="219"/>
      <w:bookmarkEnd w:id="220"/>
      <w:bookmarkEnd w:id="221"/>
      <w:bookmarkEnd w:id="222"/>
      <w:bookmarkEnd w:id="223"/>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OCC应贮存在通风良好、干燥的仓库中，其周围不应有腐蚀性气体存在，贮存温度为-25℃～+55℃。</w:t>
      </w:r>
    </w:p>
    <w:p>
      <w:pPr>
        <w:pStyle w:val="2"/>
        <w:adjustRightInd w:val="0"/>
        <w:spacing w:before="0" w:after="0" w:line="276" w:lineRule="auto"/>
        <w:textAlignment w:val="baseline"/>
        <w:rPr>
          <w:rFonts w:ascii="宋体_GB2312" w:hAnsi="宋体_GB2312" w:eastAsia="宋体_GB2312"/>
          <w:sz w:val="24"/>
          <w:szCs w:val="24"/>
          <w:lang w:val="en-US"/>
        </w:rPr>
      </w:pPr>
      <w:bookmarkStart w:id="224" w:name="_Toc16123"/>
      <w:bookmarkStart w:id="225" w:name="_Toc27401461"/>
      <w:bookmarkStart w:id="226" w:name="_Toc28636"/>
      <w:bookmarkStart w:id="227" w:name="_Toc18335"/>
      <w:bookmarkStart w:id="228" w:name="_Hlk532890540"/>
      <w:r>
        <w:rPr>
          <w:rFonts w:hint="eastAsia" w:ascii="宋体_GB2312" w:hAnsi="宋体_GB2312" w:eastAsia="宋体_GB2312"/>
          <w:sz w:val="24"/>
          <w:szCs w:val="24"/>
          <w:lang w:val="en-US"/>
        </w:rPr>
        <w:t>7其它技术指标和性能</w:t>
      </w:r>
      <w:bookmarkEnd w:id="224"/>
      <w:bookmarkEnd w:id="225"/>
      <w:bookmarkEnd w:id="226"/>
      <w:bookmarkEnd w:id="227"/>
    </w:p>
    <w:p>
      <w:pPr>
        <w:spacing w:before="156" w:beforeLines="50" w:line="300" w:lineRule="auto"/>
        <w:ind w:firstLine="480" w:firstLineChars="200"/>
        <w:rPr>
          <w:rFonts w:ascii="宋体_GB2312" w:hAnsi="宋体_GB2312" w:eastAsia="宋体_GB2312"/>
          <w:sz w:val="24"/>
        </w:rPr>
      </w:pPr>
      <w:r>
        <w:rPr>
          <w:rFonts w:hint="eastAsia" w:ascii="宋体_GB2312" w:hAnsi="宋体_GB2312" w:eastAsia="宋体_GB2312"/>
          <w:sz w:val="24"/>
        </w:rPr>
        <w:t>本</w:t>
      </w:r>
      <w:r>
        <w:rPr>
          <w:rFonts w:ascii="宋体_GB2312" w:hAnsi="宋体_GB2312" w:eastAsia="宋体_GB2312"/>
          <w:sz w:val="24"/>
        </w:rPr>
        <w:t>技术规范书中</w:t>
      </w:r>
      <w:r>
        <w:rPr>
          <w:rFonts w:hint="eastAsia" w:ascii="宋体_GB2312" w:hAnsi="宋体_GB2312" w:eastAsia="宋体_GB2312"/>
          <w:sz w:val="24"/>
        </w:rPr>
        <w:t>未</w:t>
      </w:r>
      <w:r>
        <w:rPr>
          <w:rFonts w:ascii="宋体_GB2312" w:hAnsi="宋体_GB2312" w:eastAsia="宋体_GB2312"/>
          <w:sz w:val="24"/>
        </w:rPr>
        <w:t>规定的</w:t>
      </w:r>
      <w:r>
        <w:rPr>
          <w:rFonts w:hint="eastAsia" w:ascii="宋体_GB2312" w:hAnsi="宋体_GB2312" w:eastAsia="宋体_GB2312"/>
          <w:sz w:val="24"/>
        </w:rPr>
        <w:t>其它</w:t>
      </w:r>
      <w:r>
        <w:rPr>
          <w:rFonts w:ascii="宋体_GB2312" w:hAnsi="宋体_GB2312" w:eastAsia="宋体_GB2312"/>
          <w:sz w:val="24"/>
        </w:rPr>
        <w:t>技术指标</w:t>
      </w:r>
      <w:r>
        <w:rPr>
          <w:rFonts w:hint="eastAsia" w:ascii="宋体_GB2312" w:hAnsi="宋体_GB2312" w:eastAsia="宋体_GB2312"/>
          <w:sz w:val="24"/>
        </w:rPr>
        <w:t>和性能</w:t>
      </w:r>
      <w:r>
        <w:rPr>
          <w:rFonts w:ascii="宋体_GB2312" w:hAnsi="宋体_GB2312" w:eastAsia="宋体_GB2312"/>
          <w:sz w:val="24"/>
        </w:rPr>
        <w:t>，应满足</w:t>
      </w:r>
      <w:r>
        <w:rPr>
          <w:rFonts w:hint="eastAsia" w:ascii="宋体_GB2312" w:hAnsi="宋体_GB2312" w:eastAsia="宋体_GB2312"/>
          <w:sz w:val="24"/>
        </w:rPr>
        <w:t>YD</w:t>
      </w:r>
      <w:r>
        <w:rPr>
          <w:rFonts w:ascii="宋体_GB2312" w:hAnsi="宋体_GB2312" w:eastAsia="宋体_GB2312"/>
          <w:sz w:val="24"/>
        </w:rPr>
        <w:t>/</w:t>
      </w:r>
      <w:r>
        <w:rPr>
          <w:rFonts w:hint="eastAsia" w:ascii="宋体_GB2312" w:hAnsi="宋体_GB2312" w:eastAsia="宋体_GB2312"/>
          <w:sz w:val="24"/>
        </w:rPr>
        <w:t>T 988-2015《 通信光缆交接箱》、</w:t>
      </w:r>
      <w:r>
        <w:rPr>
          <w:rFonts w:ascii="宋体_GB2312" w:hAnsi="宋体_GB2312" w:eastAsia="宋体_GB2312"/>
          <w:sz w:val="24"/>
        </w:rPr>
        <w:t xml:space="preserve">YD/T 1272.3-2015《光纤活动连接器 </w:t>
      </w:r>
      <w:r>
        <w:rPr>
          <w:rFonts w:hint="eastAsia" w:ascii="宋体_GB2312" w:hAnsi="宋体_GB2312" w:eastAsia="宋体_GB2312"/>
          <w:sz w:val="24"/>
        </w:rPr>
        <w:t>第</w:t>
      </w:r>
      <w:r>
        <w:rPr>
          <w:rFonts w:ascii="宋体_GB2312" w:hAnsi="宋体_GB2312" w:eastAsia="宋体_GB2312"/>
          <w:sz w:val="24"/>
        </w:rPr>
        <w:t>3</w:t>
      </w:r>
      <w:r>
        <w:rPr>
          <w:rFonts w:hint="eastAsia" w:ascii="宋体_GB2312" w:hAnsi="宋体_GB2312" w:eastAsia="宋体_GB2312"/>
          <w:sz w:val="24"/>
        </w:rPr>
        <w:t>部分：</w:t>
      </w:r>
      <w:r>
        <w:rPr>
          <w:rFonts w:ascii="宋体_GB2312" w:hAnsi="宋体_GB2312" w:eastAsia="宋体_GB2312"/>
          <w:sz w:val="24"/>
        </w:rPr>
        <w:t xml:space="preserve"> SC型》、YD/T 1272.4-2018《光纤活动连接器 </w:t>
      </w:r>
      <w:r>
        <w:rPr>
          <w:rFonts w:hint="eastAsia" w:ascii="宋体_GB2312" w:hAnsi="宋体_GB2312" w:eastAsia="宋体_GB2312"/>
          <w:sz w:val="24"/>
        </w:rPr>
        <w:t>第</w:t>
      </w:r>
      <w:r>
        <w:rPr>
          <w:rFonts w:ascii="宋体_GB2312" w:hAnsi="宋体_GB2312" w:eastAsia="宋体_GB2312"/>
          <w:sz w:val="24"/>
        </w:rPr>
        <w:t>4</w:t>
      </w:r>
      <w:r>
        <w:rPr>
          <w:rFonts w:hint="eastAsia" w:ascii="宋体_GB2312" w:hAnsi="宋体_GB2312" w:eastAsia="宋体_GB2312"/>
          <w:sz w:val="24"/>
        </w:rPr>
        <w:t>部分：</w:t>
      </w:r>
      <w:r>
        <w:rPr>
          <w:rFonts w:ascii="宋体_GB2312" w:hAnsi="宋体_GB2312" w:eastAsia="宋体_GB2312"/>
          <w:sz w:val="24"/>
        </w:rPr>
        <w:t xml:space="preserve"> FC型》</w:t>
      </w:r>
      <w:r>
        <w:rPr>
          <w:rFonts w:hint="eastAsia" w:ascii="宋体_GB2312" w:hAnsi="宋体_GB2312" w:eastAsia="宋体_GB2312"/>
          <w:sz w:val="24"/>
        </w:rPr>
        <w:t>等规范</w:t>
      </w:r>
      <w:r>
        <w:rPr>
          <w:rFonts w:ascii="宋体_GB2312" w:hAnsi="宋体_GB2312" w:eastAsia="宋体_GB2312"/>
          <w:sz w:val="24"/>
        </w:rPr>
        <w:t>中的</w:t>
      </w:r>
      <w:r>
        <w:rPr>
          <w:rFonts w:hint="eastAsia" w:ascii="宋体_GB2312" w:hAnsi="宋体_GB2312" w:eastAsia="宋体_GB2312"/>
          <w:sz w:val="24"/>
        </w:rPr>
        <w:t>规定</w:t>
      </w:r>
      <w:r>
        <w:rPr>
          <w:rFonts w:ascii="宋体_GB2312" w:hAnsi="宋体_GB2312" w:eastAsia="宋体_GB2312"/>
          <w:sz w:val="24"/>
        </w:rPr>
        <w:t>要求</w:t>
      </w:r>
      <w:r>
        <w:rPr>
          <w:rFonts w:hint="eastAsia" w:ascii="宋体_GB2312" w:hAnsi="宋体_GB2312" w:eastAsia="宋体_GB2312"/>
          <w:sz w:val="24"/>
        </w:rPr>
        <w:t>。</w:t>
      </w:r>
      <w:bookmarkEnd w:id="228"/>
    </w:p>
    <w:sectPr>
      <w:headerReference r:id="rId9" w:type="default"/>
      <w:footerReference r:id="rId11" w:type="default"/>
      <w:headerReference r:id="rId10" w:type="even"/>
      <w:pgSz w:w="11906" w:h="16838"/>
      <w:pgMar w:top="1134" w:right="1134" w:bottom="1134" w:left="1474" w:header="737" w:footer="737"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2"/>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楷体_GB2312">
    <w:altName w:val="楷体"/>
    <w:panose1 w:val="00000000000000000000"/>
    <w:charset w:val="86"/>
    <w:family w:val="modern"/>
    <w:pitch w:val="default"/>
    <w:sig w:usb0="00000000" w:usb1="00000000" w:usb2="00000010" w:usb3="00000000" w:csb0="00040000" w:csb1="00000000"/>
  </w:font>
  <w:font w:name="宋体_GB2312">
    <w:panose1 w:val="02010600030101010101"/>
    <w:charset w:val="86"/>
    <w:family w:val="auto"/>
    <w:pitch w:val="default"/>
    <w:sig w:usb0="800002BF" w:usb1="28CF7CFA" w:usb2="00000016" w:usb3="00000000" w:csb0="6016019D" w:csb1="D3F70000"/>
  </w:font>
  <w:font w:name="Source Sans Pro">
    <w:altName w:val="Segoe Print"/>
    <w:panose1 w:val="00000000000000000000"/>
    <w:charset w:val="00"/>
    <w:family w:val="swiss"/>
    <w:pitch w:val="default"/>
    <w:sig w:usb0="00000000" w:usb1="00000000" w:usb2="00000000" w:usb3="00000000" w:csb0="0000019F" w:csb1="00000000"/>
  </w:font>
  <w:font w:name="微软雅黑">
    <w:panose1 w:val="020B0503020204020204"/>
    <w:charset w:val="86"/>
    <w:family w:val="auto"/>
    <w:pitch w:val="default"/>
    <w:sig w:usb0="80000287" w:usb1="28CF3C52" w:usb2="00000016" w:usb3="00000000" w:csb0="0004001F"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top w:val="none" w:color="auto" w:sz="0" w:space="0"/>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top w:val="none" w:color="auto" w:sz="0" w:space="0"/>
      </w:pBdr>
      <w:jc w:val="center"/>
    </w:pPr>
    <w:r>
      <w:fldChar w:fldCharType="begin"/>
    </w:r>
    <w:r>
      <w:instrText xml:space="preserve">PAGE   \* MERGEFORMAT</w:instrText>
    </w:r>
    <w:r>
      <w:fldChar w:fldCharType="separate"/>
    </w:r>
    <w:r>
      <w:t>i</w:t>
    </w:r>
    <w:r>
      <w:fldChar w:fldCharType="end"/>
    </w:r>
  </w:p>
  <w:p>
    <w:pPr>
      <w:pStyle w:val="18"/>
      <w:pBdr>
        <w:top w:val="none" w:color="auto" w:sz="0" w:space="0"/>
      </w:pBdr>
      <w:tabs>
        <w:tab w:val="left" w:pos="5160"/>
        <w:tab w:val="clear" w:pos="4153"/>
        <w:tab w:val="clear" w:pos="8306"/>
      </w:tabs>
    </w:pP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top w:val="none" w:color="auto" w:sz="0" w:space="0"/>
      </w:pBdr>
      <w:jc w:val="center"/>
      <w:rPr>
        <w:sz w:val="21"/>
        <w:szCs w:val="21"/>
      </w:rPr>
    </w:pPr>
    <w:r>
      <w:rPr>
        <w:rStyle w:val="30"/>
        <w:sz w:val="21"/>
        <w:szCs w:val="21"/>
      </w:rPr>
      <w:fldChar w:fldCharType="begin"/>
    </w:r>
    <w:r>
      <w:rPr>
        <w:rStyle w:val="30"/>
        <w:sz w:val="21"/>
        <w:szCs w:val="21"/>
      </w:rPr>
      <w:instrText xml:space="preserve"> PAGE </w:instrText>
    </w:r>
    <w:r>
      <w:rPr>
        <w:rStyle w:val="30"/>
        <w:sz w:val="21"/>
        <w:szCs w:val="21"/>
      </w:rPr>
      <w:fldChar w:fldCharType="separate"/>
    </w:r>
    <w:r>
      <w:rPr>
        <w:rStyle w:val="30"/>
        <w:sz w:val="21"/>
        <w:szCs w:val="21"/>
      </w:rPr>
      <w:t>ii</w:t>
    </w:r>
    <w:r>
      <w:rPr>
        <w:rStyle w:val="30"/>
        <w:sz w:val="21"/>
        <w:szCs w:val="21"/>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jc w:val="center"/>
      <w:rPr>
        <w:sz w:val="21"/>
        <w:szCs w:val="21"/>
      </w:rPr>
    </w:pPr>
    <w:r>
      <w:rPr>
        <w:rStyle w:val="30"/>
        <w:sz w:val="21"/>
        <w:szCs w:val="21"/>
      </w:rPr>
      <w:fldChar w:fldCharType="begin"/>
    </w:r>
    <w:r>
      <w:rPr>
        <w:rStyle w:val="30"/>
        <w:sz w:val="21"/>
        <w:szCs w:val="21"/>
      </w:rPr>
      <w:instrText xml:space="preserve"> PAGE </w:instrText>
    </w:r>
    <w:r>
      <w:rPr>
        <w:rStyle w:val="30"/>
        <w:sz w:val="21"/>
        <w:szCs w:val="21"/>
      </w:rPr>
      <w:fldChar w:fldCharType="separate"/>
    </w:r>
    <w:r>
      <w:rPr>
        <w:rStyle w:val="30"/>
        <w:sz w:val="21"/>
        <w:szCs w:val="21"/>
      </w:rPr>
      <w:t>2</w:t>
    </w:r>
    <w:r>
      <w:rPr>
        <w:rStyle w:val="30"/>
        <w:sz w:val="21"/>
        <w:szCs w:val="21"/>
      </w:rP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jc w:val="right"/>
      <w:rPr>
        <w:rFonts w:hint="eastAsia" w:ascii="宋体" w:hAnsi="宋体"/>
      </w:rPr>
    </w:pPr>
    <w:r>
      <w:rPr>
        <w:rFonts w:hint="eastAsia" w:ascii="宋体" w:hAnsi="宋体"/>
      </w:rPr>
      <w:t xml:space="preserve">                                            </w:t>
    </w:r>
    <w:r>
      <w:rPr>
        <w:rFonts w:hint="eastAsia"/>
      </w:rPr>
      <w:t>中国联通传统光缆交接箱技术规范书（2020版）</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A37812"/>
    <w:multiLevelType w:val="multilevel"/>
    <w:tmpl w:val="1EA37812"/>
    <w:lvl w:ilvl="0" w:tentative="0">
      <w:start w:val="1"/>
      <w:numFmt w:val="decimal"/>
      <w:lvlText w:val="2.3.%1"/>
      <w:lvlJc w:val="left"/>
      <w:pPr>
        <w:ind w:left="630" w:hanging="4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2ECD35C5"/>
    <w:multiLevelType w:val="multilevel"/>
    <w:tmpl w:val="2ECD35C5"/>
    <w:lvl w:ilvl="0" w:tentative="0">
      <w:start w:val="1"/>
      <w:numFmt w:val="decimal"/>
      <w:lvlText w:val="2.2.%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46F85008"/>
    <w:multiLevelType w:val="multilevel"/>
    <w:tmpl w:val="46F85008"/>
    <w:lvl w:ilvl="0" w:tentative="0">
      <w:start w:val="1"/>
      <w:numFmt w:val="bullet"/>
      <w:lvlText w:val=""/>
      <w:lvlJc w:val="left"/>
      <w:pPr>
        <w:tabs>
          <w:tab w:val="left" w:pos="420"/>
        </w:tabs>
        <w:ind w:left="420" w:hanging="420"/>
      </w:pPr>
      <w:rPr>
        <w:rFonts w:hint="default" w:ascii="Wingdings" w:hAnsi="Wingdings"/>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3">
    <w:nsid w:val="496E4D7B"/>
    <w:multiLevelType w:val="multilevel"/>
    <w:tmpl w:val="496E4D7B"/>
    <w:lvl w:ilvl="0" w:tentative="0">
      <w:start w:val="1"/>
      <w:numFmt w:val="none"/>
      <w:pStyle w:val="65"/>
      <w:lvlText w:val="%1注"/>
      <w:lvlJc w:val="left"/>
      <w:pPr>
        <w:tabs>
          <w:tab w:val="left" w:pos="900"/>
        </w:tabs>
        <w:ind w:left="900" w:hanging="500"/>
      </w:pPr>
      <w:rPr>
        <w:rFonts w:hint="eastAsia" w:ascii="宋体" w:hAnsi="Times New Roman" w:eastAsia="宋体"/>
        <w:b w:val="0"/>
        <w:i w:val="0"/>
        <w:sz w:val="18"/>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4">
    <w:nsid w:val="646260FA"/>
    <w:multiLevelType w:val="multilevel"/>
    <w:tmpl w:val="646260FA"/>
    <w:lvl w:ilvl="0" w:tentative="0">
      <w:start w:val="1"/>
      <w:numFmt w:val="decimal"/>
      <w:pStyle w:val="41"/>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5">
    <w:nsid w:val="657D3FBC"/>
    <w:multiLevelType w:val="multilevel"/>
    <w:tmpl w:val="657D3FBC"/>
    <w:lvl w:ilvl="0" w:tentative="0">
      <w:start w:val="1"/>
      <w:numFmt w:val="upperLetter"/>
      <w:pStyle w:val="69"/>
      <w:suff w:val="nothing"/>
      <w:lvlText w:val="附　录　%1"/>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142" w:firstLine="0"/>
      </w:pPr>
      <w:rPr>
        <w:rFonts w:hint="default" w:ascii="Times New Roman" w:hAnsi="Times New Roman" w:eastAsia="黑体" w:cs="Times New Roman"/>
        <w:b w:val="0"/>
        <w:i w:val="0"/>
        <w:snapToGrid/>
        <w:spacing w:val="0"/>
        <w:w w:val="100"/>
        <w:kern w:val="21"/>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6">
    <w:nsid w:val="6CEA2025"/>
    <w:multiLevelType w:val="multilevel"/>
    <w:tmpl w:val="6CEA2025"/>
    <w:lvl w:ilvl="0" w:tentative="0">
      <w:start w:val="1"/>
      <w:numFmt w:val="none"/>
      <w:pStyle w:val="33"/>
      <w:suff w:val="nothing"/>
      <w:lvlText w:val="%1"/>
      <w:lvlJc w:val="left"/>
      <w:pPr>
        <w:ind w:left="0" w:firstLine="0"/>
      </w:pPr>
      <w:rPr>
        <w:rFonts w:hint="default" w:ascii="Times New Roman" w:hAnsi="Times New Roman"/>
        <w:b/>
        <w:i w:val="0"/>
        <w:sz w:val="21"/>
      </w:rPr>
    </w:lvl>
    <w:lvl w:ilvl="1" w:tentative="0">
      <w:start w:val="1"/>
      <w:numFmt w:val="decimal"/>
      <w:pStyle w:val="34"/>
      <w:suff w:val="nothing"/>
      <w:lvlText w:val="%1%2　"/>
      <w:lvlJc w:val="left"/>
      <w:pPr>
        <w:ind w:left="105" w:firstLine="0"/>
      </w:pPr>
      <w:rPr>
        <w:rFonts w:hint="eastAsia" w:ascii="黑体" w:hAnsi="Times New Roman" w:eastAsia="黑体"/>
        <w:b w:val="0"/>
        <w:i w:val="0"/>
        <w:sz w:val="21"/>
      </w:rPr>
    </w:lvl>
    <w:lvl w:ilvl="2" w:tentative="0">
      <w:start w:val="1"/>
      <w:numFmt w:val="decimal"/>
      <w:pStyle w:val="36"/>
      <w:suff w:val="nothing"/>
      <w:lvlText w:val="%1%2.%3　"/>
      <w:lvlJc w:val="left"/>
      <w:pPr>
        <w:ind w:left="315" w:hanging="315"/>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37"/>
      <w:suff w:val="nothing"/>
      <w:lvlText w:val="%1%2.%3.%4　"/>
      <w:lvlJc w:val="left"/>
      <w:pPr>
        <w:ind w:left="284" w:firstLine="0"/>
      </w:pPr>
      <w:rPr>
        <w:rFonts w:hint="eastAsia" w:ascii="黑体" w:hAnsi="Times New Roman" w:eastAsia="黑体"/>
        <w:b w:val="0"/>
        <w:i w:val="0"/>
        <w:sz w:val="21"/>
      </w:rPr>
    </w:lvl>
    <w:lvl w:ilvl="4" w:tentative="0">
      <w:start w:val="1"/>
      <w:numFmt w:val="decimal"/>
      <w:pStyle w:val="38"/>
      <w:suff w:val="nothing"/>
      <w:lvlText w:val="%1%2.%3.%4.%5　"/>
      <w:lvlJc w:val="left"/>
      <w:pPr>
        <w:ind w:left="1134" w:firstLine="0"/>
      </w:pPr>
      <w:rPr>
        <w:rFonts w:hint="eastAsia" w:ascii="黑体" w:hAnsi="Times New Roman" w:eastAsia="黑体"/>
        <w:b w:val="0"/>
        <w:i w:val="0"/>
        <w:sz w:val="21"/>
      </w:rPr>
    </w:lvl>
    <w:lvl w:ilvl="5" w:tentative="0">
      <w:start w:val="1"/>
      <w:numFmt w:val="decimal"/>
      <w:pStyle w:val="39"/>
      <w:suff w:val="nothing"/>
      <w:lvlText w:val="%1%2.%3.%4.%5.%6　"/>
      <w:lvlJc w:val="left"/>
      <w:pPr>
        <w:ind w:left="0" w:firstLine="0"/>
      </w:pPr>
      <w:rPr>
        <w:rFonts w:hint="eastAsia" w:ascii="黑体" w:hAnsi="Times New Roman" w:eastAsia="黑体"/>
        <w:b w:val="0"/>
        <w:i w:val="0"/>
        <w:sz w:val="21"/>
      </w:rPr>
    </w:lvl>
    <w:lvl w:ilvl="6" w:tentative="0">
      <w:start w:val="1"/>
      <w:numFmt w:val="decimal"/>
      <w:pStyle w:val="40"/>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6"/>
  </w:num>
  <w:num w:numId="2">
    <w:abstractNumId w:val="4"/>
  </w:num>
  <w:num w:numId="3">
    <w:abstractNumId w:val="3"/>
  </w:num>
  <w:num w:numId="4">
    <w:abstractNumId w:val="5"/>
  </w:num>
  <w:num w:numId="5">
    <w:abstractNumId w:val="1"/>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8"/>
  <w:embedSystemFonts/>
  <w:bordersDoNotSurroundHeader w:val="1"/>
  <w:bordersDoNotSurroundFooter w:val="1"/>
  <w:trackRevisions w:val="1"/>
  <w:documentProtection w:enforcement="0"/>
  <w:defaultTabStop w:val="420"/>
  <w:drawingGridHorizontalSpacing w:val="108"/>
  <w:drawingGridVerticalSpacing w:val="163"/>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774"/>
    <w:rsid w:val="0000222E"/>
    <w:rsid w:val="00002680"/>
    <w:rsid w:val="00002941"/>
    <w:rsid w:val="00002E2A"/>
    <w:rsid w:val="00003764"/>
    <w:rsid w:val="000039C5"/>
    <w:rsid w:val="00004986"/>
    <w:rsid w:val="00004A3D"/>
    <w:rsid w:val="00006C5C"/>
    <w:rsid w:val="00007484"/>
    <w:rsid w:val="000106B3"/>
    <w:rsid w:val="00010A6E"/>
    <w:rsid w:val="00010AD4"/>
    <w:rsid w:val="00010C92"/>
    <w:rsid w:val="000113E3"/>
    <w:rsid w:val="0001191E"/>
    <w:rsid w:val="0001230A"/>
    <w:rsid w:val="000130E0"/>
    <w:rsid w:val="00013E09"/>
    <w:rsid w:val="00013E30"/>
    <w:rsid w:val="00013F7B"/>
    <w:rsid w:val="00014715"/>
    <w:rsid w:val="000153F7"/>
    <w:rsid w:val="00017907"/>
    <w:rsid w:val="000179E6"/>
    <w:rsid w:val="00017B75"/>
    <w:rsid w:val="0002007B"/>
    <w:rsid w:val="00021167"/>
    <w:rsid w:val="00021801"/>
    <w:rsid w:val="0002396B"/>
    <w:rsid w:val="00023B5B"/>
    <w:rsid w:val="00023FCE"/>
    <w:rsid w:val="000251A9"/>
    <w:rsid w:val="00025A03"/>
    <w:rsid w:val="00025F70"/>
    <w:rsid w:val="000272C4"/>
    <w:rsid w:val="00030A6A"/>
    <w:rsid w:val="00032CAD"/>
    <w:rsid w:val="00037D3E"/>
    <w:rsid w:val="000402BA"/>
    <w:rsid w:val="000422CF"/>
    <w:rsid w:val="0004410E"/>
    <w:rsid w:val="0004741B"/>
    <w:rsid w:val="000477F3"/>
    <w:rsid w:val="00047DB9"/>
    <w:rsid w:val="000508A1"/>
    <w:rsid w:val="00050AA6"/>
    <w:rsid w:val="0005115F"/>
    <w:rsid w:val="00052946"/>
    <w:rsid w:val="00053498"/>
    <w:rsid w:val="0005498E"/>
    <w:rsid w:val="00054DDE"/>
    <w:rsid w:val="00055D8D"/>
    <w:rsid w:val="0005631E"/>
    <w:rsid w:val="00056978"/>
    <w:rsid w:val="00056E72"/>
    <w:rsid w:val="00060091"/>
    <w:rsid w:val="00061FC7"/>
    <w:rsid w:val="00062356"/>
    <w:rsid w:val="000628E1"/>
    <w:rsid w:val="0006331A"/>
    <w:rsid w:val="00064D7F"/>
    <w:rsid w:val="00065F6C"/>
    <w:rsid w:val="0006759F"/>
    <w:rsid w:val="00070837"/>
    <w:rsid w:val="0007234D"/>
    <w:rsid w:val="00073F56"/>
    <w:rsid w:val="00074505"/>
    <w:rsid w:val="00074936"/>
    <w:rsid w:val="00075348"/>
    <w:rsid w:val="00075DF1"/>
    <w:rsid w:val="0008151F"/>
    <w:rsid w:val="00081591"/>
    <w:rsid w:val="000815A4"/>
    <w:rsid w:val="000846DD"/>
    <w:rsid w:val="000851A6"/>
    <w:rsid w:val="0008579F"/>
    <w:rsid w:val="000867AE"/>
    <w:rsid w:val="000877B5"/>
    <w:rsid w:val="000928F4"/>
    <w:rsid w:val="00092B96"/>
    <w:rsid w:val="00092C07"/>
    <w:rsid w:val="00094187"/>
    <w:rsid w:val="00097137"/>
    <w:rsid w:val="00097AF2"/>
    <w:rsid w:val="000A3818"/>
    <w:rsid w:val="000A42C5"/>
    <w:rsid w:val="000B05F8"/>
    <w:rsid w:val="000B14EF"/>
    <w:rsid w:val="000B3260"/>
    <w:rsid w:val="000B392E"/>
    <w:rsid w:val="000B39EB"/>
    <w:rsid w:val="000B6AD5"/>
    <w:rsid w:val="000B7FDE"/>
    <w:rsid w:val="000C11EB"/>
    <w:rsid w:val="000C1927"/>
    <w:rsid w:val="000C1C83"/>
    <w:rsid w:val="000C2837"/>
    <w:rsid w:val="000C388C"/>
    <w:rsid w:val="000C5065"/>
    <w:rsid w:val="000C5A75"/>
    <w:rsid w:val="000C5F31"/>
    <w:rsid w:val="000C74C6"/>
    <w:rsid w:val="000C7631"/>
    <w:rsid w:val="000C7814"/>
    <w:rsid w:val="000C7E18"/>
    <w:rsid w:val="000D08C5"/>
    <w:rsid w:val="000D15B6"/>
    <w:rsid w:val="000D199A"/>
    <w:rsid w:val="000D1F2F"/>
    <w:rsid w:val="000D25D9"/>
    <w:rsid w:val="000D4F80"/>
    <w:rsid w:val="000D56CC"/>
    <w:rsid w:val="000D6EE9"/>
    <w:rsid w:val="000D72D8"/>
    <w:rsid w:val="000E09F2"/>
    <w:rsid w:val="000E2570"/>
    <w:rsid w:val="000E40EC"/>
    <w:rsid w:val="000E416A"/>
    <w:rsid w:val="000E454E"/>
    <w:rsid w:val="000E5841"/>
    <w:rsid w:val="000F026C"/>
    <w:rsid w:val="000F0A45"/>
    <w:rsid w:val="000F0E56"/>
    <w:rsid w:val="000F1205"/>
    <w:rsid w:val="000F2055"/>
    <w:rsid w:val="000F5913"/>
    <w:rsid w:val="000F7748"/>
    <w:rsid w:val="000F7F8B"/>
    <w:rsid w:val="00100A05"/>
    <w:rsid w:val="0010231C"/>
    <w:rsid w:val="00103B1A"/>
    <w:rsid w:val="00103B90"/>
    <w:rsid w:val="0010423B"/>
    <w:rsid w:val="00104E90"/>
    <w:rsid w:val="00105935"/>
    <w:rsid w:val="00106523"/>
    <w:rsid w:val="00106645"/>
    <w:rsid w:val="001113AE"/>
    <w:rsid w:val="00111B02"/>
    <w:rsid w:val="001124A0"/>
    <w:rsid w:val="00113C29"/>
    <w:rsid w:val="00115629"/>
    <w:rsid w:val="001159AA"/>
    <w:rsid w:val="00116166"/>
    <w:rsid w:val="00117C02"/>
    <w:rsid w:val="00120BE0"/>
    <w:rsid w:val="00120F1F"/>
    <w:rsid w:val="00122B98"/>
    <w:rsid w:val="0012416A"/>
    <w:rsid w:val="00124663"/>
    <w:rsid w:val="00124A0D"/>
    <w:rsid w:val="00125C28"/>
    <w:rsid w:val="001309AC"/>
    <w:rsid w:val="00130A72"/>
    <w:rsid w:val="00130CA1"/>
    <w:rsid w:val="00131077"/>
    <w:rsid w:val="00131572"/>
    <w:rsid w:val="00131F68"/>
    <w:rsid w:val="00132789"/>
    <w:rsid w:val="001331C2"/>
    <w:rsid w:val="001335F0"/>
    <w:rsid w:val="001337D9"/>
    <w:rsid w:val="00133F37"/>
    <w:rsid w:val="001350D0"/>
    <w:rsid w:val="001354AF"/>
    <w:rsid w:val="00135B4D"/>
    <w:rsid w:val="00136344"/>
    <w:rsid w:val="00136984"/>
    <w:rsid w:val="00136CB6"/>
    <w:rsid w:val="0013725D"/>
    <w:rsid w:val="00137990"/>
    <w:rsid w:val="0014055B"/>
    <w:rsid w:val="0014154B"/>
    <w:rsid w:val="00142309"/>
    <w:rsid w:val="00145DBA"/>
    <w:rsid w:val="00145DF3"/>
    <w:rsid w:val="00145EE8"/>
    <w:rsid w:val="001464C1"/>
    <w:rsid w:val="00147397"/>
    <w:rsid w:val="0015004E"/>
    <w:rsid w:val="001516FB"/>
    <w:rsid w:val="001524D4"/>
    <w:rsid w:val="00152C2A"/>
    <w:rsid w:val="00153368"/>
    <w:rsid w:val="00153A4E"/>
    <w:rsid w:val="00154076"/>
    <w:rsid w:val="00154FF5"/>
    <w:rsid w:val="0015618F"/>
    <w:rsid w:val="00156F92"/>
    <w:rsid w:val="0016088F"/>
    <w:rsid w:val="00161C14"/>
    <w:rsid w:val="00162033"/>
    <w:rsid w:val="00162D8C"/>
    <w:rsid w:val="0016398E"/>
    <w:rsid w:val="00164197"/>
    <w:rsid w:val="00164270"/>
    <w:rsid w:val="00164CDA"/>
    <w:rsid w:val="00167C74"/>
    <w:rsid w:val="00167F01"/>
    <w:rsid w:val="0017464A"/>
    <w:rsid w:val="001803F3"/>
    <w:rsid w:val="001815AD"/>
    <w:rsid w:val="00181DBA"/>
    <w:rsid w:val="00182554"/>
    <w:rsid w:val="001825CF"/>
    <w:rsid w:val="00182A55"/>
    <w:rsid w:val="0018313D"/>
    <w:rsid w:val="001836DC"/>
    <w:rsid w:val="00184964"/>
    <w:rsid w:val="00185F75"/>
    <w:rsid w:val="0018628D"/>
    <w:rsid w:val="00190775"/>
    <w:rsid w:val="0019303F"/>
    <w:rsid w:val="00193BE7"/>
    <w:rsid w:val="001944E7"/>
    <w:rsid w:val="0019511B"/>
    <w:rsid w:val="00196B3A"/>
    <w:rsid w:val="00197969"/>
    <w:rsid w:val="001A3444"/>
    <w:rsid w:val="001A69A7"/>
    <w:rsid w:val="001A708B"/>
    <w:rsid w:val="001A744B"/>
    <w:rsid w:val="001B0226"/>
    <w:rsid w:val="001B06D8"/>
    <w:rsid w:val="001B2B8F"/>
    <w:rsid w:val="001B31A5"/>
    <w:rsid w:val="001B4F37"/>
    <w:rsid w:val="001B51F1"/>
    <w:rsid w:val="001B5F61"/>
    <w:rsid w:val="001B624B"/>
    <w:rsid w:val="001B65BE"/>
    <w:rsid w:val="001B7FBA"/>
    <w:rsid w:val="001C021C"/>
    <w:rsid w:val="001C06E0"/>
    <w:rsid w:val="001C1844"/>
    <w:rsid w:val="001C2038"/>
    <w:rsid w:val="001C21F0"/>
    <w:rsid w:val="001C2603"/>
    <w:rsid w:val="001C313A"/>
    <w:rsid w:val="001C3282"/>
    <w:rsid w:val="001C32CA"/>
    <w:rsid w:val="001C3474"/>
    <w:rsid w:val="001C5EBD"/>
    <w:rsid w:val="001C6E10"/>
    <w:rsid w:val="001C7BE9"/>
    <w:rsid w:val="001D12D9"/>
    <w:rsid w:val="001D1CF0"/>
    <w:rsid w:val="001D2606"/>
    <w:rsid w:val="001D3EB3"/>
    <w:rsid w:val="001D46C4"/>
    <w:rsid w:val="001D58E5"/>
    <w:rsid w:val="001D624D"/>
    <w:rsid w:val="001D77C2"/>
    <w:rsid w:val="001D7A2E"/>
    <w:rsid w:val="001E0278"/>
    <w:rsid w:val="001E0BF9"/>
    <w:rsid w:val="001E0F17"/>
    <w:rsid w:val="001E400C"/>
    <w:rsid w:val="001E59CA"/>
    <w:rsid w:val="001E6742"/>
    <w:rsid w:val="001E6DBB"/>
    <w:rsid w:val="001E6FCC"/>
    <w:rsid w:val="001E7F2A"/>
    <w:rsid w:val="001F03B6"/>
    <w:rsid w:val="001F32E9"/>
    <w:rsid w:val="001F5C79"/>
    <w:rsid w:val="001F604F"/>
    <w:rsid w:val="002005C2"/>
    <w:rsid w:val="00201127"/>
    <w:rsid w:val="0020121C"/>
    <w:rsid w:val="00201A06"/>
    <w:rsid w:val="00202241"/>
    <w:rsid w:val="0020307D"/>
    <w:rsid w:val="00203C20"/>
    <w:rsid w:val="002055A8"/>
    <w:rsid w:val="0020636E"/>
    <w:rsid w:val="0020770C"/>
    <w:rsid w:val="0021094F"/>
    <w:rsid w:val="00211DC2"/>
    <w:rsid w:val="0021262B"/>
    <w:rsid w:val="00212C0D"/>
    <w:rsid w:val="00212E52"/>
    <w:rsid w:val="0021315F"/>
    <w:rsid w:val="00213526"/>
    <w:rsid w:val="00213B8C"/>
    <w:rsid w:val="002203B5"/>
    <w:rsid w:val="00221399"/>
    <w:rsid w:val="0022249B"/>
    <w:rsid w:val="00223A85"/>
    <w:rsid w:val="00226045"/>
    <w:rsid w:val="002279E0"/>
    <w:rsid w:val="00227A46"/>
    <w:rsid w:val="00227F95"/>
    <w:rsid w:val="0023038B"/>
    <w:rsid w:val="00230A35"/>
    <w:rsid w:val="00230CC1"/>
    <w:rsid w:val="00230D89"/>
    <w:rsid w:val="00230DDE"/>
    <w:rsid w:val="00230F2A"/>
    <w:rsid w:val="00231A4E"/>
    <w:rsid w:val="00231B08"/>
    <w:rsid w:val="00231D9A"/>
    <w:rsid w:val="00231E17"/>
    <w:rsid w:val="00232242"/>
    <w:rsid w:val="00232502"/>
    <w:rsid w:val="00233311"/>
    <w:rsid w:val="00235659"/>
    <w:rsid w:val="00235F0B"/>
    <w:rsid w:val="00235F53"/>
    <w:rsid w:val="00240765"/>
    <w:rsid w:val="002409C2"/>
    <w:rsid w:val="00240D2E"/>
    <w:rsid w:val="00240E9D"/>
    <w:rsid w:val="00241A89"/>
    <w:rsid w:val="00243833"/>
    <w:rsid w:val="00243950"/>
    <w:rsid w:val="00243F16"/>
    <w:rsid w:val="00244003"/>
    <w:rsid w:val="0024443F"/>
    <w:rsid w:val="00244DE3"/>
    <w:rsid w:val="00247373"/>
    <w:rsid w:val="00247792"/>
    <w:rsid w:val="00247833"/>
    <w:rsid w:val="002507D3"/>
    <w:rsid w:val="002532DB"/>
    <w:rsid w:val="00253686"/>
    <w:rsid w:val="00253FED"/>
    <w:rsid w:val="00254435"/>
    <w:rsid w:val="00254BDB"/>
    <w:rsid w:val="00255761"/>
    <w:rsid w:val="002563D6"/>
    <w:rsid w:val="00261EAD"/>
    <w:rsid w:val="00262606"/>
    <w:rsid w:val="00264CEF"/>
    <w:rsid w:val="00265D4D"/>
    <w:rsid w:val="0026642E"/>
    <w:rsid w:val="002666C2"/>
    <w:rsid w:val="00266916"/>
    <w:rsid w:val="00267936"/>
    <w:rsid w:val="00267A57"/>
    <w:rsid w:val="002713AC"/>
    <w:rsid w:val="00271933"/>
    <w:rsid w:val="0027241A"/>
    <w:rsid w:val="00272A45"/>
    <w:rsid w:val="00274DEB"/>
    <w:rsid w:val="002754D5"/>
    <w:rsid w:val="002759E6"/>
    <w:rsid w:val="00275C81"/>
    <w:rsid w:val="002765A9"/>
    <w:rsid w:val="00276C2B"/>
    <w:rsid w:val="002778F6"/>
    <w:rsid w:val="0027797E"/>
    <w:rsid w:val="002820BD"/>
    <w:rsid w:val="002822C3"/>
    <w:rsid w:val="00283774"/>
    <w:rsid w:val="00283CC4"/>
    <w:rsid w:val="00286206"/>
    <w:rsid w:val="002867E4"/>
    <w:rsid w:val="0029096B"/>
    <w:rsid w:val="00290AAC"/>
    <w:rsid w:val="00291D5C"/>
    <w:rsid w:val="00293142"/>
    <w:rsid w:val="002938C3"/>
    <w:rsid w:val="002943BD"/>
    <w:rsid w:val="002956AD"/>
    <w:rsid w:val="002960CD"/>
    <w:rsid w:val="002970D5"/>
    <w:rsid w:val="00297FFA"/>
    <w:rsid w:val="002A17C8"/>
    <w:rsid w:val="002A2574"/>
    <w:rsid w:val="002A3335"/>
    <w:rsid w:val="002A36D9"/>
    <w:rsid w:val="002A5FC7"/>
    <w:rsid w:val="002A6905"/>
    <w:rsid w:val="002A73C1"/>
    <w:rsid w:val="002B01DB"/>
    <w:rsid w:val="002B0446"/>
    <w:rsid w:val="002B0D56"/>
    <w:rsid w:val="002B223D"/>
    <w:rsid w:val="002B28EF"/>
    <w:rsid w:val="002B3B82"/>
    <w:rsid w:val="002B698B"/>
    <w:rsid w:val="002C0EA9"/>
    <w:rsid w:val="002C1412"/>
    <w:rsid w:val="002C23AE"/>
    <w:rsid w:val="002C2405"/>
    <w:rsid w:val="002C2620"/>
    <w:rsid w:val="002C292A"/>
    <w:rsid w:val="002C3EFE"/>
    <w:rsid w:val="002C42AE"/>
    <w:rsid w:val="002C55C6"/>
    <w:rsid w:val="002C71AC"/>
    <w:rsid w:val="002C7AB6"/>
    <w:rsid w:val="002C7C63"/>
    <w:rsid w:val="002C7DA3"/>
    <w:rsid w:val="002D13C3"/>
    <w:rsid w:val="002D4FB3"/>
    <w:rsid w:val="002D53F0"/>
    <w:rsid w:val="002D5FB4"/>
    <w:rsid w:val="002D75CB"/>
    <w:rsid w:val="002D7FAD"/>
    <w:rsid w:val="002E021D"/>
    <w:rsid w:val="002E107A"/>
    <w:rsid w:val="002E1BDD"/>
    <w:rsid w:val="002E1C02"/>
    <w:rsid w:val="002E2838"/>
    <w:rsid w:val="002E32C9"/>
    <w:rsid w:val="002E441D"/>
    <w:rsid w:val="002E519D"/>
    <w:rsid w:val="002E5AEA"/>
    <w:rsid w:val="002E5BFC"/>
    <w:rsid w:val="002E600C"/>
    <w:rsid w:val="002E62A2"/>
    <w:rsid w:val="002E62E4"/>
    <w:rsid w:val="002E7190"/>
    <w:rsid w:val="002F03DE"/>
    <w:rsid w:val="002F195A"/>
    <w:rsid w:val="002F58F2"/>
    <w:rsid w:val="002F622F"/>
    <w:rsid w:val="002F69A5"/>
    <w:rsid w:val="002F7016"/>
    <w:rsid w:val="002F78FB"/>
    <w:rsid w:val="00300166"/>
    <w:rsid w:val="00300AC5"/>
    <w:rsid w:val="00301813"/>
    <w:rsid w:val="00301D2F"/>
    <w:rsid w:val="003048FB"/>
    <w:rsid w:val="00305FD0"/>
    <w:rsid w:val="0030639B"/>
    <w:rsid w:val="00306BA8"/>
    <w:rsid w:val="00307D07"/>
    <w:rsid w:val="0031066C"/>
    <w:rsid w:val="00310948"/>
    <w:rsid w:val="00310DD6"/>
    <w:rsid w:val="00311790"/>
    <w:rsid w:val="003127EF"/>
    <w:rsid w:val="00313334"/>
    <w:rsid w:val="00313FC6"/>
    <w:rsid w:val="00314314"/>
    <w:rsid w:val="0031482F"/>
    <w:rsid w:val="003155D6"/>
    <w:rsid w:val="00315C5E"/>
    <w:rsid w:val="0031654B"/>
    <w:rsid w:val="0031666C"/>
    <w:rsid w:val="003168C9"/>
    <w:rsid w:val="003171D1"/>
    <w:rsid w:val="0032108D"/>
    <w:rsid w:val="00322801"/>
    <w:rsid w:val="0032332A"/>
    <w:rsid w:val="00323585"/>
    <w:rsid w:val="00323A5D"/>
    <w:rsid w:val="0032431A"/>
    <w:rsid w:val="00324D47"/>
    <w:rsid w:val="00325477"/>
    <w:rsid w:val="003302F8"/>
    <w:rsid w:val="003312AA"/>
    <w:rsid w:val="003314F3"/>
    <w:rsid w:val="00333C3E"/>
    <w:rsid w:val="0033568F"/>
    <w:rsid w:val="003358E5"/>
    <w:rsid w:val="00335A9F"/>
    <w:rsid w:val="00336199"/>
    <w:rsid w:val="00336C3D"/>
    <w:rsid w:val="00340A26"/>
    <w:rsid w:val="00340A7B"/>
    <w:rsid w:val="00343092"/>
    <w:rsid w:val="0034325C"/>
    <w:rsid w:val="00344F3E"/>
    <w:rsid w:val="0035277A"/>
    <w:rsid w:val="00352F2C"/>
    <w:rsid w:val="00353BCE"/>
    <w:rsid w:val="00354F1E"/>
    <w:rsid w:val="00355602"/>
    <w:rsid w:val="00355F31"/>
    <w:rsid w:val="003577A0"/>
    <w:rsid w:val="00357E6B"/>
    <w:rsid w:val="00357F50"/>
    <w:rsid w:val="0036163D"/>
    <w:rsid w:val="00364583"/>
    <w:rsid w:val="00364932"/>
    <w:rsid w:val="003649B2"/>
    <w:rsid w:val="00364ACE"/>
    <w:rsid w:val="00367177"/>
    <w:rsid w:val="00367997"/>
    <w:rsid w:val="00367C70"/>
    <w:rsid w:val="003706B4"/>
    <w:rsid w:val="00370B1B"/>
    <w:rsid w:val="00370B83"/>
    <w:rsid w:val="003714F3"/>
    <w:rsid w:val="00372513"/>
    <w:rsid w:val="00372773"/>
    <w:rsid w:val="00372DFA"/>
    <w:rsid w:val="00374237"/>
    <w:rsid w:val="003744C3"/>
    <w:rsid w:val="003745A9"/>
    <w:rsid w:val="003767BA"/>
    <w:rsid w:val="003805B1"/>
    <w:rsid w:val="0038076E"/>
    <w:rsid w:val="00381AFE"/>
    <w:rsid w:val="00381EB2"/>
    <w:rsid w:val="00384D99"/>
    <w:rsid w:val="003855F6"/>
    <w:rsid w:val="003864E7"/>
    <w:rsid w:val="0038663B"/>
    <w:rsid w:val="003878AC"/>
    <w:rsid w:val="00390CBF"/>
    <w:rsid w:val="003937CF"/>
    <w:rsid w:val="00394289"/>
    <w:rsid w:val="00394568"/>
    <w:rsid w:val="00394DD4"/>
    <w:rsid w:val="003975F0"/>
    <w:rsid w:val="00397FBD"/>
    <w:rsid w:val="003A004C"/>
    <w:rsid w:val="003A35A8"/>
    <w:rsid w:val="003A4375"/>
    <w:rsid w:val="003A52C5"/>
    <w:rsid w:val="003A5A59"/>
    <w:rsid w:val="003A5B1F"/>
    <w:rsid w:val="003A5CDA"/>
    <w:rsid w:val="003A658A"/>
    <w:rsid w:val="003A6BDD"/>
    <w:rsid w:val="003A75B3"/>
    <w:rsid w:val="003A7D0F"/>
    <w:rsid w:val="003B021D"/>
    <w:rsid w:val="003B1167"/>
    <w:rsid w:val="003B31BD"/>
    <w:rsid w:val="003B537F"/>
    <w:rsid w:val="003B5561"/>
    <w:rsid w:val="003C16A9"/>
    <w:rsid w:val="003C1DEB"/>
    <w:rsid w:val="003C2AE5"/>
    <w:rsid w:val="003C2C6C"/>
    <w:rsid w:val="003C455A"/>
    <w:rsid w:val="003C47D1"/>
    <w:rsid w:val="003C6F44"/>
    <w:rsid w:val="003D1E1A"/>
    <w:rsid w:val="003D29A2"/>
    <w:rsid w:val="003D3228"/>
    <w:rsid w:val="003D3D1F"/>
    <w:rsid w:val="003E1EDC"/>
    <w:rsid w:val="003E2FD4"/>
    <w:rsid w:val="003E4311"/>
    <w:rsid w:val="003E4BD3"/>
    <w:rsid w:val="003E6234"/>
    <w:rsid w:val="003E6EC7"/>
    <w:rsid w:val="003F0299"/>
    <w:rsid w:val="003F4046"/>
    <w:rsid w:val="003F5EB7"/>
    <w:rsid w:val="003F6BB6"/>
    <w:rsid w:val="003F79E7"/>
    <w:rsid w:val="003F7B74"/>
    <w:rsid w:val="003F7B91"/>
    <w:rsid w:val="00401E2E"/>
    <w:rsid w:val="00401EF2"/>
    <w:rsid w:val="004022C3"/>
    <w:rsid w:val="00403105"/>
    <w:rsid w:val="00404DC1"/>
    <w:rsid w:val="00405CF4"/>
    <w:rsid w:val="00406C05"/>
    <w:rsid w:val="004149DF"/>
    <w:rsid w:val="00414F89"/>
    <w:rsid w:val="00414F96"/>
    <w:rsid w:val="00415ECD"/>
    <w:rsid w:val="00416B33"/>
    <w:rsid w:val="00417668"/>
    <w:rsid w:val="00417716"/>
    <w:rsid w:val="004204AD"/>
    <w:rsid w:val="00420A65"/>
    <w:rsid w:val="00421198"/>
    <w:rsid w:val="00421FFD"/>
    <w:rsid w:val="004229A3"/>
    <w:rsid w:val="00424C10"/>
    <w:rsid w:val="00426D98"/>
    <w:rsid w:val="00427E1A"/>
    <w:rsid w:val="00430887"/>
    <w:rsid w:val="00430C49"/>
    <w:rsid w:val="00431254"/>
    <w:rsid w:val="004341FD"/>
    <w:rsid w:val="00434DC7"/>
    <w:rsid w:val="00436DEB"/>
    <w:rsid w:val="00437622"/>
    <w:rsid w:val="00437BD6"/>
    <w:rsid w:val="00437CFE"/>
    <w:rsid w:val="00440757"/>
    <w:rsid w:val="00440DFD"/>
    <w:rsid w:val="004417B6"/>
    <w:rsid w:val="004419A8"/>
    <w:rsid w:val="00441ACF"/>
    <w:rsid w:val="00441C89"/>
    <w:rsid w:val="0044338B"/>
    <w:rsid w:val="004475DC"/>
    <w:rsid w:val="00450D93"/>
    <w:rsid w:val="004513C0"/>
    <w:rsid w:val="00451CA7"/>
    <w:rsid w:val="00453226"/>
    <w:rsid w:val="00453CF3"/>
    <w:rsid w:val="00454392"/>
    <w:rsid w:val="004551C5"/>
    <w:rsid w:val="004551D4"/>
    <w:rsid w:val="00456305"/>
    <w:rsid w:val="00460203"/>
    <w:rsid w:val="0046078F"/>
    <w:rsid w:val="00460931"/>
    <w:rsid w:val="00460A79"/>
    <w:rsid w:val="00460FB7"/>
    <w:rsid w:val="00462341"/>
    <w:rsid w:val="004623AC"/>
    <w:rsid w:val="0046242F"/>
    <w:rsid w:val="004634A0"/>
    <w:rsid w:val="00463DD7"/>
    <w:rsid w:val="00464002"/>
    <w:rsid w:val="00466434"/>
    <w:rsid w:val="00470189"/>
    <w:rsid w:val="004749FB"/>
    <w:rsid w:val="00475702"/>
    <w:rsid w:val="00476A1E"/>
    <w:rsid w:val="00476BB6"/>
    <w:rsid w:val="00476F2D"/>
    <w:rsid w:val="00477539"/>
    <w:rsid w:val="00481242"/>
    <w:rsid w:val="00481626"/>
    <w:rsid w:val="004829BF"/>
    <w:rsid w:val="0048450E"/>
    <w:rsid w:val="004875D0"/>
    <w:rsid w:val="00495D3F"/>
    <w:rsid w:val="004961E4"/>
    <w:rsid w:val="00496BAA"/>
    <w:rsid w:val="00496D10"/>
    <w:rsid w:val="004A0113"/>
    <w:rsid w:val="004A10A4"/>
    <w:rsid w:val="004A1269"/>
    <w:rsid w:val="004A1B1C"/>
    <w:rsid w:val="004A39D4"/>
    <w:rsid w:val="004A4AB6"/>
    <w:rsid w:val="004A5340"/>
    <w:rsid w:val="004A6EC2"/>
    <w:rsid w:val="004A6F95"/>
    <w:rsid w:val="004A7B85"/>
    <w:rsid w:val="004A7B99"/>
    <w:rsid w:val="004B0196"/>
    <w:rsid w:val="004B0F33"/>
    <w:rsid w:val="004B12BC"/>
    <w:rsid w:val="004B1E22"/>
    <w:rsid w:val="004B22C2"/>
    <w:rsid w:val="004B2E0C"/>
    <w:rsid w:val="004B3B4B"/>
    <w:rsid w:val="004B5E18"/>
    <w:rsid w:val="004B7BF5"/>
    <w:rsid w:val="004B7E69"/>
    <w:rsid w:val="004C0A0A"/>
    <w:rsid w:val="004C1BA0"/>
    <w:rsid w:val="004C1D50"/>
    <w:rsid w:val="004C2F81"/>
    <w:rsid w:val="004C3F0C"/>
    <w:rsid w:val="004C506A"/>
    <w:rsid w:val="004C67B8"/>
    <w:rsid w:val="004C720D"/>
    <w:rsid w:val="004D0426"/>
    <w:rsid w:val="004D1251"/>
    <w:rsid w:val="004D14EC"/>
    <w:rsid w:val="004D152E"/>
    <w:rsid w:val="004D1678"/>
    <w:rsid w:val="004D19C3"/>
    <w:rsid w:val="004D2F4D"/>
    <w:rsid w:val="004D3228"/>
    <w:rsid w:val="004D3FDA"/>
    <w:rsid w:val="004D408D"/>
    <w:rsid w:val="004D6302"/>
    <w:rsid w:val="004D67F4"/>
    <w:rsid w:val="004D6A92"/>
    <w:rsid w:val="004E03DD"/>
    <w:rsid w:val="004E0FEE"/>
    <w:rsid w:val="004E1EBE"/>
    <w:rsid w:val="004E22E5"/>
    <w:rsid w:val="004E255F"/>
    <w:rsid w:val="004E376D"/>
    <w:rsid w:val="004E5CEE"/>
    <w:rsid w:val="004E71A6"/>
    <w:rsid w:val="004E7228"/>
    <w:rsid w:val="004F0DDD"/>
    <w:rsid w:val="004F155B"/>
    <w:rsid w:val="004F1771"/>
    <w:rsid w:val="004F216F"/>
    <w:rsid w:val="004F57DF"/>
    <w:rsid w:val="004F5D5F"/>
    <w:rsid w:val="004F68C4"/>
    <w:rsid w:val="004F6AAD"/>
    <w:rsid w:val="0050281B"/>
    <w:rsid w:val="00502CF9"/>
    <w:rsid w:val="0050500E"/>
    <w:rsid w:val="00507C36"/>
    <w:rsid w:val="00511601"/>
    <w:rsid w:val="00514424"/>
    <w:rsid w:val="00516B87"/>
    <w:rsid w:val="00517F1E"/>
    <w:rsid w:val="00520143"/>
    <w:rsid w:val="005207C6"/>
    <w:rsid w:val="00520E2B"/>
    <w:rsid w:val="0052101C"/>
    <w:rsid w:val="00521F33"/>
    <w:rsid w:val="00522A52"/>
    <w:rsid w:val="005246CD"/>
    <w:rsid w:val="00524EF4"/>
    <w:rsid w:val="00525132"/>
    <w:rsid w:val="00527C3C"/>
    <w:rsid w:val="00527E06"/>
    <w:rsid w:val="00530C12"/>
    <w:rsid w:val="00533010"/>
    <w:rsid w:val="005332C6"/>
    <w:rsid w:val="005336E4"/>
    <w:rsid w:val="00535E5A"/>
    <w:rsid w:val="00536A14"/>
    <w:rsid w:val="00537375"/>
    <w:rsid w:val="0054021F"/>
    <w:rsid w:val="005402BE"/>
    <w:rsid w:val="0054061F"/>
    <w:rsid w:val="00540655"/>
    <w:rsid w:val="00541BAC"/>
    <w:rsid w:val="00544235"/>
    <w:rsid w:val="00545FA4"/>
    <w:rsid w:val="0054667D"/>
    <w:rsid w:val="005519F2"/>
    <w:rsid w:val="00552355"/>
    <w:rsid w:val="005528F5"/>
    <w:rsid w:val="00553379"/>
    <w:rsid w:val="005535A2"/>
    <w:rsid w:val="005537DD"/>
    <w:rsid w:val="00553DD5"/>
    <w:rsid w:val="005542D0"/>
    <w:rsid w:val="0055567F"/>
    <w:rsid w:val="00555785"/>
    <w:rsid w:val="005559CB"/>
    <w:rsid w:val="00555F11"/>
    <w:rsid w:val="00556164"/>
    <w:rsid w:val="00556449"/>
    <w:rsid w:val="00556D50"/>
    <w:rsid w:val="00557802"/>
    <w:rsid w:val="0056118A"/>
    <w:rsid w:val="00561C91"/>
    <w:rsid w:val="00562187"/>
    <w:rsid w:val="00562B0B"/>
    <w:rsid w:val="00565D7A"/>
    <w:rsid w:val="00570CA8"/>
    <w:rsid w:val="00571928"/>
    <w:rsid w:val="00571DDC"/>
    <w:rsid w:val="00572C40"/>
    <w:rsid w:val="00572E73"/>
    <w:rsid w:val="0057395C"/>
    <w:rsid w:val="005746A7"/>
    <w:rsid w:val="00575050"/>
    <w:rsid w:val="005755AB"/>
    <w:rsid w:val="005755CE"/>
    <w:rsid w:val="00576C0B"/>
    <w:rsid w:val="005770F6"/>
    <w:rsid w:val="00580742"/>
    <w:rsid w:val="00580D45"/>
    <w:rsid w:val="00580DD2"/>
    <w:rsid w:val="0058159D"/>
    <w:rsid w:val="00582ED0"/>
    <w:rsid w:val="0058446E"/>
    <w:rsid w:val="0058675F"/>
    <w:rsid w:val="00586CA9"/>
    <w:rsid w:val="00586D27"/>
    <w:rsid w:val="00587594"/>
    <w:rsid w:val="00590511"/>
    <w:rsid w:val="00591049"/>
    <w:rsid w:val="00591B61"/>
    <w:rsid w:val="00592379"/>
    <w:rsid w:val="0059315C"/>
    <w:rsid w:val="00593620"/>
    <w:rsid w:val="0059561C"/>
    <w:rsid w:val="00596D9B"/>
    <w:rsid w:val="00597656"/>
    <w:rsid w:val="005A1B5C"/>
    <w:rsid w:val="005A4036"/>
    <w:rsid w:val="005A6D56"/>
    <w:rsid w:val="005A732E"/>
    <w:rsid w:val="005A7693"/>
    <w:rsid w:val="005A76E6"/>
    <w:rsid w:val="005A7809"/>
    <w:rsid w:val="005A792B"/>
    <w:rsid w:val="005B0BD2"/>
    <w:rsid w:val="005B27AA"/>
    <w:rsid w:val="005B2B59"/>
    <w:rsid w:val="005B30CE"/>
    <w:rsid w:val="005B55CC"/>
    <w:rsid w:val="005B5F71"/>
    <w:rsid w:val="005B6634"/>
    <w:rsid w:val="005B677E"/>
    <w:rsid w:val="005B6C11"/>
    <w:rsid w:val="005B76F0"/>
    <w:rsid w:val="005C0A47"/>
    <w:rsid w:val="005C0F6A"/>
    <w:rsid w:val="005C1600"/>
    <w:rsid w:val="005C208A"/>
    <w:rsid w:val="005C2492"/>
    <w:rsid w:val="005C2B76"/>
    <w:rsid w:val="005C3035"/>
    <w:rsid w:val="005C3BCE"/>
    <w:rsid w:val="005C410B"/>
    <w:rsid w:val="005C68CA"/>
    <w:rsid w:val="005C72C5"/>
    <w:rsid w:val="005C7506"/>
    <w:rsid w:val="005D057E"/>
    <w:rsid w:val="005D0787"/>
    <w:rsid w:val="005D27C9"/>
    <w:rsid w:val="005D2FDF"/>
    <w:rsid w:val="005D3220"/>
    <w:rsid w:val="005D4BDF"/>
    <w:rsid w:val="005D4D76"/>
    <w:rsid w:val="005D5110"/>
    <w:rsid w:val="005D55BB"/>
    <w:rsid w:val="005D7722"/>
    <w:rsid w:val="005D7B79"/>
    <w:rsid w:val="005E1CAB"/>
    <w:rsid w:val="005E2C37"/>
    <w:rsid w:val="005E3516"/>
    <w:rsid w:val="005E4185"/>
    <w:rsid w:val="005E5826"/>
    <w:rsid w:val="005E716A"/>
    <w:rsid w:val="005E7346"/>
    <w:rsid w:val="005F06B7"/>
    <w:rsid w:val="005F1800"/>
    <w:rsid w:val="005F3D06"/>
    <w:rsid w:val="005F464F"/>
    <w:rsid w:val="005F53F8"/>
    <w:rsid w:val="00600359"/>
    <w:rsid w:val="00600E37"/>
    <w:rsid w:val="00602DC4"/>
    <w:rsid w:val="00602EB0"/>
    <w:rsid w:val="00602FF7"/>
    <w:rsid w:val="00604C93"/>
    <w:rsid w:val="00604DE4"/>
    <w:rsid w:val="0060537D"/>
    <w:rsid w:val="00605D64"/>
    <w:rsid w:val="00605FFF"/>
    <w:rsid w:val="00606A75"/>
    <w:rsid w:val="00607050"/>
    <w:rsid w:val="00607D28"/>
    <w:rsid w:val="00611576"/>
    <w:rsid w:val="00612207"/>
    <w:rsid w:val="00613A0D"/>
    <w:rsid w:val="00613D4F"/>
    <w:rsid w:val="00614E6F"/>
    <w:rsid w:val="00614FB3"/>
    <w:rsid w:val="006179A5"/>
    <w:rsid w:val="006204CC"/>
    <w:rsid w:val="00620B4D"/>
    <w:rsid w:val="00621025"/>
    <w:rsid w:val="00621E9A"/>
    <w:rsid w:val="00621EAB"/>
    <w:rsid w:val="00622B30"/>
    <w:rsid w:val="00624A1C"/>
    <w:rsid w:val="00625D25"/>
    <w:rsid w:val="00626751"/>
    <w:rsid w:val="00626C42"/>
    <w:rsid w:val="0063094A"/>
    <w:rsid w:val="0063203D"/>
    <w:rsid w:val="006326A7"/>
    <w:rsid w:val="00632C88"/>
    <w:rsid w:val="00635463"/>
    <w:rsid w:val="00635B79"/>
    <w:rsid w:val="006377A9"/>
    <w:rsid w:val="00641BCB"/>
    <w:rsid w:val="00641C3E"/>
    <w:rsid w:val="00642F91"/>
    <w:rsid w:val="00643231"/>
    <w:rsid w:val="00643980"/>
    <w:rsid w:val="00644BE7"/>
    <w:rsid w:val="006454C0"/>
    <w:rsid w:val="0064646B"/>
    <w:rsid w:val="00646A5C"/>
    <w:rsid w:val="00647F66"/>
    <w:rsid w:val="00650B41"/>
    <w:rsid w:val="00650D34"/>
    <w:rsid w:val="00651269"/>
    <w:rsid w:val="00652A60"/>
    <w:rsid w:val="00653440"/>
    <w:rsid w:val="0065386F"/>
    <w:rsid w:val="00653DB0"/>
    <w:rsid w:val="00654B6B"/>
    <w:rsid w:val="00654C2A"/>
    <w:rsid w:val="0065631E"/>
    <w:rsid w:val="00656368"/>
    <w:rsid w:val="00656CE9"/>
    <w:rsid w:val="00656F8B"/>
    <w:rsid w:val="00657027"/>
    <w:rsid w:val="00660765"/>
    <w:rsid w:val="00660804"/>
    <w:rsid w:val="0066233B"/>
    <w:rsid w:val="0066270F"/>
    <w:rsid w:val="006637E9"/>
    <w:rsid w:val="00664684"/>
    <w:rsid w:val="006656FA"/>
    <w:rsid w:val="00666A1A"/>
    <w:rsid w:val="00666CDD"/>
    <w:rsid w:val="00667D5A"/>
    <w:rsid w:val="006703BE"/>
    <w:rsid w:val="006707D6"/>
    <w:rsid w:val="006708C1"/>
    <w:rsid w:val="00670E54"/>
    <w:rsid w:val="00671EE9"/>
    <w:rsid w:val="0067259C"/>
    <w:rsid w:val="00672B99"/>
    <w:rsid w:val="00675F6B"/>
    <w:rsid w:val="006763BB"/>
    <w:rsid w:val="00676503"/>
    <w:rsid w:val="0068035A"/>
    <w:rsid w:val="0068121A"/>
    <w:rsid w:val="00681A59"/>
    <w:rsid w:val="00682581"/>
    <w:rsid w:val="006827AE"/>
    <w:rsid w:val="00682E4D"/>
    <w:rsid w:val="00683743"/>
    <w:rsid w:val="00684F4A"/>
    <w:rsid w:val="00685657"/>
    <w:rsid w:val="006857F4"/>
    <w:rsid w:val="00685F31"/>
    <w:rsid w:val="006860D5"/>
    <w:rsid w:val="006872FA"/>
    <w:rsid w:val="00693D17"/>
    <w:rsid w:val="00694C7C"/>
    <w:rsid w:val="006956E1"/>
    <w:rsid w:val="00696DF8"/>
    <w:rsid w:val="006A0722"/>
    <w:rsid w:val="006A1843"/>
    <w:rsid w:val="006A1A1F"/>
    <w:rsid w:val="006A1C72"/>
    <w:rsid w:val="006A2000"/>
    <w:rsid w:val="006A3D7C"/>
    <w:rsid w:val="006A5268"/>
    <w:rsid w:val="006A62C4"/>
    <w:rsid w:val="006B004F"/>
    <w:rsid w:val="006B26BD"/>
    <w:rsid w:val="006B5D0B"/>
    <w:rsid w:val="006B64A3"/>
    <w:rsid w:val="006B6DC7"/>
    <w:rsid w:val="006B717F"/>
    <w:rsid w:val="006C0925"/>
    <w:rsid w:val="006C2BC4"/>
    <w:rsid w:val="006C2F1A"/>
    <w:rsid w:val="006C34EC"/>
    <w:rsid w:val="006C46CE"/>
    <w:rsid w:val="006C4E8B"/>
    <w:rsid w:val="006C5D3D"/>
    <w:rsid w:val="006C66CB"/>
    <w:rsid w:val="006C7562"/>
    <w:rsid w:val="006D1378"/>
    <w:rsid w:val="006D1B56"/>
    <w:rsid w:val="006D1BEE"/>
    <w:rsid w:val="006D23AC"/>
    <w:rsid w:val="006D2965"/>
    <w:rsid w:val="006D4AAC"/>
    <w:rsid w:val="006D6A9E"/>
    <w:rsid w:val="006E046A"/>
    <w:rsid w:val="006E0743"/>
    <w:rsid w:val="006E1673"/>
    <w:rsid w:val="006E1BE9"/>
    <w:rsid w:val="006E2E8F"/>
    <w:rsid w:val="006E34D6"/>
    <w:rsid w:val="006E39EA"/>
    <w:rsid w:val="006E6FE8"/>
    <w:rsid w:val="006E7DE8"/>
    <w:rsid w:val="006F0B92"/>
    <w:rsid w:val="006F0FC1"/>
    <w:rsid w:val="006F14E8"/>
    <w:rsid w:val="006F7A6C"/>
    <w:rsid w:val="007015E0"/>
    <w:rsid w:val="0070184A"/>
    <w:rsid w:val="00702598"/>
    <w:rsid w:val="00702B46"/>
    <w:rsid w:val="00702CE1"/>
    <w:rsid w:val="00702CF5"/>
    <w:rsid w:val="00702FD4"/>
    <w:rsid w:val="007031E0"/>
    <w:rsid w:val="0070417A"/>
    <w:rsid w:val="0070597A"/>
    <w:rsid w:val="00706257"/>
    <w:rsid w:val="007064C8"/>
    <w:rsid w:val="007069F6"/>
    <w:rsid w:val="00706E94"/>
    <w:rsid w:val="00707A8F"/>
    <w:rsid w:val="00711629"/>
    <w:rsid w:val="00712F5B"/>
    <w:rsid w:val="0071420E"/>
    <w:rsid w:val="007144D8"/>
    <w:rsid w:val="00714C9A"/>
    <w:rsid w:val="00715DAF"/>
    <w:rsid w:val="007164C2"/>
    <w:rsid w:val="0071659F"/>
    <w:rsid w:val="00716679"/>
    <w:rsid w:val="00717956"/>
    <w:rsid w:val="00720131"/>
    <w:rsid w:val="00721B55"/>
    <w:rsid w:val="00723511"/>
    <w:rsid w:val="00723683"/>
    <w:rsid w:val="007245D0"/>
    <w:rsid w:val="007255C2"/>
    <w:rsid w:val="00725BC9"/>
    <w:rsid w:val="007265B4"/>
    <w:rsid w:val="00730B21"/>
    <w:rsid w:val="007328B0"/>
    <w:rsid w:val="007339E9"/>
    <w:rsid w:val="0073494E"/>
    <w:rsid w:val="00737A9D"/>
    <w:rsid w:val="00740C3C"/>
    <w:rsid w:val="00741211"/>
    <w:rsid w:val="00741779"/>
    <w:rsid w:val="00742774"/>
    <w:rsid w:val="00744ED8"/>
    <w:rsid w:val="0074601A"/>
    <w:rsid w:val="0075232D"/>
    <w:rsid w:val="007523F1"/>
    <w:rsid w:val="00752FBC"/>
    <w:rsid w:val="0075341D"/>
    <w:rsid w:val="007541D3"/>
    <w:rsid w:val="00755795"/>
    <w:rsid w:val="00755803"/>
    <w:rsid w:val="00755EA2"/>
    <w:rsid w:val="0075601D"/>
    <w:rsid w:val="00757413"/>
    <w:rsid w:val="007576BF"/>
    <w:rsid w:val="00760806"/>
    <w:rsid w:val="00761998"/>
    <w:rsid w:val="00761F75"/>
    <w:rsid w:val="007628A0"/>
    <w:rsid w:val="00762931"/>
    <w:rsid w:val="00762BDB"/>
    <w:rsid w:val="00764C7B"/>
    <w:rsid w:val="00765476"/>
    <w:rsid w:val="00765597"/>
    <w:rsid w:val="00765662"/>
    <w:rsid w:val="00765F1C"/>
    <w:rsid w:val="00766153"/>
    <w:rsid w:val="0076632D"/>
    <w:rsid w:val="007666A4"/>
    <w:rsid w:val="007666FF"/>
    <w:rsid w:val="007669D0"/>
    <w:rsid w:val="00766A0B"/>
    <w:rsid w:val="00767C3C"/>
    <w:rsid w:val="00771423"/>
    <w:rsid w:val="0077274F"/>
    <w:rsid w:val="00772B90"/>
    <w:rsid w:val="007750D2"/>
    <w:rsid w:val="0077776A"/>
    <w:rsid w:val="00777CC3"/>
    <w:rsid w:val="007812EB"/>
    <w:rsid w:val="007815D2"/>
    <w:rsid w:val="00782987"/>
    <w:rsid w:val="00783EDF"/>
    <w:rsid w:val="00784CCD"/>
    <w:rsid w:val="007864A8"/>
    <w:rsid w:val="00786838"/>
    <w:rsid w:val="007910E6"/>
    <w:rsid w:val="00791556"/>
    <w:rsid w:val="007916CD"/>
    <w:rsid w:val="007921E3"/>
    <w:rsid w:val="0079392D"/>
    <w:rsid w:val="00793C7C"/>
    <w:rsid w:val="00794215"/>
    <w:rsid w:val="007961BA"/>
    <w:rsid w:val="00796970"/>
    <w:rsid w:val="00796A50"/>
    <w:rsid w:val="00797BBF"/>
    <w:rsid w:val="007A0CC7"/>
    <w:rsid w:val="007A114C"/>
    <w:rsid w:val="007A2EA1"/>
    <w:rsid w:val="007A3A3D"/>
    <w:rsid w:val="007A4400"/>
    <w:rsid w:val="007A528F"/>
    <w:rsid w:val="007A56C8"/>
    <w:rsid w:val="007A60CB"/>
    <w:rsid w:val="007A60D3"/>
    <w:rsid w:val="007A7966"/>
    <w:rsid w:val="007B0213"/>
    <w:rsid w:val="007B250C"/>
    <w:rsid w:val="007B30C0"/>
    <w:rsid w:val="007B332D"/>
    <w:rsid w:val="007B6B9A"/>
    <w:rsid w:val="007C0983"/>
    <w:rsid w:val="007C0DA4"/>
    <w:rsid w:val="007C0F5E"/>
    <w:rsid w:val="007C1A3F"/>
    <w:rsid w:val="007C296D"/>
    <w:rsid w:val="007C5092"/>
    <w:rsid w:val="007C5726"/>
    <w:rsid w:val="007D055A"/>
    <w:rsid w:val="007D1B9D"/>
    <w:rsid w:val="007D2057"/>
    <w:rsid w:val="007D30FE"/>
    <w:rsid w:val="007D3C7F"/>
    <w:rsid w:val="007D491E"/>
    <w:rsid w:val="007D5FC5"/>
    <w:rsid w:val="007D7814"/>
    <w:rsid w:val="007E06CA"/>
    <w:rsid w:val="007E3EEA"/>
    <w:rsid w:val="007E3EEE"/>
    <w:rsid w:val="007E4950"/>
    <w:rsid w:val="007E4BEB"/>
    <w:rsid w:val="007E5229"/>
    <w:rsid w:val="007E6ACD"/>
    <w:rsid w:val="007E7DB7"/>
    <w:rsid w:val="007F00BD"/>
    <w:rsid w:val="007F15A7"/>
    <w:rsid w:val="007F3471"/>
    <w:rsid w:val="007F3AE2"/>
    <w:rsid w:val="007F3D89"/>
    <w:rsid w:val="007F544D"/>
    <w:rsid w:val="007F5777"/>
    <w:rsid w:val="007F6082"/>
    <w:rsid w:val="00803A8F"/>
    <w:rsid w:val="008050D8"/>
    <w:rsid w:val="008055D5"/>
    <w:rsid w:val="00806457"/>
    <w:rsid w:val="00807056"/>
    <w:rsid w:val="00807AE4"/>
    <w:rsid w:val="00807EC5"/>
    <w:rsid w:val="00810C35"/>
    <w:rsid w:val="00810EDB"/>
    <w:rsid w:val="008110C7"/>
    <w:rsid w:val="00812249"/>
    <w:rsid w:val="00812909"/>
    <w:rsid w:val="00814320"/>
    <w:rsid w:val="00815E3C"/>
    <w:rsid w:val="00817651"/>
    <w:rsid w:val="0081785D"/>
    <w:rsid w:val="00817CA6"/>
    <w:rsid w:val="0082166F"/>
    <w:rsid w:val="008224A6"/>
    <w:rsid w:val="00822DBB"/>
    <w:rsid w:val="0082411F"/>
    <w:rsid w:val="0082600B"/>
    <w:rsid w:val="00826E0D"/>
    <w:rsid w:val="008271FE"/>
    <w:rsid w:val="00827E1A"/>
    <w:rsid w:val="00830079"/>
    <w:rsid w:val="00830190"/>
    <w:rsid w:val="008317AF"/>
    <w:rsid w:val="00831ECE"/>
    <w:rsid w:val="008323D5"/>
    <w:rsid w:val="0083292A"/>
    <w:rsid w:val="00832EF8"/>
    <w:rsid w:val="008337F8"/>
    <w:rsid w:val="00833BD2"/>
    <w:rsid w:val="00834F0E"/>
    <w:rsid w:val="008358F3"/>
    <w:rsid w:val="008359CC"/>
    <w:rsid w:val="0083646F"/>
    <w:rsid w:val="0083785B"/>
    <w:rsid w:val="00837B95"/>
    <w:rsid w:val="00840A36"/>
    <w:rsid w:val="00840B60"/>
    <w:rsid w:val="00842ABC"/>
    <w:rsid w:val="00843102"/>
    <w:rsid w:val="008453CA"/>
    <w:rsid w:val="00846639"/>
    <w:rsid w:val="0084705F"/>
    <w:rsid w:val="008470B5"/>
    <w:rsid w:val="008477BB"/>
    <w:rsid w:val="00850A35"/>
    <w:rsid w:val="00850D4A"/>
    <w:rsid w:val="008522BA"/>
    <w:rsid w:val="00853D60"/>
    <w:rsid w:val="00855C46"/>
    <w:rsid w:val="0085675A"/>
    <w:rsid w:val="00856CD6"/>
    <w:rsid w:val="008570D4"/>
    <w:rsid w:val="00857E70"/>
    <w:rsid w:val="00862EEB"/>
    <w:rsid w:val="00863435"/>
    <w:rsid w:val="008647A4"/>
    <w:rsid w:val="00864B61"/>
    <w:rsid w:val="00866432"/>
    <w:rsid w:val="008676B8"/>
    <w:rsid w:val="00867806"/>
    <w:rsid w:val="00867A8F"/>
    <w:rsid w:val="00867EE5"/>
    <w:rsid w:val="0087045F"/>
    <w:rsid w:val="0087172E"/>
    <w:rsid w:val="008735FD"/>
    <w:rsid w:val="00874EDC"/>
    <w:rsid w:val="008803ED"/>
    <w:rsid w:val="0088065D"/>
    <w:rsid w:val="0088177E"/>
    <w:rsid w:val="008817C0"/>
    <w:rsid w:val="008817E9"/>
    <w:rsid w:val="00882049"/>
    <w:rsid w:val="0088237E"/>
    <w:rsid w:val="00884AC3"/>
    <w:rsid w:val="00884AC8"/>
    <w:rsid w:val="00884DC0"/>
    <w:rsid w:val="0089221C"/>
    <w:rsid w:val="0089320F"/>
    <w:rsid w:val="00893AC6"/>
    <w:rsid w:val="00893B64"/>
    <w:rsid w:val="00893F7E"/>
    <w:rsid w:val="00896EDE"/>
    <w:rsid w:val="00897C3B"/>
    <w:rsid w:val="008A1FFB"/>
    <w:rsid w:val="008A3322"/>
    <w:rsid w:val="008A5986"/>
    <w:rsid w:val="008A5D95"/>
    <w:rsid w:val="008A5DDE"/>
    <w:rsid w:val="008A6F5C"/>
    <w:rsid w:val="008A7751"/>
    <w:rsid w:val="008B079D"/>
    <w:rsid w:val="008B18F7"/>
    <w:rsid w:val="008B1D51"/>
    <w:rsid w:val="008B1D58"/>
    <w:rsid w:val="008B232D"/>
    <w:rsid w:val="008B3A05"/>
    <w:rsid w:val="008B4DF7"/>
    <w:rsid w:val="008B6C12"/>
    <w:rsid w:val="008B7835"/>
    <w:rsid w:val="008B7A4D"/>
    <w:rsid w:val="008C0B41"/>
    <w:rsid w:val="008C3337"/>
    <w:rsid w:val="008C6600"/>
    <w:rsid w:val="008C6D3A"/>
    <w:rsid w:val="008D0EC4"/>
    <w:rsid w:val="008D1E13"/>
    <w:rsid w:val="008D28EA"/>
    <w:rsid w:val="008D37F2"/>
    <w:rsid w:val="008D545F"/>
    <w:rsid w:val="008D568E"/>
    <w:rsid w:val="008D5955"/>
    <w:rsid w:val="008E01AF"/>
    <w:rsid w:val="008E04F7"/>
    <w:rsid w:val="008E0F17"/>
    <w:rsid w:val="008E2955"/>
    <w:rsid w:val="008E4A1B"/>
    <w:rsid w:val="008E50E8"/>
    <w:rsid w:val="008E53CD"/>
    <w:rsid w:val="008E7011"/>
    <w:rsid w:val="008F2D13"/>
    <w:rsid w:val="008F30B4"/>
    <w:rsid w:val="008F30C0"/>
    <w:rsid w:val="008F363A"/>
    <w:rsid w:val="008F3DD4"/>
    <w:rsid w:val="008F5C35"/>
    <w:rsid w:val="008F5DD8"/>
    <w:rsid w:val="008F66D9"/>
    <w:rsid w:val="008F735C"/>
    <w:rsid w:val="00900294"/>
    <w:rsid w:val="0090087A"/>
    <w:rsid w:val="00900B3A"/>
    <w:rsid w:val="009019BC"/>
    <w:rsid w:val="009023E0"/>
    <w:rsid w:val="009035BD"/>
    <w:rsid w:val="00903AA1"/>
    <w:rsid w:val="0090429D"/>
    <w:rsid w:val="00904DE8"/>
    <w:rsid w:val="00905642"/>
    <w:rsid w:val="00905F53"/>
    <w:rsid w:val="00906112"/>
    <w:rsid w:val="00906ADB"/>
    <w:rsid w:val="00906C43"/>
    <w:rsid w:val="009071C1"/>
    <w:rsid w:val="00907E8D"/>
    <w:rsid w:val="00910129"/>
    <w:rsid w:val="009101CC"/>
    <w:rsid w:val="009104A6"/>
    <w:rsid w:val="00911142"/>
    <w:rsid w:val="00911873"/>
    <w:rsid w:val="00911F2C"/>
    <w:rsid w:val="009123E7"/>
    <w:rsid w:val="0091326D"/>
    <w:rsid w:val="009145A1"/>
    <w:rsid w:val="00914717"/>
    <w:rsid w:val="00914962"/>
    <w:rsid w:val="00914C34"/>
    <w:rsid w:val="00915939"/>
    <w:rsid w:val="00917391"/>
    <w:rsid w:val="00917401"/>
    <w:rsid w:val="00921254"/>
    <w:rsid w:val="00921793"/>
    <w:rsid w:val="00922C62"/>
    <w:rsid w:val="00922D01"/>
    <w:rsid w:val="0092430E"/>
    <w:rsid w:val="00924766"/>
    <w:rsid w:val="00924A96"/>
    <w:rsid w:val="009258C3"/>
    <w:rsid w:val="009274FB"/>
    <w:rsid w:val="00930677"/>
    <w:rsid w:val="00931AE0"/>
    <w:rsid w:val="00931C31"/>
    <w:rsid w:val="00931EF2"/>
    <w:rsid w:val="00933927"/>
    <w:rsid w:val="00933E5D"/>
    <w:rsid w:val="009341DD"/>
    <w:rsid w:val="00935129"/>
    <w:rsid w:val="00935D25"/>
    <w:rsid w:val="0093675F"/>
    <w:rsid w:val="00937B2E"/>
    <w:rsid w:val="00937B35"/>
    <w:rsid w:val="009406C1"/>
    <w:rsid w:val="009408E3"/>
    <w:rsid w:val="009411CD"/>
    <w:rsid w:val="009415AF"/>
    <w:rsid w:val="009418FA"/>
    <w:rsid w:val="00941F52"/>
    <w:rsid w:val="00942FC6"/>
    <w:rsid w:val="0094502D"/>
    <w:rsid w:val="009456D8"/>
    <w:rsid w:val="00946335"/>
    <w:rsid w:val="009464F0"/>
    <w:rsid w:val="0094657D"/>
    <w:rsid w:val="0094746C"/>
    <w:rsid w:val="00947BC2"/>
    <w:rsid w:val="009505F2"/>
    <w:rsid w:val="0095080C"/>
    <w:rsid w:val="00950D77"/>
    <w:rsid w:val="00951CDA"/>
    <w:rsid w:val="0095216A"/>
    <w:rsid w:val="00954B99"/>
    <w:rsid w:val="009564D5"/>
    <w:rsid w:val="00956BF7"/>
    <w:rsid w:val="00956F6D"/>
    <w:rsid w:val="00957E84"/>
    <w:rsid w:val="00957FF4"/>
    <w:rsid w:val="0096011A"/>
    <w:rsid w:val="00960632"/>
    <w:rsid w:val="00961226"/>
    <w:rsid w:val="009638FC"/>
    <w:rsid w:val="00967112"/>
    <w:rsid w:val="0096741B"/>
    <w:rsid w:val="009679FD"/>
    <w:rsid w:val="00970B7C"/>
    <w:rsid w:val="009720A3"/>
    <w:rsid w:val="00973FB5"/>
    <w:rsid w:val="00975DCD"/>
    <w:rsid w:val="0098169C"/>
    <w:rsid w:val="00982A3F"/>
    <w:rsid w:val="00984C97"/>
    <w:rsid w:val="00984F69"/>
    <w:rsid w:val="00985053"/>
    <w:rsid w:val="00985906"/>
    <w:rsid w:val="00986619"/>
    <w:rsid w:val="00991CB7"/>
    <w:rsid w:val="0099272D"/>
    <w:rsid w:val="00992928"/>
    <w:rsid w:val="00992F25"/>
    <w:rsid w:val="00993585"/>
    <w:rsid w:val="00993D1E"/>
    <w:rsid w:val="00994DCD"/>
    <w:rsid w:val="00996DC5"/>
    <w:rsid w:val="0099751C"/>
    <w:rsid w:val="009A0D45"/>
    <w:rsid w:val="009A1FC9"/>
    <w:rsid w:val="009A207B"/>
    <w:rsid w:val="009A2093"/>
    <w:rsid w:val="009A2404"/>
    <w:rsid w:val="009A29B7"/>
    <w:rsid w:val="009A3A09"/>
    <w:rsid w:val="009A51F2"/>
    <w:rsid w:val="009A6B82"/>
    <w:rsid w:val="009B1056"/>
    <w:rsid w:val="009B1396"/>
    <w:rsid w:val="009B19C4"/>
    <w:rsid w:val="009B1D62"/>
    <w:rsid w:val="009B4A16"/>
    <w:rsid w:val="009B56D5"/>
    <w:rsid w:val="009C169A"/>
    <w:rsid w:val="009C1899"/>
    <w:rsid w:val="009C4E4B"/>
    <w:rsid w:val="009C7A97"/>
    <w:rsid w:val="009D01E9"/>
    <w:rsid w:val="009D0F2E"/>
    <w:rsid w:val="009D1F6B"/>
    <w:rsid w:val="009D6C64"/>
    <w:rsid w:val="009D6D1C"/>
    <w:rsid w:val="009D78EA"/>
    <w:rsid w:val="009E15F8"/>
    <w:rsid w:val="009E37EE"/>
    <w:rsid w:val="009E3F73"/>
    <w:rsid w:val="009E5012"/>
    <w:rsid w:val="009E5618"/>
    <w:rsid w:val="009E7100"/>
    <w:rsid w:val="009F0683"/>
    <w:rsid w:val="009F18D3"/>
    <w:rsid w:val="009F2887"/>
    <w:rsid w:val="009F3514"/>
    <w:rsid w:val="009F36D0"/>
    <w:rsid w:val="009F418F"/>
    <w:rsid w:val="009F43A7"/>
    <w:rsid w:val="009F4DEA"/>
    <w:rsid w:val="009F7716"/>
    <w:rsid w:val="009F7C86"/>
    <w:rsid w:val="00A00002"/>
    <w:rsid w:val="00A00BA7"/>
    <w:rsid w:val="00A01940"/>
    <w:rsid w:val="00A01DED"/>
    <w:rsid w:val="00A020AB"/>
    <w:rsid w:val="00A029D1"/>
    <w:rsid w:val="00A033A4"/>
    <w:rsid w:val="00A0367D"/>
    <w:rsid w:val="00A03990"/>
    <w:rsid w:val="00A0451A"/>
    <w:rsid w:val="00A054DC"/>
    <w:rsid w:val="00A104DE"/>
    <w:rsid w:val="00A10B17"/>
    <w:rsid w:val="00A111BB"/>
    <w:rsid w:val="00A12625"/>
    <w:rsid w:val="00A12928"/>
    <w:rsid w:val="00A1369A"/>
    <w:rsid w:val="00A14284"/>
    <w:rsid w:val="00A14F3B"/>
    <w:rsid w:val="00A208AA"/>
    <w:rsid w:val="00A22300"/>
    <w:rsid w:val="00A230F6"/>
    <w:rsid w:val="00A23D90"/>
    <w:rsid w:val="00A243C0"/>
    <w:rsid w:val="00A24D3E"/>
    <w:rsid w:val="00A24FDE"/>
    <w:rsid w:val="00A2689B"/>
    <w:rsid w:val="00A3003C"/>
    <w:rsid w:val="00A30A03"/>
    <w:rsid w:val="00A30BDA"/>
    <w:rsid w:val="00A31CE9"/>
    <w:rsid w:val="00A32B7E"/>
    <w:rsid w:val="00A32C06"/>
    <w:rsid w:val="00A340B1"/>
    <w:rsid w:val="00A3685B"/>
    <w:rsid w:val="00A36CDF"/>
    <w:rsid w:val="00A40805"/>
    <w:rsid w:val="00A412E5"/>
    <w:rsid w:val="00A41CBF"/>
    <w:rsid w:val="00A44128"/>
    <w:rsid w:val="00A463F6"/>
    <w:rsid w:val="00A468D6"/>
    <w:rsid w:val="00A46BBE"/>
    <w:rsid w:val="00A47810"/>
    <w:rsid w:val="00A47F42"/>
    <w:rsid w:val="00A51BA6"/>
    <w:rsid w:val="00A5222E"/>
    <w:rsid w:val="00A536E9"/>
    <w:rsid w:val="00A54036"/>
    <w:rsid w:val="00A5465C"/>
    <w:rsid w:val="00A560DA"/>
    <w:rsid w:val="00A56216"/>
    <w:rsid w:val="00A562BB"/>
    <w:rsid w:val="00A5743F"/>
    <w:rsid w:val="00A57660"/>
    <w:rsid w:val="00A60618"/>
    <w:rsid w:val="00A6066D"/>
    <w:rsid w:val="00A611AA"/>
    <w:rsid w:val="00A613D2"/>
    <w:rsid w:val="00A61587"/>
    <w:rsid w:val="00A616A8"/>
    <w:rsid w:val="00A61B55"/>
    <w:rsid w:val="00A625EE"/>
    <w:rsid w:val="00A62DDC"/>
    <w:rsid w:val="00A63488"/>
    <w:rsid w:val="00A64288"/>
    <w:rsid w:val="00A665FC"/>
    <w:rsid w:val="00A6674E"/>
    <w:rsid w:val="00A668F3"/>
    <w:rsid w:val="00A66E1B"/>
    <w:rsid w:val="00A66FC3"/>
    <w:rsid w:val="00A70B6D"/>
    <w:rsid w:val="00A72923"/>
    <w:rsid w:val="00A72FDB"/>
    <w:rsid w:val="00A734F9"/>
    <w:rsid w:val="00A73F3F"/>
    <w:rsid w:val="00A742EE"/>
    <w:rsid w:val="00A749F8"/>
    <w:rsid w:val="00A751CF"/>
    <w:rsid w:val="00A76DD3"/>
    <w:rsid w:val="00A82BC6"/>
    <w:rsid w:val="00A83984"/>
    <w:rsid w:val="00A83D69"/>
    <w:rsid w:val="00A85304"/>
    <w:rsid w:val="00A8540A"/>
    <w:rsid w:val="00A86129"/>
    <w:rsid w:val="00A862DD"/>
    <w:rsid w:val="00A86CA9"/>
    <w:rsid w:val="00A871C4"/>
    <w:rsid w:val="00A879A3"/>
    <w:rsid w:val="00A87B69"/>
    <w:rsid w:val="00A87DBF"/>
    <w:rsid w:val="00A90C8F"/>
    <w:rsid w:val="00A911B5"/>
    <w:rsid w:val="00A91821"/>
    <w:rsid w:val="00A91B58"/>
    <w:rsid w:val="00A91D6E"/>
    <w:rsid w:val="00A91DB2"/>
    <w:rsid w:val="00A936C0"/>
    <w:rsid w:val="00A937DB"/>
    <w:rsid w:val="00A94252"/>
    <w:rsid w:val="00A9513E"/>
    <w:rsid w:val="00A95C6F"/>
    <w:rsid w:val="00A9641E"/>
    <w:rsid w:val="00A976FE"/>
    <w:rsid w:val="00AA05CC"/>
    <w:rsid w:val="00AA111E"/>
    <w:rsid w:val="00AA1514"/>
    <w:rsid w:val="00AA3F24"/>
    <w:rsid w:val="00AA4B35"/>
    <w:rsid w:val="00AA5D26"/>
    <w:rsid w:val="00AA7319"/>
    <w:rsid w:val="00AB016F"/>
    <w:rsid w:val="00AB0C4D"/>
    <w:rsid w:val="00AB1DDF"/>
    <w:rsid w:val="00AB2198"/>
    <w:rsid w:val="00AB268E"/>
    <w:rsid w:val="00AB2B24"/>
    <w:rsid w:val="00AB35C7"/>
    <w:rsid w:val="00AB4E87"/>
    <w:rsid w:val="00AB5389"/>
    <w:rsid w:val="00AB5EA9"/>
    <w:rsid w:val="00AB6CFA"/>
    <w:rsid w:val="00AB73BC"/>
    <w:rsid w:val="00AB7408"/>
    <w:rsid w:val="00AB7A1E"/>
    <w:rsid w:val="00AC0F26"/>
    <w:rsid w:val="00AC268E"/>
    <w:rsid w:val="00AC3231"/>
    <w:rsid w:val="00AC6720"/>
    <w:rsid w:val="00AC683B"/>
    <w:rsid w:val="00AC6A9E"/>
    <w:rsid w:val="00AC6DDB"/>
    <w:rsid w:val="00AC7AD4"/>
    <w:rsid w:val="00AD0A52"/>
    <w:rsid w:val="00AD11C7"/>
    <w:rsid w:val="00AD2785"/>
    <w:rsid w:val="00AD4EF7"/>
    <w:rsid w:val="00AD6A6C"/>
    <w:rsid w:val="00AD6FB2"/>
    <w:rsid w:val="00AD7538"/>
    <w:rsid w:val="00AE029C"/>
    <w:rsid w:val="00AE0551"/>
    <w:rsid w:val="00AE0D98"/>
    <w:rsid w:val="00AE0EFA"/>
    <w:rsid w:val="00AE1EC5"/>
    <w:rsid w:val="00AE2539"/>
    <w:rsid w:val="00AE2BCC"/>
    <w:rsid w:val="00AE2F85"/>
    <w:rsid w:val="00AE3EE5"/>
    <w:rsid w:val="00AE420A"/>
    <w:rsid w:val="00AE7048"/>
    <w:rsid w:val="00AE70CC"/>
    <w:rsid w:val="00AF013B"/>
    <w:rsid w:val="00AF27A7"/>
    <w:rsid w:val="00AF3582"/>
    <w:rsid w:val="00AF48F8"/>
    <w:rsid w:val="00AF4979"/>
    <w:rsid w:val="00AF4C7F"/>
    <w:rsid w:val="00AF526A"/>
    <w:rsid w:val="00AF52CC"/>
    <w:rsid w:val="00AF69F6"/>
    <w:rsid w:val="00AF71FD"/>
    <w:rsid w:val="00AF7928"/>
    <w:rsid w:val="00B00562"/>
    <w:rsid w:val="00B00A72"/>
    <w:rsid w:val="00B019FC"/>
    <w:rsid w:val="00B04DA6"/>
    <w:rsid w:val="00B0527D"/>
    <w:rsid w:val="00B05756"/>
    <w:rsid w:val="00B06129"/>
    <w:rsid w:val="00B06ACD"/>
    <w:rsid w:val="00B06B14"/>
    <w:rsid w:val="00B0724E"/>
    <w:rsid w:val="00B1166D"/>
    <w:rsid w:val="00B13617"/>
    <w:rsid w:val="00B15F36"/>
    <w:rsid w:val="00B2003C"/>
    <w:rsid w:val="00B20DF2"/>
    <w:rsid w:val="00B20E84"/>
    <w:rsid w:val="00B22F51"/>
    <w:rsid w:val="00B233C7"/>
    <w:rsid w:val="00B24F5E"/>
    <w:rsid w:val="00B25808"/>
    <w:rsid w:val="00B25868"/>
    <w:rsid w:val="00B260D6"/>
    <w:rsid w:val="00B260F8"/>
    <w:rsid w:val="00B26615"/>
    <w:rsid w:val="00B277F2"/>
    <w:rsid w:val="00B320D6"/>
    <w:rsid w:val="00B322BE"/>
    <w:rsid w:val="00B33DAC"/>
    <w:rsid w:val="00B34069"/>
    <w:rsid w:val="00B34F5D"/>
    <w:rsid w:val="00B35258"/>
    <w:rsid w:val="00B37716"/>
    <w:rsid w:val="00B400AC"/>
    <w:rsid w:val="00B40A43"/>
    <w:rsid w:val="00B42059"/>
    <w:rsid w:val="00B42757"/>
    <w:rsid w:val="00B43991"/>
    <w:rsid w:val="00B442FD"/>
    <w:rsid w:val="00B453F0"/>
    <w:rsid w:val="00B4560C"/>
    <w:rsid w:val="00B46402"/>
    <w:rsid w:val="00B46954"/>
    <w:rsid w:val="00B46AE6"/>
    <w:rsid w:val="00B46D83"/>
    <w:rsid w:val="00B4777E"/>
    <w:rsid w:val="00B501CF"/>
    <w:rsid w:val="00B505E0"/>
    <w:rsid w:val="00B54813"/>
    <w:rsid w:val="00B575AC"/>
    <w:rsid w:val="00B5792E"/>
    <w:rsid w:val="00B62DDB"/>
    <w:rsid w:val="00B63648"/>
    <w:rsid w:val="00B63979"/>
    <w:rsid w:val="00B64347"/>
    <w:rsid w:val="00B64D66"/>
    <w:rsid w:val="00B65A7B"/>
    <w:rsid w:val="00B669E4"/>
    <w:rsid w:val="00B67290"/>
    <w:rsid w:val="00B6745F"/>
    <w:rsid w:val="00B71AFB"/>
    <w:rsid w:val="00B7304C"/>
    <w:rsid w:val="00B7335E"/>
    <w:rsid w:val="00B7363A"/>
    <w:rsid w:val="00B7386F"/>
    <w:rsid w:val="00B73961"/>
    <w:rsid w:val="00B7451A"/>
    <w:rsid w:val="00B7476E"/>
    <w:rsid w:val="00B74F2D"/>
    <w:rsid w:val="00B76357"/>
    <w:rsid w:val="00B76A63"/>
    <w:rsid w:val="00B773D4"/>
    <w:rsid w:val="00B7776A"/>
    <w:rsid w:val="00B80573"/>
    <w:rsid w:val="00B80800"/>
    <w:rsid w:val="00B80941"/>
    <w:rsid w:val="00B80A76"/>
    <w:rsid w:val="00B80F75"/>
    <w:rsid w:val="00B81526"/>
    <w:rsid w:val="00B81BBC"/>
    <w:rsid w:val="00B820BB"/>
    <w:rsid w:val="00B83E93"/>
    <w:rsid w:val="00B85043"/>
    <w:rsid w:val="00B86F37"/>
    <w:rsid w:val="00B8737F"/>
    <w:rsid w:val="00B90CCF"/>
    <w:rsid w:val="00B91EB6"/>
    <w:rsid w:val="00B92123"/>
    <w:rsid w:val="00B9349F"/>
    <w:rsid w:val="00B93BD7"/>
    <w:rsid w:val="00B93C6C"/>
    <w:rsid w:val="00B93CEA"/>
    <w:rsid w:val="00B94AB5"/>
    <w:rsid w:val="00B95A99"/>
    <w:rsid w:val="00B95E89"/>
    <w:rsid w:val="00B95FCD"/>
    <w:rsid w:val="00BA0A35"/>
    <w:rsid w:val="00BA1961"/>
    <w:rsid w:val="00BA1BB1"/>
    <w:rsid w:val="00BA3547"/>
    <w:rsid w:val="00BA412F"/>
    <w:rsid w:val="00BA4409"/>
    <w:rsid w:val="00BA4ABB"/>
    <w:rsid w:val="00BA5F8F"/>
    <w:rsid w:val="00BA7323"/>
    <w:rsid w:val="00BA77CF"/>
    <w:rsid w:val="00BB15CB"/>
    <w:rsid w:val="00BB1E28"/>
    <w:rsid w:val="00BB1EE6"/>
    <w:rsid w:val="00BB2AB2"/>
    <w:rsid w:val="00BB4D19"/>
    <w:rsid w:val="00BC0004"/>
    <w:rsid w:val="00BC0672"/>
    <w:rsid w:val="00BC0F72"/>
    <w:rsid w:val="00BC2AE8"/>
    <w:rsid w:val="00BC2BA9"/>
    <w:rsid w:val="00BC3194"/>
    <w:rsid w:val="00BC347D"/>
    <w:rsid w:val="00BC3852"/>
    <w:rsid w:val="00BC3C7C"/>
    <w:rsid w:val="00BC42CF"/>
    <w:rsid w:val="00BC42DF"/>
    <w:rsid w:val="00BC4CDD"/>
    <w:rsid w:val="00BC4D34"/>
    <w:rsid w:val="00BC5BC3"/>
    <w:rsid w:val="00BC5C50"/>
    <w:rsid w:val="00BC6CE6"/>
    <w:rsid w:val="00BC78FA"/>
    <w:rsid w:val="00BD00C7"/>
    <w:rsid w:val="00BD0740"/>
    <w:rsid w:val="00BD0BF1"/>
    <w:rsid w:val="00BD0D67"/>
    <w:rsid w:val="00BD196C"/>
    <w:rsid w:val="00BD2AB5"/>
    <w:rsid w:val="00BD2B8E"/>
    <w:rsid w:val="00BD2E2D"/>
    <w:rsid w:val="00BD37A2"/>
    <w:rsid w:val="00BD4510"/>
    <w:rsid w:val="00BD4962"/>
    <w:rsid w:val="00BD4C79"/>
    <w:rsid w:val="00BD4E1A"/>
    <w:rsid w:val="00BD6096"/>
    <w:rsid w:val="00BD6FF4"/>
    <w:rsid w:val="00BD70E5"/>
    <w:rsid w:val="00BD7214"/>
    <w:rsid w:val="00BD772D"/>
    <w:rsid w:val="00BD78C8"/>
    <w:rsid w:val="00BD7E0A"/>
    <w:rsid w:val="00BE2A71"/>
    <w:rsid w:val="00BE3E77"/>
    <w:rsid w:val="00BE7EF3"/>
    <w:rsid w:val="00BF0C80"/>
    <w:rsid w:val="00BF19FE"/>
    <w:rsid w:val="00BF29D2"/>
    <w:rsid w:val="00BF2B2B"/>
    <w:rsid w:val="00BF35D4"/>
    <w:rsid w:val="00BF45FC"/>
    <w:rsid w:val="00BF483B"/>
    <w:rsid w:val="00BF4E4B"/>
    <w:rsid w:val="00BF5A3C"/>
    <w:rsid w:val="00BF6E98"/>
    <w:rsid w:val="00BF7CAA"/>
    <w:rsid w:val="00BF7F35"/>
    <w:rsid w:val="00C026B9"/>
    <w:rsid w:val="00C028D6"/>
    <w:rsid w:val="00C02CAE"/>
    <w:rsid w:val="00C03E7E"/>
    <w:rsid w:val="00C03F25"/>
    <w:rsid w:val="00C04A1C"/>
    <w:rsid w:val="00C054D7"/>
    <w:rsid w:val="00C05843"/>
    <w:rsid w:val="00C07123"/>
    <w:rsid w:val="00C071A7"/>
    <w:rsid w:val="00C07EF8"/>
    <w:rsid w:val="00C07FE9"/>
    <w:rsid w:val="00C1042D"/>
    <w:rsid w:val="00C10A76"/>
    <w:rsid w:val="00C1310B"/>
    <w:rsid w:val="00C14749"/>
    <w:rsid w:val="00C160DA"/>
    <w:rsid w:val="00C16466"/>
    <w:rsid w:val="00C16741"/>
    <w:rsid w:val="00C167DF"/>
    <w:rsid w:val="00C16917"/>
    <w:rsid w:val="00C20777"/>
    <w:rsid w:val="00C2301B"/>
    <w:rsid w:val="00C23271"/>
    <w:rsid w:val="00C23D2B"/>
    <w:rsid w:val="00C23DEB"/>
    <w:rsid w:val="00C2434A"/>
    <w:rsid w:val="00C25648"/>
    <w:rsid w:val="00C25909"/>
    <w:rsid w:val="00C26C6E"/>
    <w:rsid w:val="00C27224"/>
    <w:rsid w:val="00C3018E"/>
    <w:rsid w:val="00C327F5"/>
    <w:rsid w:val="00C33BC9"/>
    <w:rsid w:val="00C33E9E"/>
    <w:rsid w:val="00C34955"/>
    <w:rsid w:val="00C34EB4"/>
    <w:rsid w:val="00C359FA"/>
    <w:rsid w:val="00C35A55"/>
    <w:rsid w:val="00C37BB4"/>
    <w:rsid w:val="00C401C5"/>
    <w:rsid w:val="00C42832"/>
    <w:rsid w:val="00C4493F"/>
    <w:rsid w:val="00C45B3F"/>
    <w:rsid w:val="00C45EF8"/>
    <w:rsid w:val="00C45F7F"/>
    <w:rsid w:val="00C46EA1"/>
    <w:rsid w:val="00C50569"/>
    <w:rsid w:val="00C50FC8"/>
    <w:rsid w:val="00C51883"/>
    <w:rsid w:val="00C51A82"/>
    <w:rsid w:val="00C51B14"/>
    <w:rsid w:val="00C52592"/>
    <w:rsid w:val="00C52975"/>
    <w:rsid w:val="00C53231"/>
    <w:rsid w:val="00C533CB"/>
    <w:rsid w:val="00C53787"/>
    <w:rsid w:val="00C53F72"/>
    <w:rsid w:val="00C552AD"/>
    <w:rsid w:val="00C552FA"/>
    <w:rsid w:val="00C60B34"/>
    <w:rsid w:val="00C613A3"/>
    <w:rsid w:val="00C633CC"/>
    <w:rsid w:val="00C64F52"/>
    <w:rsid w:val="00C657D0"/>
    <w:rsid w:val="00C65F29"/>
    <w:rsid w:val="00C65F43"/>
    <w:rsid w:val="00C66FF3"/>
    <w:rsid w:val="00C70E21"/>
    <w:rsid w:val="00C718A3"/>
    <w:rsid w:val="00C725C9"/>
    <w:rsid w:val="00C73D84"/>
    <w:rsid w:val="00C74542"/>
    <w:rsid w:val="00C75A1A"/>
    <w:rsid w:val="00C75A45"/>
    <w:rsid w:val="00C76A45"/>
    <w:rsid w:val="00C77997"/>
    <w:rsid w:val="00C80804"/>
    <w:rsid w:val="00C81019"/>
    <w:rsid w:val="00C81138"/>
    <w:rsid w:val="00C81ADD"/>
    <w:rsid w:val="00C81CE6"/>
    <w:rsid w:val="00C8202E"/>
    <w:rsid w:val="00C82313"/>
    <w:rsid w:val="00C82D18"/>
    <w:rsid w:val="00C83904"/>
    <w:rsid w:val="00C83B0F"/>
    <w:rsid w:val="00C83C98"/>
    <w:rsid w:val="00C8431F"/>
    <w:rsid w:val="00C84A5F"/>
    <w:rsid w:val="00C851A2"/>
    <w:rsid w:val="00C86CA6"/>
    <w:rsid w:val="00C87444"/>
    <w:rsid w:val="00C905A9"/>
    <w:rsid w:val="00C90A35"/>
    <w:rsid w:val="00C90AB8"/>
    <w:rsid w:val="00C91650"/>
    <w:rsid w:val="00C91CA7"/>
    <w:rsid w:val="00C9326A"/>
    <w:rsid w:val="00C94F21"/>
    <w:rsid w:val="00C94FA0"/>
    <w:rsid w:val="00C955E7"/>
    <w:rsid w:val="00C95FB1"/>
    <w:rsid w:val="00CA12F3"/>
    <w:rsid w:val="00CA21F9"/>
    <w:rsid w:val="00CA39C3"/>
    <w:rsid w:val="00CA3E55"/>
    <w:rsid w:val="00CA3EBC"/>
    <w:rsid w:val="00CA4D53"/>
    <w:rsid w:val="00CA4EB6"/>
    <w:rsid w:val="00CA5345"/>
    <w:rsid w:val="00CA59A7"/>
    <w:rsid w:val="00CA5BB2"/>
    <w:rsid w:val="00CA6971"/>
    <w:rsid w:val="00CA73E7"/>
    <w:rsid w:val="00CB0C37"/>
    <w:rsid w:val="00CB0E4A"/>
    <w:rsid w:val="00CB2FC1"/>
    <w:rsid w:val="00CB39F6"/>
    <w:rsid w:val="00CB4A65"/>
    <w:rsid w:val="00CB5200"/>
    <w:rsid w:val="00CB5D7F"/>
    <w:rsid w:val="00CC0758"/>
    <w:rsid w:val="00CC2F34"/>
    <w:rsid w:val="00CC3643"/>
    <w:rsid w:val="00CC3CA9"/>
    <w:rsid w:val="00CC436D"/>
    <w:rsid w:val="00CC44A7"/>
    <w:rsid w:val="00CC460D"/>
    <w:rsid w:val="00CC5A94"/>
    <w:rsid w:val="00CC6CE0"/>
    <w:rsid w:val="00CC6DBF"/>
    <w:rsid w:val="00CD0AB0"/>
    <w:rsid w:val="00CD1545"/>
    <w:rsid w:val="00CD1888"/>
    <w:rsid w:val="00CD1D4B"/>
    <w:rsid w:val="00CD2C3C"/>
    <w:rsid w:val="00CD3171"/>
    <w:rsid w:val="00CD4C60"/>
    <w:rsid w:val="00CD50F5"/>
    <w:rsid w:val="00CD51A2"/>
    <w:rsid w:val="00CD66D5"/>
    <w:rsid w:val="00CD729A"/>
    <w:rsid w:val="00CE0392"/>
    <w:rsid w:val="00CE0C21"/>
    <w:rsid w:val="00CE1EE4"/>
    <w:rsid w:val="00CE3CBE"/>
    <w:rsid w:val="00CE41BF"/>
    <w:rsid w:val="00CE4F8B"/>
    <w:rsid w:val="00CE5133"/>
    <w:rsid w:val="00CE538B"/>
    <w:rsid w:val="00CE700D"/>
    <w:rsid w:val="00CE78AB"/>
    <w:rsid w:val="00CE7957"/>
    <w:rsid w:val="00CE7BE1"/>
    <w:rsid w:val="00CE7E4F"/>
    <w:rsid w:val="00CF0110"/>
    <w:rsid w:val="00CF06A9"/>
    <w:rsid w:val="00CF169A"/>
    <w:rsid w:val="00CF188F"/>
    <w:rsid w:val="00CF497B"/>
    <w:rsid w:val="00CF54DE"/>
    <w:rsid w:val="00CF574A"/>
    <w:rsid w:val="00CF63A9"/>
    <w:rsid w:val="00CF6D3E"/>
    <w:rsid w:val="00CF72BE"/>
    <w:rsid w:val="00CF7C6B"/>
    <w:rsid w:val="00D01293"/>
    <w:rsid w:val="00D01839"/>
    <w:rsid w:val="00D02B58"/>
    <w:rsid w:val="00D03059"/>
    <w:rsid w:val="00D04608"/>
    <w:rsid w:val="00D05521"/>
    <w:rsid w:val="00D06440"/>
    <w:rsid w:val="00D06AAB"/>
    <w:rsid w:val="00D1031C"/>
    <w:rsid w:val="00D103F9"/>
    <w:rsid w:val="00D10B8E"/>
    <w:rsid w:val="00D114E6"/>
    <w:rsid w:val="00D11D2B"/>
    <w:rsid w:val="00D12E2F"/>
    <w:rsid w:val="00D12E78"/>
    <w:rsid w:val="00D149B0"/>
    <w:rsid w:val="00D14CA4"/>
    <w:rsid w:val="00D14EEC"/>
    <w:rsid w:val="00D157B2"/>
    <w:rsid w:val="00D166F2"/>
    <w:rsid w:val="00D2055E"/>
    <w:rsid w:val="00D2079A"/>
    <w:rsid w:val="00D20DAE"/>
    <w:rsid w:val="00D20E0F"/>
    <w:rsid w:val="00D2255A"/>
    <w:rsid w:val="00D22A28"/>
    <w:rsid w:val="00D22D00"/>
    <w:rsid w:val="00D24F29"/>
    <w:rsid w:val="00D25512"/>
    <w:rsid w:val="00D26373"/>
    <w:rsid w:val="00D26424"/>
    <w:rsid w:val="00D27A72"/>
    <w:rsid w:val="00D27DF8"/>
    <w:rsid w:val="00D3260B"/>
    <w:rsid w:val="00D337D4"/>
    <w:rsid w:val="00D349AF"/>
    <w:rsid w:val="00D349E5"/>
    <w:rsid w:val="00D34B9C"/>
    <w:rsid w:val="00D36824"/>
    <w:rsid w:val="00D371E6"/>
    <w:rsid w:val="00D3777C"/>
    <w:rsid w:val="00D42DD1"/>
    <w:rsid w:val="00D435FB"/>
    <w:rsid w:val="00D44D0A"/>
    <w:rsid w:val="00D45933"/>
    <w:rsid w:val="00D460E2"/>
    <w:rsid w:val="00D46C78"/>
    <w:rsid w:val="00D47149"/>
    <w:rsid w:val="00D476ED"/>
    <w:rsid w:val="00D51040"/>
    <w:rsid w:val="00D53CEA"/>
    <w:rsid w:val="00D550D5"/>
    <w:rsid w:val="00D5648C"/>
    <w:rsid w:val="00D5672F"/>
    <w:rsid w:val="00D56844"/>
    <w:rsid w:val="00D572B1"/>
    <w:rsid w:val="00D573F9"/>
    <w:rsid w:val="00D577F2"/>
    <w:rsid w:val="00D602C9"/>
    <w:rsid w:val="00D60817"/>
    <w:rsid w:val="00D61B8D"/>
    <w:rsid w:val="00D61E0D"/>
    <w:rsid w:val="00D62297"/>
    <w:rsid w:val="00D6254F"/>
    <w:rsid w:val="00D631A2"/>
    <w:rsid w:val="00D63399"/>
    <w:rsid w:val="00D641EB"/>
    <w:rsid w:val="00D643F6"/>
    <w:rsid w:val="00D64E87"/>
    <w:rsid w:val="00D66749"/>
    <w:rsid w:val="00D67982"/>
    <w:rsid w:val="00D71CDF"/>
    <w:rsid w:val="00D723F6"/>
    <w:rsid w:val="00D728DA"/>
    <w:rsid w:val="00D72B6F"/>
    <w:rsid w:val="00D7342A"/>
    <w:rsid w:val="00D742E9"/>
    <w:rsid w:val="00D74DD2"/>
    <w:rsid w:val="00D766A8"/>
    <w:rsid w:val="00D76AA6"/>
    <w:rsid w:val="00D76AEF"/>
    <w:rsid w:val="00D770B5"/>
    <w:rsid w:val="00D8006D"/>
    <w:rsid w:val="00D807CD"/>
    <w:rsid w:val="00D81FF1"/>
    <w:rsid w:val="00D84DA5"/>
    <w:rsid w:val="00D85992"/>
    <w:rsid w:val="00D85EFE"/>
    <w:rsid w:val="00D87D07"/>
    <w:rsid w:val="00D903FF"/>
    <w:rsid w:val="00D92F34"/>
    <w:rsid w:val="00D93510"/>
    <w:rsid w:val="00D93D59"/>
    <w:rsid w:val="00D964E5"/>
    <w:rsid w:val="00D96C8D"/>
    <w:rsid w:val="00DA01E8"/>
    <w:rsid w:val="00DA0789"/>
    <w:rsid w:val="00DA0FAB"/>
    <w:rsid w:val="00DA1347"/>
    <w:rsid w:val="00DA1426"/>
    <w:rsid w:val="00DA1505"/>
    <w:rsid w:val="00DA20D3"/>
    <w:rsid w:val="00DA229F"/>
    <w:rsid w:val="00DA330F"/>
    <w:rsid w:val="00DA3500"/>
    <w:rsid w:val="00DA3767"/>
    <w:rsid w:val="00DA4E8B"/>
    <w:rsid w:val="00DA6EC1"/>
    <w:rsid w:val="00DA723F"/>
    <w:rsid w:val="00DA77FE"/>
    <w:rsid w:val="00DA7818"/>
    <w:rsid w:val="00DB043A"/>
    <w:rsid w:val="00DB0C81"/>
    <w:rsid w:val="00DB1541"/>
    <w:rsid w:val="00DB1AC5"/>
    <w:rsid w:val="00DB3660"/>
    <w:rsid w:val="00DB5313"/>
    <w:rsid w:val="00DB567C"/>
    <w:rsid w:val="00DB62B6"/>
    <w:rsid w:val="00DB79AA"/>
    <w:rsid w:val="00DB7C7F"/>
    <w:rsid w:val="00DC0171"/>
    <w:rsid w:val="00DC0CE9"/>
    <w:rsid w:val="00DC19FE"/>
    <w:rsid w:val="00DC1BE4"/>
    <w:rsid w:val="00DC3009"/>
    <w:rsid w:val="00DC3A83"/>
    <w:rsid w:val="00DC48C4"/>
    <w:rsid w:val="00DC4A1C"/>
    <w:rsid w:val="00DC4E41"/>
    <w:rsid w:val="00DC64E6"/>
    <w:rsid w:val="00DC68F1"/>
    <w:rsid w:val="00DC7217"/>
    <w:rsid w:val="00DC7AA1"/>
    <w:rsid w:val="00DD115B"/>
    <w:rsid w:val="00DD1BDC"/>
    <w:rsid w:val="00DD3370"/>
    <w:rsid w:val="00DD3D06"/>
    <w:rsid w:val="00DD4E1C"/>
    <w:rsid w:val="00DD6390"/>
    <w:rsid w:val="00DD6766"/>
    <w:rsid w:val="00DD69D4"/>
    <w:rsid w:val="00DD6C44"/>
    <w:rsid w:val="00DD71FD"/>
    <w:rsid w:val="00DD7CFD"/>
    <w:rsid w:val="00DD7FFE"/>
    <w:rsid w:val="00DE016F"/>
    <w:rsid w:val="00DE0F5F"/>
    <w:rsid w:val="00DE148A"/>
    <w:rsid w:val="00DE1A87"/>
    <w:rsid w:val="00DE2DB1"/>
    <w:rsid w:val="00DE374D"/>
    <w:rsid w:val="00DE3A18"/>
    <w:rsid w:val="00DE3CE7"/>
    <w:rsid w:val="00DE6084"/>
    <w:rsid w:val="00DE7651"/>
    <w:rsid w:val="00DF0D08"/>
    <w:rsid w:val="00DF19B4"/>
    <w:rsid w:val="00DF24DA"/>
    <w:rsid w:val="00DF2EB7"/>
    <w:rsid w:val="00DF33B2"/>
    <w:rsid w:val="00DF389E"/>
    <w:rsid w:val="00DF4991"/>
    <w:rsid w:val="00DF49A7"/>
    <w:rsid w:val="00DF5025"/>
    <w:rsid w:val="00DF69E1"/>
    <w:rsid w:val="00DF6B42"/>
    <w:rsid w:val="00DF6B87"/>
    <w:rsid w:val="00DF7145"/>
    <w:rsid w:val="00E00D6F"/>
    <w:rsid w:val="00E024DA"/>
    <w:rsid w:val="00E03352"/>
    <w:rsid w:val="00E0497E"/>
    <w:rsid w:val="00E054EE"/>
    <w:rsid w:val="00E05691"/>
    <w:rsid w:val="00E0629F"/>
    <w:rsid w:val="00E06B26"/>
    <w:rsid w:val="00E10A18"/>
    <w:rsid w:val="00E11BBF"/>
    <w:rsid w:val="00E1284F"/>
    <w:rsid w:val="00E129AE"/>
    <w:rsid w:val="00E13E97"/>
    <w:rsid w:val="00E13F8B"/>
    <w:rsid w:val="00E143D8"/>
    <w:rsid w:val="00E14462"/>
    <w:rsid w:val="00E14766"/>
    <w:rsid w:val="00E1477A"/>
    <w:rsid w:val="00E14ECD"/>
    <w:rsid w:val="00E15BAD"/>
    <w:rsid w:val="00E15E8D"/>
    <w:rsid w:val="00E15F2F"/>
    <w:rsid w:val="00E1709E"/>
    <w:rsid w:val="00E174C7"/>
    <w:rsid w:val="00E17C87"/>
    <w:rsid w:val="00E214BC"/>
    <w:rsid w:val="00E23591"/>
    <w:rsid w:val="00E2366B"/>
    <w:rsid w:val="00E242A0"/>
    <w:rsid w:val="00E242B3"/>
    <w:rsid w:val="00E244F4"/>
    <w:rsid w:val="00E2627F"/>
    <w:rsid w:val="00E2664D"/>
    <w:rsid w:val="00E26FB3"/>
    <w:rsid w:val="00E26FF6"/>
    <w:rsid w:val="00E27862"/>
    <w:rsid w:val="00E27DA8"/>
    <w:rsid w:val="00E33CFB"/>
    <w:rsid w:val="00E34360"/>
    <w:rsid w:val="00E344CB"/>
    <w:rsid w:val="00E36468"/>
    <w:rsid w:val="00E368EC"/>
    <w:rsid w:val="00E40183"/>
    <w:rsid w:val="00E401B0"/>
    <w:rsid w:val="00E401E6"/>
    <w:rsid w:val="00E4062C"/>
    <w:rsid w:val="00E40FA6"/>
    <w:rsid w:val="00E4605A"/>
    <w:rsid w:val="00E46BAF"/>
    <w:rsid w:val="00E4757A"/>
    <w:rsid w:val="00E51A5F"/>
    <w:rsid w:val="00E5214A"/>
    <w:rsid w:val="00E5240E"/>
    <w:rsid w:val="00E52722"/>
    <w:rsid w:val="00E53CBE"/>
    <w:rsid w:val="00E53FD7"/>
    <w:rsid w:val="00E55262"/>
    <w:rsid w:val="00E5545C"/>
    <w:rsid w:val="00E55B37"/>
    <w:rsid w:val="00E55CDA"/>
    <w:rsid w:val="00E56F67"/>
    <w:rsid w:val="00E57473"/>
    <w:rsid w:val="00E57BB7"/>
    <w:rsid w:val="00E57D64"/>
    <w:rsid w:val="00E60E87"/>
    <w:rsid w:val="00E60F58"/>
    <w:rsid w:val="00E61A93"/>
    <w:rsid w:val="00E62398"/>
    <w:rsid w:val="00E62B4C"/>
    <w:rsid w:val="00E62E1A"/>
    <w:rsid w:val="00E635C3"/>
    <w:rsid w:val="00E646C9"/>
    <w:rsid w:val="00E6474E"/>
    <w:rsid w:val="00E64C50"/>
    <w:rsid w:val="00E64E17"/>
    <w:rsid w:val="00E65247"/>
    <w:rsid w:val="00E65856"/>
    <w:rsid w:val="00E66290"/>
    <w:rsid w:val="00E7120E"/>
    <w:rsid w:val="00E71464"/>
    <w:rsid w:val="00E73049"/>
    <w:rsid w:val="00E732DE"/>
    <w:rsid w:val="00E745E1"/>
    <w:rsid w:val="00E747F0"/>
    <w:rsid w:val="00E74862"/>
    <w:rsid w:val="00E75C6E"/>
    <w:rsid w:val="00E7637A"/>
    <w:rsid w:val="00E76389"/>
    <w:rsid w:val="00E777B9"/>
    <w:rsid w:val="00E802A9"/>
    <w:rsid w:val="00E82B55"/>
    <w:rsid w:val="00E8303A"/>
    <w:rsid w:val="00E834B9"/>
    <w:rsid w:val="00E837C3"/>
    <w:rsid w:val="00E83CFD"/>
    <w:rsid w:val="00E83F01"/>
    <w:rsid w:val="00E84758"/>
    <w:rsid w:val="00E84B2B"/>
    <w:rsid w:val="00E857E3"/>
    <w:rsid w:val="00E8617D"/>
    <w:rsid w:val="00E86537"/>
    <w:rsid w:val="00E90A08"/>
    <w:rsid w:val="00E9226E"/>
    <w:rsid w:val="00E9375B"/>
    <w:rsid w:val="00E93C9D"/>
    <w:rsid w:val="00E94F2C"/>
    <w:rsid w:val="00E95882"/>
    <w:rsid w:val="00E9697F"/>
    <w:rsid w:val="00E97D72"/>
    <w:rsid w:val="00EA01C1"/>
    <w:rsid w:val="00EA1E66"/>
    <w:rsid w:val="00EA2B34"/>
    <w:rsid w:val="00EA3175"/>
    <w:rsid w:val="00EA4474"/>
    <w:rsid w:val="00EA48EE"/>
    <w:rsid w:val="00EA4B43"/>
    <w:rsid w:val="00EA4C7E"/>
    <w:rsid w:val="00EA4E64"/>
    <w:rsid w:val="00EA4FDA"/>
    <w:rsid w:val="00EA5DD4"/>
    <w:rsid w:val="00EB0CFA"/>
    <w:rsid w:val="00EB0D5A"/>
    <w:rsid w:val="00EB11A5"/>
    <w:rsid w:val="00EB120C"/>
    <w:rsid w:val="00EB1A04"/>
    <w:rsid w:val="00EB26BB"/>
    <w:rsid w:val="00EB33F9"/>
    <w:rsid w:val="00EB551E"/>
    <w:rsid w:val="00EB55A6"/>
    <w:rsid w:val="00EB5CB7"/>
    <w:rsid w:val="00EC0C51"/>
    <w:rsid w:val="00EC131E"/>
    <w:rsid w:val="00EC1C52"/>
    <w:rsid w:val="00EC1E6F"/>
    <w:rsid w:val="00EC41F3"/>
    <w:rsid w:val="00EC47E8"/>
    <w:rsid w:val="00EC6C9D"/>
    <w:rsid w:val="00EC7062"/>
    <w:rsid w:val="00ED23C7"/>
    <w:rsid w:val="00ED30A6"/>
    <w:rsid w:val="00ED3AA6"/>
    <w:rsid w:val="00ED4641"/>
    <w:rsid w:val="00ED6223"/>
    <w:rsid w:val="00ED6B05"/>
    <w:rsid w:val="00ED6CD7"/>
    <w:rsid w:val="00ED7C17"/>
    <w:rsid w:val="00EE01DC"/>
    <w:rsid w:val="00EE024D"/>
    <w:rsid w:val="00EE1942"/>
    <w:rsid w:val="00EE24D1"/>
    <w:rsid w:val="00EE2BFE"/>
    <w:rsid w:val="00EE2CA6"/>
    <w:rsid w:val="00EE48A5"/>
    <w:rsid w:val="00EE51A5"/>
    <w:rsid w:val="00EE6FC5"/>
    <w:rsid w:val="00EE76DC"/>
    <w:rsid w:val="00EF1900"/>
    <w:rsid w:val="00EF4BB9"/>
    <w:rsid w:val="00EF4C47"/>
    <w:rsid w:val="00EF62F0"/>
    <w:rsid w:val="00F007D7"/>
    <w:rsid w:val="00F009C4"/>
    <w:rsid w:val="00F01814"/>
    <w:rsid w:val="00F02928"/>
    <w:rsid w:val="00F02B89"/>
    <w:rsid w:val="00F032C6"/>
    <w:rsid w:val="00F036DF"/>
    <w:rsid w:val="00F03D7A"/>
    <w:rsid w:val="00F04C2A"/>
    <w:rsid w:val="00F04FE8"/>
    <w:rsid w:val="00F07384"/>
    <w:rsid w:val="00F10C8C"/>
    <w:rsid w:val="00F11341"/>
    <w:rsid w:val="00F1409D"/>
    <w:rsid w:val="00F141E4"/>
    <w:rsid w:val="00F14C34"/>
    <w:rsid w:val="00F14C59"/>
    <w:rsid w:val="00F17739"/>
    <w:rsid w:val="00F17FD6"/>
    <w:rsid w:val="00F20998"/>
    <w:rsid w:val="00F21408"/>
    <w:rsid w:val="00F2186D"/>
    <w:rsid w:val="00F232D8"/>
    <w:rsid w:val="00F2495F"/>
    <w:rsid w:val="00F24E0D"/>
    <w:rsid w:val="00F25572"/>
    <w:rsid w:val="00F25A09"/>
    <w:rsid w:val="00F26294"/>
    <w:rsid w:val="00F26F0C"/>
    <w:rsid w:val="00F27DB3"/>
    <w:rsid w:val="00F31797"/>
    <w:rsid w:val="00F333EE"/>
    <w:rsid w:val="00F351E7"/>
    <w:rsid w:val="00F37202"/>
    <w:rsid w:val="00F379DE"/>
    <w:rsid w:val="00F40B9D"/>
    <w:rsid w:val="00F417E6"/>
    <w:rsid w:val="00F4262B"/>
    <w:rsid w:val="00F428BD"/>
    <w:rsid w:val="00F4361E"/>
    <w:rsid w:val="00F43A14"/>
    <w:rsid w:val="00F44C77"/>
    <w:rsid w:val="00F45EA7"/>
    <w:rsid w:val="00F47E46"/>
    <w:rsid w:val="00F47E99"/>
    <w:rsid w:val="00F50744"/>
    <w:rsid w:val="00F5298D"/>
    <w:rsid w:val="00F56957"/>
    <w:rsid w:val="00F576F5"/>
    <w:rsid w:val="00F62205"/>
    <w:rsid w:val="00F633A1"/>
    <w:rsid w:val="00F635B2"/>
    <w:rsid w:val="00F63D58"/>
    <w:rsid w:val="00F64127"/>
    <w:rsid w:val="00F6415F"/>
    <w:rsid w:val="00F657E1"/>
    <w:rsid w:val="00F660B9"/>
    <w:rsid w:val="00F664B5"/>
    <w:rsid w:val="00F666EF"/>
    <w:rsid w:val="00F67B2E"/>
    <w:rsid w:val="00F71AC1"/>
    <w:rsid w:val="00F72CC9"/>
    <w:rsid w:val="00F72F30"/>
    <w:rsid w:val="00F73F00"/>
    <w:rsid w:val="00F74109"/>
    <w:rsid w:val="00F74CE4"/>
    <w:rsid w:val="00F76E7A"/>
    <w:rsid w:val="00F77220"/>
    <w:rsid w:val="00F77445"/>
    <w:rsid w:val="00F7752D"/>
    <w:rsid w:val="00F8061A"/>
    <w:rsid w:val="00F814D8"/>
    <w:rsid w:val="00F81BF1"/>
    <w:rsid w:val="00F82208"/>
    <w:rsid w:val="00F8464E"/>
    <w:rsid w:val="00F8621B"/>
    <w:rsid w:val="00F86A5A"/>
    <w:rsid w:val="00F86F57"/>
    <w:rsid w:val="00F870B7"/>
    <w:rsid w:val="00F87CA1"/>
    <w:rsid w:val="00F90570"/>
    <w:rsid w:val="00F905FD"/>
    <w:rsid w:val="00F906A4"/>
    <w:rsid w:val="00F91007"/>
    <w:rsid w:val="00F91287"/>
    <w:rsid w:val="00F91BBA"/>
    <w:rsid w:val="00F91E79"/>
    <w:rsid w:val="00F93110"/>
    <w:rsid w:val="00F939EC"/>
    <w:rsid w:val="00F93D4A"/>
    <w:rsid w:val="00F94B96"/>
    <w:rsid w:val="00F95359"/>
    <w:rsid w:val="00F958B8"/>
    <w:rsid w:val="00F95DD3"/>
    <w:rsid w:val="00FA159E"/>
    <w:rsid w:val="00FA17D5"/>
    <w:rsid w:val="00FA1FCC"/>
    <w:rsid w:val="00FA20C3"/>
    <w:rsid w:val="00FA2CB0"/>
    <w:rsid w:val="00FA3D46"/>
    <w:rsid w:val="00FA4117"/>
    <w:rsid w:val="00FA4511"/>
    <w:rsid w:val="00FA46C2"/>
    <w:rsid w:val="00FA4B52"/>
    <w:rsid w:val="00FA59BB"/>
    <w:rsid w:val="00FB0F13"/>
    <w:rsid w:val="00FB28CA"/>
    <w:rsid w:val="00FB2D20"/>
    <w:rsid w:val="00FB2E39"/>
    <w:rsid w:val="00FB30F5"/>
    <w:rsid w:val="00FB3488"/>
    <w:rsid w:val="00FB35A0"/>
    <w:rsid w:val="00FB4A0E"/>
    <w:rsid w:val="00FB4E59"/>
    <w:rsid w:val="00FB66A4"/>
    <w:rsid w:val="00FB6EB0"/>
    <w:rsid w:val="00FC0FEB"/>
    <w:rsid w:val="00FC1BD7"/>
    <w:rsid w:val="00FC213D"/>
    <w:rsid w:val="00FC3201"/>
    <w:rsid w:val="00FC357A"/>
    <w:rsid w:val="00FC453A"/>
    <w:rsid w:val="00FC4906"/>
    <w:rsid w:val="00FC566E"/>
    <w:rsid w:val="00FC76BF"/>
    <w:rsid w:val="00FC7F07"/>
    <w:rsid w:val="00FD01AC"/>
    <w:rsid w:val="00FD0859"/>
    <w:rsid w:val="00FD1570"/>
    <w:rsid w:val="00FD4053"/>
    <w:rsid w:val="00FD46C2"/>
    <w:rsid w:val="00FD6C1E"/>
    <w:rsid w:val="00FD6E5A"/>
    <w:rsid w:val="00FD749F"/>
    <w:rsid w:val="00FD7895"/>
    <w:rsid w:val="00FD7E1D"/>
    <w:rsid w:val="00FD7E7E"/>
    <w:rsid w:val="00FE15A3"/>
    <w:rsid w:val="00FE3B63"/>
    <w:rsid w:val="00FE561E"/>
    <w:rsid w:val="00FE5C22"/>
    <w:rsid w:val="00FE5D83"/>
    <w:rsid w:val="00FE702A"/>
    <w:rsid w:val="00FE7403"/>
    <w:rsid w:val="00FF072A"/>
    <w:rsid w:val="00FF1C5F"/>
    <w:rsid w:val="00FF32F6"/>
    <w:rsid w:val="00FF6963"/>
    <w:rsid w:val="00FF6A5B"/>
    <w:rsid w:val="00FF6ED6"/>
    <w:rsid w:val="02C435F7"/>
    <w:rsid w:val="05585158"/>
    <w:rsid w:val="11CE5283"/>
    <w:rsid w:val="11FE3BEE"/>
    <w:rsid w:val="184252A4"/>
    <w:rsid w:val="1EC952E4"/>
    <w:rsid w:val="1FDD3AC9"/>
    <w:rsid w:val="20E9285D"/>
    <w:rsid w:val="2B3A690E"/>
    <w:rsid w:val="2F3016E0"/>
    <w:rsid w:val="32B87CE7"/>
    <w:rsid w:val="36E45B45"/>
    <w:rsid w:val="382B181C"/>
    <w:rsid w:val="419A2D02"/>
    <w:rsid w:val="442D4849"/>
    <w:rsid w:val="45E23E2A"/>
    <w:rsid w:val="46054C19"/>
    <w:rsid w:val="48F27EDB"/>
    <w:rsid w:val="4AA33904"/>
    <w:rsid w:val="55A40552"/>
    <w:rsid w:val="64CD4CDD"/>
    <w:rsid w:val="688E29F1"/>
    <w:rsid w:val="69C14CA3"/>
    <w:rsid w:val="6D4D5744"/>
    <w:rsid w:val="6E452842"/>
    <w:rsid w:val="6F5912FB"/>
    <w:rsid w:val="71946D1A"/>
    <w:rsid w:val="773B7509"/>
    <w:rsid w:val="7DE35EC6"/>
    <w:rsid w:val="7F2C292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qFormat="1"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iPriority="0" w:name="HTML Sample"/>
    <w:lsdException w:unhideWhenUsed="0" w:uiPriority="0" w:semiHidden="0" w:name="HTML Typewriter"/>
    <w:lsdException w:uiPriority="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50"/>
    <w:qFormat/>
    <w:uiPriority w:val="0"/>
    <w:pPr>
      <w:keepNext/>
      <w:keepLines/>
      <w:spacing w:before="340" w:after="330" w:line="578" w:lineRule="auto"/>
      <w:outlineLvl w:val="0"/>
    </w:pPr>
    <w:rPr>
      <w:b/>
      <w:bCs/>
      <w:kern w:val="44"/>
      <w:sz w:val="44"/>
      <w:szCs w:val="44"/>
      <w:lang w:val="zh-CN"/>
    </w:rPr>
  </w:style>
  <w:style w:type="paragraph" w:styleId="3">
    <w:name w:val="heading 2"/>
    <w:basedOn w:val="1"/>
    <w:next w:val="1"/>
    <w:link w:val="51"/>
    <w:qFormat/>
    <w:uiPriority w:val="0"/>
    <w:pPr>
      <w:keepNext/>
      <w:keepLines/>
      <w:adjustRightInd w:val="0"/>
      <w:spacing w:before="260" w:after="260" w:line="416" w:lineRule="atLeast"/>
      <w:textAlignment w:val="baseline"/>
      <w:outlineLvl w:val="1"/>
    </w:pPr>
    <w:rPr>
      <w:rFonts w:ascii="Arial" w:hAnsi="Arial" w:eastAsia="黑体"/>
      <w:b/>
      <w:kern w:val="0"/>
      <w:sz w:val="28"/>
      <w:szCs w:val="20"/>
      <w:lang w:val="zh-CN"/>
    </w:rPr>
  </w:style>
  <w:style w:type="paragraph" w:styleId="4">
    <w:name w:val="heading 3"/>
    <w:basedOn w:val="1"/>
    <w:next w:val="1"/>
    <w:link w:val="52"/>
    <w:qFormat/>
    <w:uiPriority w:val="0"/>
    <w:pPr>
      <w:keepNext/>
      <w:keepLines/>
      <w:spacing w:before="260" w:after="260" w:line="416" w:lineRule="auto"/>
      <w:outlineLvl w:val="2"/>
    </w:pPr>
    <w:rPr>
      <w:b/>
      <w:bCs/>
      <w:kern w:val="0"/>
      <w:sz w:val="32"/>
      <w:szCs w:val="32"/>
      <w:lang w:val="zh-CN"/>
    </w:rPr>
  </w:style>
  <w:style w:type="paragraph" w:styleId="5">
    <w:name w:val="heading 4"/>
    <w:basedOn w:val="1"/>
    <w:next w:val="1"/>
    <w:link w:val="53"/>
    <w:qFormat/>
    <w:uiPriority w:val="9"/>
    <w:pPr>
      <w:keepNext/>
      <w:keepLines/>
      <w:spacing w:before="280" w:after="290" w:line="376" w:lineRule="auto"/>
      <w:outlineLvl w:val="3"/>
    </w:pPr>
    <w:rPr>
      <w:rFonts w:ascii="Cambria" w:hAnsi="Cambria"/>
      <w:b/>
      <w:bCs/>
      <w:kern w:val="0"/>
      <w:sz w:val="28"/>
      <w:szCs w:val="28"/>
      <w:lang w:val="zh-CN"/>
    </w:rPr>
  </w:style>
  <w:style w:type="paragraph" w:styleId="6">
    <w:name w:val="heading 5"/>
    <w:basedOn w:val="1"/>
    <w:next w:val="1"/>
    <w:link w:val="54"/>
    <w:qFormat/>
    <w:uiPriority w:val="0"/>
    <w:pPr>
      <w:keepNext/>
      <w:keepLines/>
      <w:adjustRightInd w:val="0"/>
      <w:spacing w:before="280" w:after="290" w:line="376" w:lineRule="atLeast"/>
      <w:ind w:left="2125" w:hanging="425"/>
      <w:textAlignment w:val="baseline"/>
      <w:outlineLvl w:val="4"/>
    </w:pPr>
    <w:rPr>
      <w:b/>
      <w:bCs/>
      <w:kern w:val="0"/>
      <w:sz w:val="28"/>
      <w:szCs w:val="28"/>
      <w:lang w:val="zh-CN"/>
    </w:rPr>
  </w:style>
  <w:style w:type="paragraph" w:styleId="7">
    <w:name w:val="heading 6"/>
    <w:basedOn w:val="1"/>
    <w:next w:val="1"/>
    <w:link w:val="55"/>
    <w:qFormat/>
    <w:uiPriority w:val="0"/>
    <w:pPr>
      <w:keepNext/>
      <w:keepLines/>
      <w:adjustRightInd w:val="0"/>
      <w:spacing w:before="240" w:after="64" w:line="320" w:lineRule="atLeast"/>
      <w:ind w:left="2550" w:hanging="425"/>
      <w:textAlignment w:val="baseline"/>
      <w:outlineLvl w:val="5"/>
    </w:pPr>
    <w:rPr>
      <w:rFonts w:ascii="Arial" w:hAnsi="Arial" w:eastAsia="黑体"/>
      <w:b/>
      <w:bCs/>
      <w:kern w:val="0"/>
      <w:sz w:val="24"/>
      <w:lang w:val="zh-CN"/>
    </w:rPr>
  </w:style>
  <w:style w:type="paragraph" w:styleId="8">
    <w:name w:val="heading 7"/>
    <w:basedOn w:val="1"/>
    <w:next w:val="1"/>
    <w:link w:val="56"/>
    <w:qFormat/>
    <w:uiPriority w:val="0"/>
    <w:pPr>
      <w:keepNext/>
      <w:keepLines/>
      <w:adjustRightInd w:val="0"/>
      <w:spacing w:before="240" w:after="64" w:line="320" w:lineRule="atLeast"/>
      <w:ind w:left="2975" w:hanging="425"/>
      <w:textAlignment w:val="baseline"/>
      <w:outlineLvl w:val="6"/>
    </w:pPr>
    <w:rPr>
      <w:b/>
      <w:bCs/>
      <w:kern w:val="0"/>
      <w:sz w:val="24"/>
      <w:lang w:val="zh-CN"/>
    </w:rPr>
  </w:style>
  <w:style w:type="paragraph" w:styleId="9">
    <w:name w:val="heading 8"/>
    <w:basedOn w:val="1"/>
    <w:next w:val="1"/>
    <w:link w:val="57"/>
    <w:qFormat/>
    <w:uiPriority w:val="0"/>
    <w:pPr>
      <w:keepNext/>
      <w:keepLines/>
      <w:adjustRightInd w:val="0"/>
      <w:spacing w:before="240" w:after="64" w:line="320" w:lineRule="atLeast"/>
      <w:ind w:left="3400" w:hanging="425"/>
      <w:textAlignment w:val="baseline"/>
      <w:outlineLvl w:val="7"/>
    </w:pPr>
    <w:rPr>
      <w:rFonts w:ascii="Arial" w:hAnsi="Arial" w:eastAsia="黑体"/>
      <w:kern w:val="0"/>
      <w:sz w:val="24"/>
      <w:lang w:val="zh-CN"/>
    </w:rPr>
  </w:style>
  <w:style w:type="paragraph" w:styleId="10">
    <w:name w:val="heading 9"/>
    <w:basedOn w:val="1"/>
    <w:next w:val="1"/>
    <w:link w:val="58"/>
    <w:qFormat/>
    <w:uiPriority w:val="0"/>
    <w:pPr>
      <w:keepNext/>
      <w:keepLines/>
      <w:adjustRightInd w:val="0"/>
      <w:spacing w:before="240" w:after="64" w:line="320" w:lineRule="atLeast"/>
      <w:ind w:left="3825" w:hanging="425"/>
      <w:textAlignment w:val="baseline"/>
      <w:outlineLvl w:val="8"/>
    </w:pPr>
    <w:rPr>
      <w:rFonts w:ascii="Arial" w:hAnsi="Arial" w:eastAsia="黑体"/>
      <w:kern w:val="0"/>
      <w:sz w:val="20"/>
      <w:szCs w:val="21"/>
      <w:lang w:val="zh-CN"/>
    </w:rPr>
  </w:style>
  <w:style w:type="character" w:default="1" w:styleId="29">
    <w:name w:val="Default Paragraph Font"/>
    <w:semiHidden/>
    <w:unhideWhenUsed/>
    <w:qFormat/>
    <w:uiPriority w:val="1"/>
  </w:style>
  <w:style w:type="table" w:default="1" w:styleId="27">
    <w:name w:val="Normal Table"/>
    <w:semiHidden/>
    <w:unhideWhenUsed/>
    <w:uiPriority w:val="99"/>
    <w:tblPr>
      <w:tblCellMar>
        <w:top w:w="0" w:type="dxa"/>
        <w:left w:w="108" w:type="dxa"/>
        <w:bottom w:w="0" w:type="dxa"/>
        <w:right w:w="108" w:type="dxa"/>
      </w:tblCellMar>
    </w:tblPr>
  </w:style>
  <w:style w:type="paragraph" w:styleId="11">
    <w:name w:val="Normal Indent"/>
    <w:basedOn w:val="1"/>
    <w:qFormat/>
    <w:uiPriority w:val="0"/>
    <w:pPr>
      <w:ind w:firstLine="420"/>
    </w:pPr>
  </w:style>
  <w:style w:type="paragraph" w:styleId="12">
    <w:name w:val="caption"/>
    <w:basedOn w:val="1"/>
    <w:next w:val="1"/>
    <w:qFormat/>
    <w:uiPriority w:val="0"/>
    <w:pPr>
      <w:kinsoku w:val="0"/>
      <w:overflowPunct w:val="0"/>
      <w:autoSpaceDE w:val="0"/>
      <w:autoSpaceDN w:val="0"/>
      <w:adjustRightInd w:val="0"/>
      <w:snapToGrid w:val="0"/>
    </w:pPr>
    <w:rPr>
      <w:rFonts w:ascii="Arial" w:hAnsi="Arial" w:cs="Arial"/>
      <w:sz w:val="24"/>
      <w:szCs w:val="20"/>
    </w:rPr>
  </w:style>
  <w:style w:type="paragraph" w:styleId="13">
    <w:name w:val="Document Map"/>
    <w:basedOn w:val="1"/>
    <w:semiHidden/>
    <w:qFormat/>
    <w:uiPriority w:val="0"/>
    <w:pPr>
      <w:shd w:val="clear" w:color="auto" w:fill="000080"/>
    </w:pPr>
  </w:style>
  <w:style w:type="paragraph" w:styleId="14">
    <w:name w:val="annotation text"/>
    <w:basedOn w:val="1"/>
    <w:link w:val="70"/>
    <w:qFormat/>
    <w:uiPriority w:val="0"/>
    <w:pPr>
      <w:jc w:val="left"/>
    </w:pPr>
    <w:rPr>
      <w:rFonts w:ascii="宋体" w:hAnsi="宋体"/>
      <w:sz w:val="24"/>
      <w:szCs w:val="20"/>
      <w:lang w:val="zh-CN"/>
    </w:rPr>
  </w:style>
  <w:style w:type="paragraph" w:styleId="15">
    <w:name w:val="Body Text"/>
    <w:basedOn w:val="1"/>
    <w:link w:val="62"/>
    <w:qFormat/>
    <w:uiPriority w:val="0"/>
    <w:pPr>
      <w:adjustRightInd w:val="0"/>
      <w:spacing w:line="480" w:lineRule="exact"/>
      <w:ind w:firstLine="200" w:firstLineChars="200"/>
      <w:textAlignment w:val="baseline"/>
    </w:pPr>
    <w:rPr>
      <w:rFonts w:ascii="仿宋_GB2312" w:eastAsia="仿宋_GB2312"/>
      <w:kern w:val="0"/>
      <w:sz w:val="28"/>
      <w:szCs w:val="20"/>
      <w:lang w:val="zh-CN"/>
    </w:rPr>
  </w:style>
  <w:style w:type="paragraph" w:styleId="16">
    <w:name w:val="toc 3"/>
    <w:basedOn w:val="1"/>
    <w:next w:val="1"/>
    <w:qFormat/>
    <w:uiPriority w:val="39"/>
    <w:pPr>
      <w:tabs>
        <w:tab w:val="left" w:pos="1134"/>
        <w:tab w:val="right" w:leader="dot" w:pos="8812"/>
      </w:tabs>
      <w:ind w:left="840" w:leftChars="203" w:hanging="414" w:hangingChars="197"/>
    </w:pPr>
  </w:style>
  <w:style w:type="paragraph" w:styleId="17">
    <w:name w:val="Balloon Text"/>
    <w:basedOn w:val="1"/>
    <w:semiHidden/>
    <w:qFormat/>
    <w:uiPriority w:val="0"/>
    <w:rPr>
      <w:sz w:val="18"/>
      <w:szCs w:val="18"/>
    </w:rPr>
  </w:style>
  <w:style w:type="paragraph" w:styleId="18">
    <w:name w:val="footer"/>
    <w:basedOn w:val="1"/>
    <w:link w:val="68"/>
    <w:qFormat/>
    <w:uiPriority w:val="99"/>
    <w:pPr>
      <w:pBdr>
        <w:top w:val="single" w:color="auto" w:sz="4" w:space="1"/>
      </w:pBdr>
      <w:tabs>
        <w:tab w:val="center" w:pos="4153"/>
        <w:tab w:val="right" w:pos="8306"/>
      </w:tabs>
      <w:snapToGrid w:val="0"/>
      <w:jc w:val="left"/>
    </w:pPr>
    <w:rPr>
      <w:sz w:val="18"/>
      <w:szCs w:val="18"/>
      <w:lang w:val="zh-CN"/>
    </w:rPr>
  </w:style>
  <w:style w:type="paragraph" w:styleId="19">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style>
  <w:style w:type="paragraph" w:styleId="21">
    <w:name w:val="toc 4"/>
    <w:basedOn w:val="1"/>
    <w:next w:val="1"/>
    <w:qFormat/>
    <w:uiPriority w:val="39"/>
    <w:pPr>
      <w:ind w:left="1260" w:leftChars="600"/>
    </w:pPr>
  </w:style>
  <w:style w:type="paragraph" w:styleId="22">
    <w:name w:val="Subtitle"/>
    <w:basedOn w:val="1"/>
    <w:next w:val="1"/>
    <w:link w:val="59"/>
    <w:qFormat/>
    <w:uiPriority w:val="11"/>
    <w:pPr>
      <w:spacing w:before="240" w:after="60" w:line="312" w:lineRule="auto"/>
      <w:jc w:val="center"/>
      <w:outlineLvl w:val="1"/>
    </w:pPr>
    <w:rPr>
      <w:rFonts w:ascii="Cambria" w:hAnsi="Cambria"/>
      <w:b/>
      <w:bCs/>
      <w:kern w:val="28"/>
      <w:sz w:val="32"/>
      <w:szCs w:val="32"/>
      <w:lang w:val="zh-CN"/>
    </w:rPr>
  </w:style>
  <w:style w:type="paragraph" w:styleId="23">
    <w:name w:val="toc 2"/>
    <w:basedOn w:val="1"/>
    <w:next w:val="1"/>
    <w:qFormat/>
    <w:uiPriority w:val="39"/>
    <w:pPr>
      <w:tabs>
        <w:tab w:val="left" w:pos="851"/>
        <w:tab w:val="right" w:leader="dot" w:pos="8812"/>
      </w:tabs>
      <w:ind w:left="420" w:leftChars="68" w:hanging="277" w:hangingChars="132"/>
    </w:pPr>
  </w:style>
  <w:style w:type="paragraph" w:styleId="24">
    <w:name w:val="toc 9"/>
    <w:basedOn w:val="1"/>
    <w:next w:val="1"/>
    <w:qFormat/>
    <w:uiPriority w:val="0"/>
    <w:pPr>
      <w:ind w:left="3360" w:leftChars="1600"/>
    </w:pPr>
  </w:style>
  <w:style w:type="paragraph" w:styleId="25">
    <w:name w:val="Normal (Web)"/>
    <w:basedOn w:val="1"/>
    <w:unhideWhenUsed/>
    <w:qFormat/>
    <w:uiPriority w:val="99"/>
    <w:pPr>
      <w:widowControl/>
      <w:spacing w:before="100" w:beforeAutospacing="1" w:after="100" w:afterAutospacing="1"/>
      <w:jc w:val="left"/>
    </w:pPr>
    <w:rPr>
      <w:rFonts w:ascii="宋体" w:hAnsi="宋体" w:cs="宋体"/>
      <w:kern w:val="0"/>
      <w:sz w:val="24"/>
    </w:rPr>
  </w:style>
  <w:style w:type="paragraph" w:styleId="26">
    <w:name w:val="Title"/>
    <w:basedOn w:val="1"/>
    <w:next w:val="1"/>
    <w:link w:val="49"/>
    <w:qFormat/>
    <w:uiPriority w:val="10"/>
    <w:pPr>
      <w:spacing w:before="240" w:after="60"/>
      <w:jc w:val="center"/>
      <w:outlineLvl w:val="0"/>
    </w:pPr>
    <w:rPr>
      <w:rFonts w:ascii="Cambria" w:hAnsi="Cambria"/>
      <w:b/>
      <w:bCs/>
      <w:sz w:val="32"/>
      <w:szCs w:val="32"/>
      <w:lang w:val="zh-CN"/>
    </w:rPr>
  </w:style>
  <w:style w:type="table" w:styleId="28">
    <w:name w:val="Table Grid"/>
    <w:basedOn w:val="2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0">
    <w:name w:val="page number"/>
    <w:basedOn w:val="29"/>
    <w:qFormat/>
    <w:uiPriority w:val="0"/>
  </w:style>
  <w:style w:type="character" w:styleId="31">
    <w:name w:val="Hyperlink"/>
    <w:qFormat/>
    <w:uiPriority w:val="99"/>
    <w:rPr>
      <w:color w:val="0000FF"/>
      <w:u w:val="single"/>
    </w:rPr>
  </w:style>
  <w:style w:type="character" w:styleId="32">
    <w:name w:val="annotation reference"/>
    <w:qFormat/>
    <w:uiPriority w:val="0"/>
    <w:rPr>
      <w:sz w:val="21"/>
      <w:szCs w:val="21"/>
    </w:rPr>
  </w:style>
  <w:style w:type="paragraph" w:customStyle="1" w:styleId="33">
    <w:name w:val="前言、引言标题"/>
    <w:next w:val="1"/>
    <w:uiPriority w:val="0"/>
    <w:pPr>
      <w:numPr>
        <w:ilvl w:val="0"/>
        <w:numId w:val="1"/>
      </w:numPr>
      <w:shd w:val="clear" w:color="FFFFFF" w:fill="FFFFFF"/>
      <w:spacing w:before="640" w:after="560"/>
      <w:jc w:val="center"/>
      <w:outlineLvl w:val="0"/>
    </w:pPr>
    <w:rPr>
      <w:rFonts w:ascii="黑体" w:hAnsi="Calibri" w:eastAsia="黑体" w:cs="Times New Roman"/>
      <w:kern w:val="2"/>
      <w:sz w:val="32"/>
      <w:szCs w:val="22"/>
      <w:lang w:val="en-US" w:eastAsia="zh-CN" w:bidi="ar-SA"/>
    </w:rPr>
  </w:style>
  <w:style w:type="paragraph" w:customStyle="1" w:styleId="34">
    <w:name w:val="章标题"/>
    <w:next w:val="35"/>
    <w:qFormat/>
    <w:uiPriority w:val="0"/>
    <w:pPr>
      <w:numPr>
        <w:ilvl w:val="1"/>
        <w:numId w:val="1"/>
      </w:numPr>
      <w:spacing w:before="50" w:beforeLines="50" w:after="50" w:afterLines="50"/>
      <w:jc w:val="both"/>
      <w:outlineLvl w:val="1"/>
    </w:pPr>
    <w:rPr>
      <w:rFonts w:ascii="黑体" w:hAnsi="Calibri" w:eastAsia="黑体" w:cs="Times New Roman"/>
      <w:kern w:val="2"/>
      <w:sz w:val="21"/>
      <w:szCs w:val="22"/>
      <w:lang w:val="en-US" w:eastAsia="zh-CN" w:bidi="ar-SA"/>
    </w:rPr>
  </w:style>
  <w:style w:type="paragraph" w:customStyle="1" w:styleId="35">
    <w:name w:val="段"/>
    <w:link w:val="61"/>
    <w:qFormat/>
    <w:uiPriority w:val="0"/>
    <w:pPr>
      <w:autoSpaceDE w:val="0"/>
      <w:autoSpaceDN w:val="0"/>
      <w:ind w:firstLine="200" w:firstLineChars="200"/>
      <w:jc w:val="both"/>
    </w:pPr>
    <w:rPr>
      <w:rFonts w:ascii="宋体" w:hAnsi="Calibri" w:eastAsia="宋体" w:cs="Times New Roman"/>
      <w:kern w:val="2"/>
      <w:sz w:val="21"/>
      <w:szCs w:val="22"/>
      <w:lang w:val="en-US" w:eastAsia="zh-CN" w:bidi="ar-SA"/>
    </w:rPr>
  </w:style>
  <w:style w:type="paragraph" w:customStyle="1" w:styleId="36">
    <w:name w:val="一级条标题"/>
    <w:basedOn w:val="34"/>
    <w:next w:val="35"/>
    <w:link w:val="76"/>
    <w:qFormat/>
    <w:uiPriority w:val="0"/>
    <w:pPr>
      <w:numPr>
        <w:ilvl w:val="2"/>
      </w:numPr>
      <w:tabs>
        <w:tab w:val="left" w:pos="1260"/>
      </w:tabs>
      <w:spacing w:before="0" w:beforeLines="0" w:after="0" w:afterLines="0"/>
      <w:ind w:left="1260" w:hanging="420"/>
      <w:outlineLvl w:val="2"/>
    </w:pPr>
  </w:style>
  <w:style w:type="paragraph" w:customStyle="1" w:styleId="37">
    <w:name w:val="二级条标题"/>
    <w:basedOn w:val="36"/>
    <w:next w:val="35"/>
    <w:link w:val="73"/>
    <w:qFormat/>
    <w:uiPriority w:val="0"/>
    <w:pPr>
      <w:numPr>
        <w:ilvl w:val="3"/>
      </w:numPr>
      <w:tabs>
        <w:tab w:val="left" w:pos="1680"/>
      </w:tabs>
      <w:ind w:left="1680" w:hanging="420"/>
      <w:outlineLvl w:val="3"/>
    </w:pPr>
  </w:style>
  <w:style w:type="paragraph" w:customStyle="1" w:styleId="38">
    <w:name w:val="三级条标题"/>
    <w:basedOn w:val="37"/>
    <w:next w:val="35"/>
    <w:qFormat/>
    <w:uiPriority w:val="0"/>
    <w:pPr>
      <w:numPr>
        <w:ilvl w:val="4"/>
      </w:numPr>
      <w:tabs>
        <w:tab w:val="left" w:pos="2100"/>
      </w:tabs>
      <w:ind w:left="2100" w:hanging="420"/>
      <w:outlineLvl w:val="4"/>
    </w:pPr>
  </w:style>
  <w:style w:type="paragraph" w:customStyle="1" w:styleId="39">
    <w:name w:val="四级条标题"/>
    <w:basedOn w:val="38"/>
    <w:next w:val="35"/>
    <w:qFormat/>
    <w:uiPriority w:val="0"/>
    <w:pPr>
      <w:numPr>
        <w:ilvl w:val="5"/>
      </w:numPr>
      <w:tabs>
        <w:tab w:val="left" w:pos="2520"/>
      </w:tabs>
      <w:ind w:left="2520" w:hanging="420"/>
      <w:outlineLvl w:val="5"/>
    </w:pPr>
  </w:style>
  <w:style w:type="paragraph" w:customStyle="1" w:styleId="40">
    <w:name w:val="五级条标题"/>
    <w:basedOn w:val="39"/>
    <w:next w:val="35"/>
    <w:qFormat/>
    <w:uiPriority w:val="0"/>
    <w:pPr>
      <w:numPr>
        <w:ilvl w:val="6"/>
      </w:numPr>
      <w:tabs>
        <w:tab w:val="left" w:pos="2940"/>
      </w:tabs>
      <w:ind w:left="2940" w:hanging="420"/>
      <w:outlineLvl w:val="6"/>
    </w:pPr>
  </w:style>
  <w:style w:type="paragraph" w:customStyle="1" w:styleId="41">
    <w:name w:val="正文表标题"/>
    <w:next w:val="35"/>
    <w:qFormat/>
    <w:uiPriority w:val="0"/>
    <w:pPr>
      <w:numPr>
        <w:ilvl w:val="0"/>
        <w:numId w:val="2"/>
      </w:numPr>
      <w:jc w:val="center"/>
    </w:pPr>
    <w:rPr>
      <w:rFonts w:ascii="黑体" w:hAnsi="Calibri" w:eastAsia="黑体" w:cs="Times New Roman"/>
      <w:kern w:val="2"/>
      <w:sz w:val="21"/>
      <w:szCs w:val="22"/>
      <w:lang w:val="en-US" w:eastAsia="zh-CN" w:bidi="ar-SA"/>
    </w:rPr>
  </w:style>
  <w:style w:type="paragraph" w:customStyle="1" w:styleId="42">
    <w:name w:val="普通正文"/>
    <w:basedOn w:val="1"/>
    <w:link w:val="48"/>
    <w:qFormat/>
    <w:uiPriority w:val="0"/>
    <w:pPr>
      <w:widowControl/>
      <w:spacing w:line="360" w:lineRule="auto"/>
    </w:pPr>
    <w:rPr>
      <w:rFonts w:ascii="Calibri" w:hAnsi="Calibri"/>
      <w:kern w:val="21"/>
      <w:szCs w:val="20"/>
    </w:rPr>
  </w:style>
  <w:style w:type="paragraph" w:customStyle="1" w:styleId="43">
    <w:name w:val="Char Char Char"/>
    <w:basedOn w:val="1"/>
    <w:qFormat/>
    <w:uiPriority w:val="0"/>
    <w:rPr>
      <w:rFonts w:ascii="Tahoma" w:hAnsi="Tahoma"/>
    </w:rPr>
  </w:style>
  <w:style w:type="paragraph" w:customStyle="1" w:styleId="44">
    <w:name w:val="文档正文"/>
    <w:basedOn w:val="1"/>
    <w:qFormat/>
    <w:uiPriority w:val="0"/>
    <w:pPr>
      <w:adjustRightInd w:val="0"/>
      <w:spacing w:line="560" w:lineRule="exact"/>
      <w:jc w:val="right"/>
      <w:textAlignment w:val="baseline"/>
    </w:pPr>
    <w:rPr>
      <w:kern w:val="0"/>
    </w:rPr>
  </w:style>
  <w:style w:type="paragraph" w:customStyle="1" w:styleId="45">
    <w:name w:val="默认段落字体 Para Char Char Char Char Char Char Char Char Char Char Char Char Char Char"/>
    <w:basedOn w:val="13"/>
    <w:qFormat/>
    <w:uiPriority w:val="0"/>
    <w:rPr>
      <w:rFonts w:ascii="Tahoma" w:hAnsi="Tahoma" w:eastAsia="仿宋_GB2312"/>
      <w:szCs w:val="28"/>
    </w:rPr>
  </w:style>
  <w:style w:type="paragraph" w:customStyle="1" w:styleId="46">
    <w:name w:val="Char2"/>
    <w:basedOn w:val="13"/>
    <w:qFormat/>
    <w:uiPriority w:val="0"/>
    <w:pPr>
      <w:adjustRightInd w:val="0"/>
      <w:spacing w:line="436" w:lineRule="exact"/>
      <w:ind w:left="357"/>
      <w:jc w:val="left"/>
      <w:outlineLvl w:val="3"/>
    </w:pPr>
    <w:rPr>
      <w:rFonts w:ascii="Tahoma" w:hAnsi="Tahoma"/>
      <w:b/>
    </w:rPr>
  </w:style>
  <w:style w:type="paragraph" w:customStyle="1" w:styleId="47">
    <w:name w:val="Char Char Char1"/>
    <w:basedOn w:val="1"/>
    <w:qFormat/>
    <w:uiPriority w:val="0"/>
    <w:rPr>
      <w:rFonts w:ascii="Tahoma" w:hAnsi="Tahoma"/>
    </w:rPr>
  </w:style>
  <w:style w:type="character" w:customStyle="1" w:styleId="48">
    <w:name w:val="普通正文 Char"/>
    <w:link w:val="42"/>
    <w:qFormat/>
    <w:uiPriority w:val="0"/>
    <w:rPr>
      <w:rFonts w:eastAsia="宋体"/>
      <w:kern w:val="21"/>
      <w:sz w:val="21"/>
      <w:lang w:val="en-US" w:eastAsia="zh-CN" w:bidi="ar-SA"/>
    </w:rPr>
  </w:style>
  <w:style w:type="character" w:customStyle="1" w:styleId="49">
    <w:name w:val="标题 字符"/>
    <w:link w:val="26"/>
    <w:qFormat/>
    <w:uiPriority w:val="10"/>
    <w:rPr>
      <w:rFonts w:ascii="Cambria" w:hAnsi="Cambria"/>
      <w:b/>
      <w:bCs/>
      <w:kern w:val="2"/>
      <w:sz w:val="32"/>
      <w:szCs w:val="32"/>
    </w:rPr>
  </w:style>
  <w:style w:type="character" w:customStyle="1" w:styleId="50">
    <w:name w:val="标题 1 字符"/>
    <w:link w:val="2"/>
    <w:qFormat/>
    <w:uiPriority w:val="0"/>
    <w:rPr>
      <w:rFonts w:ascii="Times New Roman" w:hAnsi="Times New Roman"/>
      <w:b/>
      <w:bCs/>
      <w:kern w:val="44"/>
      <w:sz w:val="44"/>
      <w:szCs w:val="44"/>
    </w:rPr>
  </w:style>
  <w:style w:type="character" w:customStyle="1" w:styleId="51">
    <w:name w:val="标题 2 字符"/>
    <w:link w:val="3"/>
    <w:qFormat/>
    <w:uiPriority w:val="0"/>
    <w:rPr>
      <w:rFonts w:ascii="Arial" w:hAnsi="Arial" w:eastAsia="黑体"/>
      <w:b/>
      <w:sz w:val="28"/>
    </w:rPr>
  </w:style>
  <w:style w:type="character" w:customStyle="1" w:styleId="52">
    <w:name w:val="标题 3 字符"/>
    <w:link w:val="4"/>
    <w:qFormat/>
    <w:uiPriority w:val="0"/>
    <w:rPr>
      <w:rFonts w:ascii="Times New Roman" w:hAnsi="Times New Roman"/>
      <w:b/>
      <w:bCs/>
      <w:sz w:val="32"/>
      <w:szCs w:val="32"/>
    </w:rPr>
  </w:style>
  <w:style w:type="character" w:customStyle="1" w:styleId="53">
    <w:name w:val="标题 4 字符"/>
    <w:link w:val="5"/>
    <w:qFormat/>
    <w:uiPriority w:val="9"/>
    <w:rPr>
      <w:rFonts w:ascii="Cambria" w:hAnsi="Cambria"/>
      <w:b/>
      <w:bCs/>
      <w:sz w:val="28"/>
      <w:szCs w:val="28"/>
    </w:rPr>
  </w:style>
  <w:style w:type="character" w:customStyle="1" w:styleId="54">
    <w:name w:val="标题 5 字符"/>
    <w:link w:val="6"/>
    <w:qFormat/>
    <w:uiPriority w:val="0"/>
    <w:rPr>
      <w:rFonts w:ascii="Times New Roman" w:hAnsi="Times New Roman"/>
      <w:b/>
      <w:bCs/>
      <w:sz w:val="28"/>
      <w:szCs w:val="28"/>
    </w:rPr>
  </w:style>
  <w:style w:type="character" w:customStyle="1" w:styleId="55">
    <w:name w:val="标题 6 字符"/>
    <w:link w:val="7"/>
    <w:qFormat/>
    <w:uiPriority w:val="0"/>
    <w:rPr>
      <w:rFonts w:ascii="Arial" w:hAnsi="Arial" w:eastAsia="黑体"/>
      <w:b/>
      <w:bCs/>
      <w:sz w:val="24"/>
      <w:szCs w:val="24"/>
    </w:rPr>
  </w:style>
  <w:style w:type="character" w:customStyle="1" w:styleId="56">
    <w:name w:val="标题 7 字符"/>
    <w:link w:val="8"/>
    <w:qFormat/>
    <w:uiPriority w:val="0"/>
    <w:rPr>
      <w:rFonts w:ascii="Times New Roman" w:hAnsi="Times New Roman"/>
      <w:b/>
      <w:bCs/>
      <w:sz w:val="24"/>
      <w:szCs w:val="24"/>
    </w:rPr>
  </w:style>
  <w:style w:type="character" w:customStyle="1" w:styleId="57">
    <w:name w:val="标题 8 字符"/>
    <w:link w:val="9"/>
    <w:qFormat/>
    <w:uiPriority w:val="0"/>
    <w:rPr>
      <w:rFonts w:ascii="Arial" w:hAnsi="Arial" w:eastAsia="黑体"/>
      <w:sz w:val="24"/>
      <w:szCs w:val="24"/>
    </w:rPr>
  </w:style>
  <w:style w:type="character" w:customStyle="1" w:styleId="58">
    <w:name w:val="标题 9 字符"/>
    <w:link w:val="10"/>
    <w:qFormat/>
    <w:uiPriority w:val="0"/>
    <w:rPr>
      <w:rFonts w:ascii="Arial" w:hAnsi="Arial" w:eastAsia="黑体"/>
      <w:szCs w:val="21"/>
    </w:rPr>
  </w:style>
  <w:style w:type="character" w:customStyle="1" w:styleId="59">
    <w:name w:val="副标题 字符"/>
    <w:link w:val="22"/>
    <w:qFormat/>
    <w:uiPriority w:val="11"/>
    <w:rPr>
      <w:rFonts w:ascii="Cambria" w:hAnsi="Cambria"/>
      <w:b/>
      <w:bCs/>
      <w:kern w:val="28"/>
      <w:sz w:val="32"/>
      <w:szCs w:val="32"/>
    </w:rPr>
  </w:style>
  <w:style w:type="paragraph" w:customStyle="1" w:styleId="60">
    <w:name w:val="列表段落1"/>
    <w:basedOn w:val="1"/>
    <w:qFormat/>
    <w:uiPriority w:val="34"/>
    <w:pPr>
      <w:ind w:firstLine="420" w:firstLineChars="200"/>
    </w:pPr>
  </w:style>
  <w:style w:type="character" w:customStyle="1" w:styleId="61">
    <w:name w:val="段 Char"/>
    <w:link w:val="35"/>
    <w:qFormat/>
    <w:uiPriority w:val="0"/>
    <w:rPr>
      <w:rFonts w:ascii="宋体"/>
      <w:kern w:val="2"/>
      <w:sz w:val="21"/>
      <w:szCs w:val="22"/>
      <w:lang w:bidi="ar-SA"/>
    </w:rPr>
  </w:style>
  <w:style w:type="character" w:customStyle="1" w:styleId="62">
    <w:name w:val="正文文本 字符"/>
    <w:link w:val="15"/>
    <w:qFormat/>
    <w:uiPriority w:val="0"/>
    <w:rPr>
      <w:rFonts w:ascii="仿宋_GB2312" w:hAnsi="Times New Roman" w:eastAsia="仿宋_GB2312"/>
      <w:sz w:val="28"/>
    </w:rPr>
  </w:style>
  <w:style w:type="paragraph" w:customStyle="1" w:styleId="63">
    <w:name w:val="样式1"/>
    <w:basedOn w:val="1"/>
    <w:qFormat/>
    <w:uiPriority w:val="0"/>
    <w:pPr>
      <w:autoSpaceDE w:val="0"/>
      <w:autoSpaceDN w:val="0"/>
      <w:adjustRightInd w:val="0"/>
      <w:spacing w:line="480" w:lineRule="exact"/>
      <w:jc w:val="center"/>
      <w:textAlignment w:val="baseline"/>
    </w:pPr>
    <w:rPr>
      <w:rFonts w:ascii="宋体" w:hAnsi="宋体" w:eastAsia="仿宋_GB2312"/>
      <w:kern w:val="0"/>
      <w:sz w:val="28"/>
      <w:szCs w:val="16"/>
    </w:rPr>
  </w:style>
  <w:style w:type="paragraph" w:customStyle="1" w:styleId="64">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paragraph" w:customStyle="1" w:styleId="65">
    <w:name w:val="注×："/>
    <w:qFormat/>
    <w:uiPriority w:val="0"/>
    <w:pPr>
      <w:widowControl w:val="0"/>
      <w:numPr>
        <w:ilvl w:val="0"/>
        <w:numId w:val="3"/>
      </w:numPr>
      <w:tabs>
        <w:tab w:val="left" w:pos="630"/>
        <w:tab w:val="clear" w:pos="900"/>
      </w:tabs>
      <w:autoSpaceDE w:val="0"/>
      <w:autoSpaceDN w:val="0"/>
      <w:jc w:val="both"/>
    </w:pPr>
    <w:rPr>
      <w:rFonts w:ascii="宋体" w:hAnsi="Times New Roman" w:eastAsia="宋体" w:cs="Times New Roman"/>
      <w:sz w:val="18"/>
      <w:lang w:val="en-US" w:eastAsia="zh-CN" w:bidi="ar-SA"/>
    </w:rPr>
  </w:style>
  <w:style w:type="paragraph" w:customStyle="1" w:styleId="66">
    <w:name w:val="TOC 标题1"/>
    <w:basedOn w:val="2"/>
    <w:next w:val="1"/>
    <w:qFormat/>
    <w:uiPriority w:val="39"/>
    <w:pPr>
      <w:widowControl/>
      <w:spacing w:before="480" w:after="0" w:line="276" w:lineRule="auto"/>
      <w:jc w:val="left"/>
      <w:outlineLvl w:val="9"/>
    </w:pPr>
    <w:rPr>
      <w:rFonts w:ascii="Cambria" w:hAnsi="Cambria"/>
      <w:color w:val="365F91"/>
      <w:kern w:val="0"/>
      <w:sz w:val="28"/>
      <w:szCs w:val="28"/>
      <w:lang w:val="en-US"/>
    </w:rPr>
  </w:style>
  <w:style w:type="paragraph" w:customStyle="1" w:styleId="67">
    <w:name w:val="正文1"/>
    <w:qFormat/>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character" w:customStyle="1" w:styleId="68">
    <w:name w:val="页脚 字符"/>
    <w:link w:val="18"/>
    <w:qFormat/>
    <w:uiPriority w:val="99"/>
    <w:rPr>
      <w:rFonts w:ascii="Times New Roman" w:hAnsi="Times New Roman"/>
      <w:kern w:val="2"/>
      <w:sz w:val="18"/>
      <w:szCs w:val="18"/>
    </w:rPr>
  </w:style>
  <w:style w:type="paragraph" w:customStyle="1" w:styleId="69">
    <w:name w:val="附录标识"/>
    <w:basedOn w:val="33"/>
    <w:qFormat/>
    <w:uiPriority w:val="0"/>
    <w:pPr>
      <w:numPr>
        <w:ilvl w:val="0"/>
        <w:numId w:val="4"/>
      </w:numPr>
      <w:tabs>
        <w:tab w:val="left" w:pos="6405"/>
      </w:tabs>
      <w:spacing w:after="200"/>
    </w:pPr>
    <w:rPr>
      <w:rFonts w:hAnsi="Times New Roman"/>
      <w:kern w:val="0"/>
      <w:sz w:val="21"/>
      <w:szCs w:val="20"/>
    </w:rPr>
  </w:style>
  <w:style w:type="character" w:customStyle="1" w:styleId="70">
    <w:name w:val="批注文字 字符"/>
    <w:link w:val="14"/>
    <w:qFormat/>
    <w:uiPriority w:val="0"/>
    <w:rPr>
      <w:rFonts w:ascii="宋体" w:hAnsi="宋体" w:eastAsia="宋体"/>
      <w:kern w:val="2"/>
      <w:sz w:val="24"/>
      <w:lang w:val="zh-CN" w:eastAsia="zh-CN" w:bidi="ar-SA"/>
    </w:rPr>
  </w:style>
  <w:style w:type="paragraph" w:customStyle="1" w:styleId="71">
    <w:name w:val="正文2"/>
    <w:qFormat/>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paragraph" w:styleId="72">
    <w:name w:val="List Paragraph"/>
    <w:basedOn w:val="1"/>
    <w:qFormat/>
    <w:uiPriority w:val="99"/>
    <w:pPr>
      <w:ind w:firstLine="420" w:firstLineChars="200"/>
    </w:pPr>
  </w:style>
  <w:style w:type="character" w:customStyle="1" w:styleId="73">
    <w:name w:val="二级条标题 Char"/>
    <w:basedOn w:val="29"/>
    <w:link w:val="37"/>
    <w:qFormat/>
    <w:uiPriority w:val="0"/>
    <w:rPr>
      <w:rFonts w:ascii="黑体" w:eastAsia="黑体"/>
      <w:kern w:val="2"/>
      <w:sz w:val="21"/>
      <w:szCs w:val="22"/>
    </w:rPr>
  </w:style>
  <w:style w:type="paragraph" w:customStyle="1" w:styleId="74">
    <w:name w:val="正文图标题"/>
    <w:next w:val="35"/>
    <w:qFormat/>
    <w:uiPriority w:val="0"/>
    <w:pPr>
      <w:jc w:val="center"/>
    </w:pPr>
    <w:rPr>
      <w:rFonts w:ascii="黑体" w:hAnsi="Times New Roman" w:eastAsia="黑体" w:cs="Times New Roman"/>
      <w:sz w:val="21"/>
      <w:lang w:val="en-US" w:eastAsia="zh-CN" w:bidi="ar-SA"/>
    </w:rPr>
  </w:style>
  <w:style w:type="paragraph" w:customStyle="1" w:styleId="75">
    <w:name w:val="Notes Text List in Table"/>
    <w:qFormat/>
    <w:uiPriority w:val="0"/>
    <w:pPr>
      <w:spacing w:before="40" w:after="40"/>
      <w:jc w:val="both"/>
    </w:pPr>
    <w:rPr>
      <w:rFonts w:ascii="Arial" w:hAnsi="Arial" w:eastAsia="楷体_GB2312" w:cs="楷体_GB2312"/>
      <w:sz w:val="18"/>
      <w:szCs w:val="18"/>
      <w:lang w:val="en-US" w:eastAsia="zh-CN" w:bidi="ar-SA"/>
    </w:rPr>
  </w:style>
  <w:style w:type="character" w:customStyle="1" w:styleId="76">
    <w:name w:val="一级条标题 Char"/>
    <w:link w:val="36"/>
    <w:qFormat/>
    <w:uiPriority w:val="0"/>
    <w:rPr>
      <w:rFonts w:ascii="黑体" w:eastAsia="黑体"/>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9" Type="http://schemas.openxmlformats.org/officeDocument/2006/relationships/fontTable" Target="fontTable.xml"/><Relationship Id="rId48" Type="http://schemas.openxmlformats.org/officeDocument/2006/relationships/numbering" Target="numbering.xml"/><Relationship Id="rId47" Type="http://schemas.openxmlformats.org/officeDocument/2006/relationships/customXml" Target="../customXml/item1.xml"/><Relationship Id="rId46" Type="http://schemas.openxmlformats.org/officeDocument/2006/relationships/oleObject" Target="embeddings/oleObject2.bin"/><Relationship Id="rId45" Type="http://schemas.openxmlformats.org/officeDocument/2006/relationships/image" Target="media/image32.emf"/><Relationship Id="rId44" Type="http://schemas.openxmlformats.org/officeDocument/2006/relationships/oleObject" Target="embeddings/oleObject1.bin"/><Relationship Id="rId43" Type="http://schemas.openxmlformats.org/officeDocument/2006/relationships/image" Target="media/image31.png"/><Relationship Id="rId42" Type="http://schemas.openxmlformats.org/officeDocument/2006/relationships/image" Target="media/image30.emf"/><Relationship Id="rId41" Type="http://schemas.openxmlformats.org/officeDocument/2006/relationships/image" Target="media/image29.emf"/><Relationship Id="rId40" Type="http://schemas.openxmlformats.org/officeDocument/2006/relationships/image" Target="media/image28.png"/><Relationship Id="rId4" Type="http://schemas.openxmlformats.org/officeDocument/2006/relationships/footer" Target="footer1.xml"/><Relationship Id="rId39" Type="http://schemas.openxmlformats.org/officeDocument/2006/relationships/image" Target="media/image27.emf"/><Relationship Id="rId38" Type="http://schemas.openxmlformats.org/officeDocument/2006/relationships/image" Target="media/image26.emf"/><Relationship Id="rId37" Type="http://schemas.openxmlformats.org/officeDocument/2006/relationships/image" Target="media/image25.emf"/><Relationship Id="rId36" Type="http://schemas.openxmlformats.org/officeDocument/2006/relationships/image" Target="media/image24.wmf"/><Relationship Id="rId35" Type="http://schemas.openxmlformats.org/officeDocument/2006/relationships/image" Target="media/image23.jpeg"/><Relationship Id="rId34" Type="http://schemas.openxmlformats.org/officeDocument/2006/relationships/image" Target="media/image22.jpeg"/><Relationship Id="rId33" Type="http://schemas.openxmlformats.org/officeDocument/2006/relationships/image" Target="media/image21.jpeg"/><Relationship Id="rId32" Type="http://schemas.openxmlformats.org/officeDocument/2006/relationships/image" Target="media/image20.jpeg"/><Relationship Id="rId31" Type="http://schemas.openxmlformats.org/officeDocument/2006/relationships/image" Target="media/image19.emf"/><Relationship Id="rId30" Type="http://schemas.openxmlformats.org/officeDocument/2006/relationships/image" Target="media/image18.emf"/><Relationship Id="rId3" Type="http://schemas.openxmlformats.org/officeDocument/2006/relationships/header" Target="header1.xml"/><Relationship Id="rId29" Type="http://schemas.openxmlformats.org/officeDocument/2006/relationships/image" Target="media/image17.emf"/><Relationship Id="rId28" Type="http://schemas.openxmlformats.org/officeDocument/2006/relationships/image" Target="media/image16.emf"/><Relationship Id="rId27" Type="http://schemas.openxmlformats.org/officeDocument/2006/relationships/image" Target="media/image15.emf"/><Relationship Id="rId26" Type="http://schemas.openxmlformats.org/officeDocument/2006/relationships/image" Target="media/image14.emf"/><Relationship Id="rId25" Type="http://schemas.openxmlformats.org/officeDocument/2006/relationships/image" Target="media/image13.emf"/><Relationship Id="rId24" Type="http://schemas.openxmlformats.org/officeDocument/2006/relationships/image" Target="media/image12.emf"/><Relationship Id="rId23" Type="http://schemas.openxmlformats.org/officeDocument/2006/relationships/image" Target="media/image11.emf"/><Relationship Id="rId22" Type="http://schemas.openxmlformats.org/officeDocument/2006/relationships/image" Target="media/image10.emf"/><Relationship Id="rId21" Type="http://schemas.openxmlformats.org/officeDocument/2006/relationships/image" Target="media/image9.emf"/><Relationship Id="rId20" Type="http://schemas.openxmlformats.org/officeDocument/2006/relationships/image" Target="media/image8.emf"/><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image" Target="media/image6.emf"/><Relationship Id="rId17" Type="http://schemas.openxmlformats.org/officeDocument/2006/relationships/image" Target="media/image5.emf"/><Relationship Id="rId16" Type="http://schemas.openxmlformats.org/officeDocument/2006/relationships/image" Target="media/image4.emf"/><Relationship Id="rId15" Type="http://schemas.openxmlformats.org/officeDocument/2006/relationships/image" Target="media/image3.png"/><Relationship Id="rId14" Type="http://schemas.openxmlformats.org/officeDocument/2006/relationships/image" Target="media/image2.jpe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chinaunicom</Company>
  <Pages>30</Pages>
  <Words>2404</Words>
  <Characters>13707</Characters>
  <Lines>114</Lines>
  <Paragraphs>32</Paragraphs>
  <TotalTime>0</TotalTime>
  <ScaleCrop>false</ScaleCrop>
  <LinksUpToDate>false</LinksUpToDate>
  <CharactersWithSpaces>16079</CharactersWithSpaces>
  <Application>WPS Office_11.1.0.10168_F1E327BC-269C-435d-A152-05C5408002CA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2019-08-19T01:47:00Z</dcterms:created>
  <dc:creator>lht</dc:creator>
  <cp:lastModifiedBy>李洪栋-网研院</cp:lastModifiedBy>
  <cp:lastPrinted>2014-03-10T06:43:00Z</cp:lastPrinted>
  <dcterms:modified xsi:type="dcterms:W3CDTF">2021-03-25T01:08:19Z</dcterms:modified>
  <dc:title>中国电信企业产品标准</dc:title>
  <cp:revision>405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2052-11.1.0.10168</vt:lpwstr>
  </property>
</Properties>
</file>