
<file path=[Content_Types].xml><?xml version="1.0" encoding="utf-8"?>
<Types xmlns="http://schemas.openxmlformats.org/package/2006/content-types">
  <Default Extension="xml" ContentType="application/xml"/>
  <Default Extension="wmf" ContentType="image/x-wmf"/>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52"/>
        <w:spacing w:line="360" w:lineRule="auto"/>
        <w:ind w:firstLine="800"/>
        <w:rPr>
          <w:rFonts w:ascii="宋体_GB2312" w:hAnsi="宋体_GB2312" w:eastAsia="宋体_GB2312"/>
          <w:sz w:val="40"/>
          <w:szCs w:val="21"/>
        </w:rPr>
      </w:pPr>
    </w:p>
    <w:p>
      <w:pPr>
        <w:adjustRightInd w:val="0"/>
        <w:spacing w:line="360" w:lineRule="auto"/>
        <w:jc w:val="center"/>
        <w:textAlignment w:val="baseline"/>
        <w:rPr>
          <w:rFonts w:ascii="宋体_GB2312" w:hAnsi="宋体_GB2312" w:eastAsia="宋体_GB2312" w:cs="宋体"/>
          <w:b/>
          <w:bCs/>
          <w:kern w:val="0"/>
          <w:sz w:val="44"/>
          <w:szCs w:val="44"/>
        </w:rPr>
      </w:pPr>
      <w:r>
        <w:rPr>
          <w:rFonts w:hint="eastAsia" w:ascii="宋体_GB2312" w:hAnsi="宋体_GB2312" w:eastAsia="宋体_GB2312" w:cs="宋体"/>
          <w:b/>
          <w:bCs/>
          <w:kern w:val="0"/>
          <w:sz w:val="44"/>
          <w:szCs w:val="44"/>
        </w:rPr>
        <w:t>中国联通免跳纤光缆交接箱技术规范书（2020版）</w:t>
      </w:r>
    </w:p>
    <w:p>
      <w:pPr>
        <w:adjustRightInd w:val="0"/>
        <w:spacing w:line="360" w:lineRule="auto"/>
        <w:jc w:val="center"/>
        <w:textAlignment w:val="baseline"/>
        <w:rPr>
          <w:rFonts w:ascii="宋体_GB2312" w:hAnsi="宋体_GB2312" w:eastAsia="宋体_GB2312" w:cs="宋体"/>
          <w:b/>
          <w:bCs/>
          <w:kern w:val="0"/>
          <w:sz w:val="44"/>
          <w:szCs w:val="44"/>
        </w:rPr>
      </w:pPr>
    </w:p>
    <w:p>
      <w:pPr>
        <w:adjustRightInd w:val="0"/>
        <w:spacing w:line="360" w:lineRule="auto"/>
        <w:jc w:val="center"/>
        <w:textAlignment w:val="baseline"/>
        <w:rPr>
          <w:rFonts w:ascii="宋体_GB2312" w:hAnsi="宋体_GB2312" w:eastAsia="宋体_GB2312" w:cs="宋体"/>
          <w:b/>
          <w:bCs/>
          <w:kern w:val="0"/>
          <w:sz w:val="44"/>
          <w:szCs w:val="44"/>
        </w:rPr>
      </w:pPr>
    </w:p>
    <w:p>
      <w:pPr>
        <w:adjustRightInd w:val="0"/>
        <w:spacing w:line="360" w:lineRule="auto"/>
        <w:jc w:val="center"/>
        <w:textAlignment w:val="baseline"/>
        <w:rPr>
          <w:rFonts w:ascii="宋体_GB2312" w:hAnsi="宋体_GB2312" w:eastAsia="宋体_GB2312" w:cs="宋体"/>
          <w:b/>
          <w:bCs/>
          <w:kern w:val="0"/>
          <w:sz w:val="44"/>
          <w:szCs w:val="44"/>
        </w:rPr>
      </w:pPr>
    </w:p>
    <w:p>
      <w:pPr>
        <w:adjustRightInd w:val="0"/>
        <w:spacing w:line="360" w:lineRule="auto"/>
        <w:jc w:val="center"/>
        <w:textAlignment w:val="baseline"/>
        <w:rPr>
          <w:rFonts w:ascii="宋体_GB2312" w:hAnsi="宋体_GB2312" w:eastAsia="宋体_GB2312" w:cs="宋体"/>
          <w:b/>
          <w:bCs/>
          <w:kern w:val="0"/>
          <w:sz w:val="44"/>
          <w:szCs w:val="44"/>
        </w:rPr>
      </w:pPr>
    </w:p>
    <w:p>
      <w:pPr>
        <w:spacing w:line="360" w:lineRule="auto"/>
        <w:ind w:firstLine="803" w:firstLineChars="200"/>
        <w:jc w:val="center"/>
        <w:rPr>
          <w:rFonts w:ascii="宋体_GB2312" w:hAnsi="宋体_GB2312" w:eastAsia="宋体_GB2312"/>
          <w:b/>
          <w:sz w:val="40"/>
          <w:szCs w:val="21"/>
        </w:rPr>
      </w:pPr>
    </w:p>
    <w:p>
      <w:pPr>
        <w:spacing w:line="360" w:lineRule="auto"/>
        <w:ind w:firstLine="803" w:firstLineChars="200"/>
        <w:jc w:val="center"/>
        <w:rPr>
          <w:rFonts w:ascii="宋体_GB2312" w:hAnsi="宋体_GB2312" w:eastAsia="宋体_GB2312"/>
          <w:b/>
          <w:sz w:val="40"/>
          <w:szCs w:val="21"/>
        </w:rPr>
      </w:pPr>
    </w:p>
    <w:p>
      <w:pPr>
        <w:spacing w:line="360" w:lineRule="auto"/>
        <w:ind w:firstLine="803" w:firstLineChars="200"/>
        <w:jc w:val="center"/>
        <w:rPr>
          <w:rFonts w:ascii="宋体_GB2312" w:hAnsi="宋体_GB2312" w:eastAsia="宋体_GB2312"/>
          <w:b/>
          <w:sz w:val="40"/>
          <w:szCs w:val="21"/>
        </w:rPr>
      </w:pPr>
    </w:p>
    <w:p>
      <w:pPr>
        <w:pStyle w:val="152"/>
        <w:spacing w:line="360" w:lineRule="auto"/>
        <w:ind w:firstLine="800"/>
        <w:rPr>
          <w:rFonts w:ascii="宋体_GB2312" w:hAnsi="宋体_GB2312" w:eastAsia="宋体_GB2312"/>
          <w:sz w:val="40"/>
          <w:szCs w:val="21"/>
        </w:rPr>
      </w:pPr>
    </w:p>
    <w:p>
      <w:pPr>
        <w:pStyle w:val="152"/>
        <w:spacing w:line="360" w:lineRule="auto"/>
        <w:ind w:firstLine="420"/>
        <w:rPr>
          <w:rFonts w:ascii="宋体_GB2312" w:hAnsi="宋体_GB2312" w:eastAsia="宋体_GB2312"/>
          <w:szCs w:val="21"/>
        </w:rPr>
      </w:pPr>
    </w:p>
    <w:p>
      <w:pPr>
        <w:pStyle w:val="152"/>
        <w:spacing w:line="360" w:lineRule="auto"/>
        <w:ind w:firstLine="420"/>
        <w:rPr>
          <w:rFonts w:ascii="宋体_GB2312" w:hAnsi="宋体_GB2312" w:eastAsia="宋体_GB2312"/>
          <w:szCs w:val="21"/>
        </w:rPr>
      </w:pPr>
    </w:p>
    <w:p>
      <w:pPr>
        <w:pStyle w:val="152"/>
        <w:spacing w:line="360" w:lineRule="auto"/>
        <w:ind w:firstLine="420"/>
        <w:rPr>
          <w:rFonts w:ascii="宋体_GB2312" w:hAnsi="宋体_GB2312" w:eastAsia="宋体_GB2312"/>
          <w:szCs w:val="21"/>
        </w:rPr>
      </w:pPr>
    </w:p>
    <w:p>
      <w:pPr>
        <w:pStyle w:val="152"/>
        <w:spacing w:line="360" w:lineRule="auto"/>
        <w:ind w:firstLine="420"/>
        <w:rPr>
          <w:rFonts w:ascii="宋体_GB2312" w:hAnsi="宋体_GB2312" w:eastAsia="宋体_GB2312"/>
          <w:szCs w:val="21"/>
        </w:rPr>
      </w:pPr>
    </w:p>
    <w:p>
      <w:pPr>
        <w:pStyle w:val="152"/>
        <w:spacing w:line="360" w:lineRule="auto"/>
        <w:ind w:firstLine="420"/>
        <w:rPr>
          <w:rFonts w:ascii="宋体_GB2312" w:hAnsi="宋体_GB2312" w:eastAsia="宋体_GB2312"/>
          <w:szCs w:val="21"/>
        </w:rPr>
      </w:pPr>
    </w:p>
    <w:p>
      <w:pPr>
        <w:pStyle w:val="152"/>
        <w:spacing w:line="360" w:lineRule="auto"/>
        <w:ind w:firstLine="420"/>
        <w:rPr>
          <w:rFonts w:ascii="宋体_GB2312" w:hAnsi="宋体_GB2312" w:eastAsia="宋体_GB2312"/>
          <w:szCs w:val="21"/>
        </w:rPr>
      </w:pPr>
    </w:p>
    <w:p>
      <w:pPr>
        <w:pStyle w:val="152"/>
        <w:spacing w:line="360" w:lineRule="auto"/>
        <w:ind w:firstLine="420"/>
        <w:rPr>
          <w:rFonts w:ascii="宋体_GB2312" w:hAnsi="宋体_GB2312" w:eastAsia="宋体_GB2312"/>
          <w:szCs w:val="21"/>
        </w:rPr>
      </w:pPr>
    </w:p>
    <w:p>
      <w:pPr>
        <w:spacing w:line="360" w:lineRule="auto"/>
        <w:jc w:val="center"/>
        <w:rPr>
          <w:rFonts w:ascii="宋体_GB2312" w:hAnsi="宋体_GB2312" w:eastAsia="宋体_GB2312" w:cs="宋体"/>
          <w:b/>
          <w:bCs/>
          <w:sz w:val="44"/>
          <w:szCs w:val="44"/>
        </w:rPr>
      </w:pPr>
      <w:r>
        <w:rPr>
          <w:rFonts w:hint="eastAsia" w:ascii="宋体_GB2312" w:hAnsi="宋体_GB2312" w:eastAsia="宋体_GB2312" w:cs="宋体"/>
          <w:b/>
          <w:bCs/>
          <w:sz w:val="44"/>
          <w:szCs w:val="44"/>
        </w:rPr>
        <w:t>中国联合网络通信有限公司</w:t>
      </w:r>
    </w:p>
    <w:p>
      <w:pPr>
        <w:spacing w:line="360" w:lineRule="auto"/>
        <w:jc w:val="center"/>
        <w:rPr>
          <w:rFonts w:ascii="宋体_GB2312" w:hAnsi="宋体_GB2312" w:eastAsia="宋体_GB2312" w:cs="宋体"/>
          <w:b/>
          <w:bCs/>
          <w:sz w:val="44"/>
          <w:szCs w:val="44"/>
        </w:rPr>
      </w:pPr>
      <w:r>
        <w:rPr>
          <w:rFonts w:ascii="宋体_GB2312" w:hAnsi="宋体_GB2312" w:eastAsia="宋体_GB2312" w:cs="宋体"/>
          <w:b/>
          <w:bCs/>
          <w:sz w:val="44"/>
          <w:szCs w:val="44"/>
        </w:rPr>
        <w:t>202</w:t>
      </w:r>
      <w:r>
        <w:rPr>
          <w:rFonts w:hint="eastAsia" w:ascii="宋体_GB2312" w:hAnsi="宋体_GB2312" w:eastAsia="宋体_GB2312" w:cs="宋体"/>
          <w:b/>
          <w:bCs/>
          <w:sz w:val="44"/>
          <w:szCs w:val="44"/>
          <w:lang w:val="en-US" w:eastAsia="zh-CN"/>
        </w:rPr>
        <w:t>1</w:t>
      </w:r>
      <w:r>
        <w:rPr>
          <w:rFonts w:hint="eastAsia" w:ascii="宋体_GB2312" w:hAnsi="宋体_GB2312" w:eastAsia="宋体_GB2312" w:cs="宋体"/>
          <w:b/>
          <w:bCs/>
          <w:sz w:val="44"/>
          <w:szCs w:val="44"/>
        </w:rPr>
        <w:t>年</w:t>
      </w:r>
      <w:r>
        <w:rPr>
          <w:rFonts w:hint="eastAsia" w:ascii="宋体_GB2312" w:hAnsi="宋体_GB2312" w:eastAsia="宋体_GB2312" w:cs="宋体"/>
          <w:b/>
          <w:bCs/>
          <w:sz w:val="44"/>
          <w:szCs w:val="44"/>
          <w:lang w:val="en-US" w:eastAsia="zh-CN"/>
        </w:rPr>
        <w:t>2</w:t>
      </w:r>
      <w:r>
        <w:rPr>
          <w:rFonts w:hint="eastAsia" w:ascii="宋体_GB2312" w:hAnsi="宋体_GB2312" w:eastAsia="宋体_GB2312" w:cs="宋体"/>
          <w:b/>
          <w:bCs/>
          <w:sz w:val="44"/>
          <w:szCs w:val="44"/>
        </w:rPr>
        <w:t>月</w:t>
      </w:r>
    </w:p>
    <w:p>
      <w:pPr>
        <w:pStyle w:val="152"/>
        <w:spacing w:line="360" w:lineRule="auto"/>
        <w:ind w:firstLine="643"/>
        <w:jc w:val="center"/>
        <w:rPr>
          <w:rFonts w:ascii="宋体_GB2312" w:hAnsi="宋体_GB2312" w:eastAsia="宋体_GB2312"/>
          <w:b/>
          <w:sz w:val="32"/>
          <w:szCs w:val="21"/>
        </w:rPr>
      </w:pPr>
    </w:p>
    <w:p>
      <w:pPr>
        <w:pStyle w:val="152"/>
        <w:spacing w:line="360" w:lineRule="auto"/>
        <w:ind w:firstLine="420"/>
        <w:rPr>
          <w:rFonts w:ascii="宋体_GB2312" w:hAnsi="宋体_GB2312" w:eastAsia="宋体_GB2312"/>
          <w:szCs w:val="21"/>
        </w:rPr>
      </w:pPr>
    </w:p>
    <w:p>
      <w:pPr>
        <w:spacing w:after="163" w:afterLines="50" w:line="360" w:lineRule="auto"/>
        <w:ind w:firstLine="420" w:firstLineChars="200"/>
        <w:jc w:val="center"/>
        <w:rPr>
          <w:rFonts w:ascii="宋体_GB2312" w:hAnsi="宋体_GB2312" w:eastAsia="宋体_GB2312"/>
          <w:sz w:val="21"/>
          <w:szCs w:val="21"/>
        </w:rPr>
        <w:sectPr>
          <w:headerReference r:id="rId3" w:type="default"/>
          <w:footerReference r:id="rId4" w:type="default"/>
          <w:pgSz w:w="11906" w:h="16838"/>
          <w:pgMar w:top="1440" w:right="1287" w:bottom="1440" w:left="1797" w:header="720" w:footer="720" w:gutter="0"/>
          <w:pgNumType w:start="0"/>
          <w:cols w:space="720" w:num="1"/>
          <w:docGrid w:type="lines" w:linePitch="326" w:charSpace="-4916"/>
        </w:sectPr>
      </w:pPr>
    </w:p>
    <w:p>
      <w:pPr>
        <w:pStyle w:val="28"/>
        <w:tabs>
          <w:tab w:val="right" w:leader="dot" w:pos="8812"/>
        </w:tabs>
        <w:jc w:val="center"/>
        <w:rPr>
          <w:rFonts w:ascii="宋体_GB2312" w:hAnsi="宋体_GB2312" w:eastAsia="宋体_GB2312"/>
          <w:sz w:val="40"/>
          <w:szCs w:val="21"/>
        </w:rPr>
      </w:pPr>
      <w:r>
        <w:rPr>
          <w:rFonts w:hint="eastAsia" w:ascii="宋体_GB2312" w:hAnsi="宋体_GB2312" w:eastAsia="宋体_GB2312"/>
          <w:sz w:val="40"/>
          <w:szCs w:val="21"/>
        </w:rPr>
        <w:t>目</w:t>
      </w:r>
      <w:r>
        <w:rPr>
          <w:rFonts w:ascii="宋体_GB2312" w:hAnsi="宋体_GB2312" w:eastAsia="宋体_GB2312"/>
          <w:sz w:val="40"/>
          <w:szCs w:val="21"/>
        </w:rPr>
        <w:t xml:space="preserve">   </w:t>
      </w:r>
      <w:r>
        <w:rPr>
          <w:rFonts w:hint="eastAsia" w:ascii="宋体_GB2312" w:hAnsi="宋体_GB2312" w:eastAsia="宋体_GB2312"/>
          <w:sz w:val="40"/>
          <w:szCs w:val="21"/>
        </w:rPr>
        <w:t>录</w:t>
      </w:r>
    </w:p>
    <w:p>
      <w:pPr>
        <w:pStyle w:val="28"/>
        <w:tabs>
          <w:tab w:val="right" w:leader="dot" w:pos="8822"/>
        </w:tabs>
      </w:pPr>
      <w:r>
        <w:rPr>
          <w:rFonts w:hint="eastAsia" w:ascii="宋体_GB2312" w:hAnsi="宋体_GB2312" w:eastAsia="宋体_GB2312"/>
          <w:kern w:val="0"/>
          <w:sz w:val="21"/>
          <w:szCs w:val="21"/>
        </w:rPr>
        <w:fldChar w:fldCharType="begin"/>
      </w:r>
      <w:r>
        <w:rPr>
          <w:rFonts w:ascii="宋体_GB2312" w:hAnsi="宋体_GB2312" w:eastAsia="宋体_GB2312"/>
          <w:kern w:val="0"/>
          <w:sz w:val="21"/>
          <w:szCs w:val="21"/>
        </w:rPr>
        <w:instrText xml:space="preserve"> TOC \o "1-2" \h \z \u </w:instrText>
      </w:r>
      <w:r>
        <w:rPr>
          <w:rFonts w:hint="eastAsia" w:ascii="宋体_GB2312" w:hAnsi="宋体_GB2312" w:eastAsia="宋体_GB2312"/>
          <w:kern w:val="0"/>
          <w:sz w:val="21"/>
          <w:szCs w:val="21"/>
        </w:rPr>
        <w:fldChar w:fldCharType="separate"/>
      </w: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_Toc23199 </w:instrText>
      </w:r>
      <w:r>
        <w:rPr>
          <w:rFonts w:hint="eastAsia" w:ascii="宋体_GB2312" w:hAnsi="宋体_GB2312" w:eastAsia="宋体_GB2312"/>
          <w:kern w:val="0"/>
          <w:szCs w:val="21"/>
        </w:rPr>
        <w:fldChar w:fldCharType="separate"/>
      </w:r>
      <w:r>
        <w:rPr>
          <w:rFonts w:ascii="宋体_GB2312" w:hAnsi="宋体_GB2312" w:eastAsia="宋体_GB2312"/>
          <w:bCs/>
          <w:szCs w:val="24"/>
        </w:rPr>
        <w:t>1 概述</w:t>
      </w:r>
      <w:r>
        <w:tab/>
      </w:r>
      <w:r>
        <w:fldChar w:fldCharType="begin"/>
      </w:r>
      <w:r>
        <w:instrText xml:space="preserve"> PAGEREF _Toc23199 </w:instrText>
      </w:r>
      <w:r>
        <w:fldChar w:fldCharType="separate"/>
      </w:r>
      <w:r>
        <w:t>1</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_Toc163 </w:instrText>
      </w:r>
      <w:r>
        <w:rPr>
          <w:rFonts w:hint="eastAsia" w:ascii="宋体_GB2312" w:hAnsi="宋体_GB2312" w:eastAsia="宋体_GB2312"/>
          <w:kern w:val="0"/>
          <w:szCs w:val="21"/>
        </w:rPr>
        <w:fldChar w:fldCharType="separate"/>
      </w:r>
      <w:r>
        <w:rPr>
          <w:rFonts w:ascii="宋体_GB2312" w:hAnsi="宋体_GB2312" w:eastAsia="宋体_GB2312"/>
          <w:bCs/>
          <w:szCs w:val="24"/>
          <w:highlight w:val="none"/>
        </w:rPr>
        <w:t xml:space="preserve">2 </w:t>
      </w:r>
      <w:r>
        <w:rPr>
          <w:rFonts w:hint="eastAsia" w:ascii="宋体_GB2312" w:hAnsi="宋体_GB2312" w:eastAsia="宋体_GB2312"/>
          <w:bCs/>
          <w:szCs w:val="24"/>
          <w:highlight w:val="none"/>
        </w:rPr>
        <w:t>总体要求</w:t>
      </w:r>
      <w:r>
        <w:tab/>
      </w:r>
      <w:r>
        <w:fldChar w:fldCharType="begin"/>
      </w:r>
      <w:r>
        <w:instrText xml:space="preserve"> PAGEREF _Toc163 </w:instrText>
      </w:r>
      <w:r>
        <w:fldChar w:fldCharType="separate"/>
      </w:r>
      <w:r>
        <w:t>2</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_Toc8719 </w:instrText>
      </w:r>
      <w:r>
        <w:rPr>
          <w:rFonts w:hint="eastAsia" w:ascii="宋体_GB2312" w:hAnsi="宋体_GB2312" w:eastAsia="宋体_GB2312"/>
          <w:kern w:val="0"/>
          <w:szCs w:val="21"/>
        </w:rPr>
        <w:fldChar w:fldCharType="separate"/>
      </w:r>
      <w:r>
        <w:rPr>
          <w:rFonts w:ascii="宋体_GB2312" w:hAnsi="宋体_GB2312" w:eastAsia="宋体_GB2312"/>
          <w:bCs/>
          <w:szCs w:val="24"/>
        </w:rPr>
        <w:t xml:space="preserve">2.1 </w:t>
      </w:r>
      <w:r>
        <w:rPr>
          <w:rFonts w:hint="eastAsia" w:ascii="宋体_GB2312" w:hAnsi="宋体_GB2312" w:eastAsia="宋体_GB2312"/>
          <w:bCs/>
          <w:szCs w:val="24"/>
        </w:rPr>
        <w:t>总体描述</w:t>
      </w:r>
      <w:r>
        <w:tab/>
      </w:r>
      <w:r>
        <w:fldChar w:fldCharType="begin"/>
      </w:r>
      <w:r>
        <w:instrText xml:space="preserve"> PAGEREF _Toc8719 </w:instrText>
      </w:r>
      <w:r>
        <w:fldChar w:fldCharType="separate"/>
      </w:r>
      <w:r>
        <w:t>2</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_Toc21455 </w:instrText>
      </w:r>
      <w:r>
        <w:rPr>
          <w:rFonts w:hint="eastAsia" w:ascii="宋体_GB2312" w:hAnsi="宋体_GB2312" w:eastAsia="宋体_GB2312"/>
          <w:kern w:val="0"/>
          <w:szCs w:val="21"/>
        </w:rPr>
        <w:fldChar w:fldCharType="separate"/>
      </w:r>
      <w:r>
        <w:rPr>
          <w:rFonts w:ascii="宋体_GB2312" w:hAnsi="宋体_GB2312" w:eastAsia="宋体_GB2312"/>
          <w:bCs/>
          <w:szCs w:val="24"/>
        </w:rPr>
        <w:t>2.2外观与结构</w:t>
      </w:r>
      <w:r>
        <w:tab/>
      </w:r>
      <w:r>
        <w:fldChar w:fldCharType="begin"/>
      </w:r>
      <w:r>
        <w:instrText xml:space="preserve"> PAGEREF _Toc21455 </w:instrText>
      </w:r>
      <w:r>
        <w:fldChar w:fldCharType="separate"/>
      </w:r>
      <w:r>
        <w:t>2</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_Toc19251 </w:instrText>
      </w:r>
      <w:r>
        <w:rPr>
          <w:rFonts w:hint="eastAsia" w:ascii="宋体_GB2312" w:hAnsi="宋体_GB2312" w:eastAsia="宋体_GB2312"/>
          <w:kern w:val="0"/>
          <w:szCs w:val="21"/>
        </w:rPr>
        <w:fldChar w:fldCharType="separate"/>
      </w:r>
      <w:r>
        <w:rPr>
          <w:rFonts w:ascii="宋体_GB2312" w:hAnsi="宋体_GB2312" w:eastAsia="宋体_GB2312"/>
          <w:bCs/>
          <w:szCs w:val="24"/>
        </w:rPr>
        <w:t>2.3产品规格</w:t>
      </w:r>
      <w:r>
        <w:tab/>
      </w:r>
      <w:r>
        <w:fldChar w:fldCharType="begin"/>
      </w:r>
      <w:r>
        <w:instrText xml:space="preserve"> PAGEREF _Toc19251 </w:instrText>
      </w:r>
      <w:r>
        <w:fldChar w:fldCharType="separate"/>
      </w:r>
      <w:r>
        <w:t>3</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_Toc4874 </w:instrText>
      </w:r>
      <w:r>
        <w:rPr>
          <w:rFonts w:hint="eastAsia" w:ascii="宋体_GB2312" w:hAnsi="宋体_GB2312" w:eastAsia="宋体_GB2312"/>
          <w:kern w:val="0"/>
          <w:szCs w:val="21"/>
        </w:rPr>
        <w:fldChar w:fldCharType="separate"/>
      </w:r>
      <w:r>
        <w:rPr>
          <w:rFonts w:ascii="宋体_GB2312" w:hAnsi="宋体_GB2312" w:eastAsia="宋体_GB2312"/>
          <w:bCs/>
          <w:szCs w:val="24"/>
        </w:rPr>
        <w:t>3 技术要求</w:t>
      </w:r>
      <w:r>
        <w:tab/>
      </w:r>
      <w:r>
        <w:fldChar w:fldCharType="begin"/>
      </w:r>
      <w:r>
        <w:instrText xml:space="preserve"> PAGEREF _Toc4874 </w:instrText>
      </w:r>
      <w:r>
        <w:fldChar w:fldCharType="separate"/>
      </w:r>
      <w:r>
        <w:t>13</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_Toc30124 </w:instrText>
      </w:r>
      <w:r>
        <w:rPr>
          <w:rFonts w:hint="eastAsia" w:ascii="宋体_GB2312" w:hAnsi="宋体_GB2312" w:eastAsia="宋体_GB2312"/>
          <w:kern w:val="0"/>
          <w:szCs w:val="21"/>
        </w:rPr>
        <w:fldChar w:fldCharType="separate"/>
      </w:r>
      <w:r>
        <w:rPr>
          <w:rFonts w:ascii="宋体_GB2312" w:hAnsi="宋体_GB2312" w:eastAsia="宋体_GB2312"/>
          <w:bCs/>
          <w:szCs w:val="24"/>
        </w:rPr>
        <w:t>3.1 外观与结构</w:t>
      </w:r>
      <w:r>
        <w:tab/>
      </w:r>
      <w:r>
        <w:fldChar w:fldCharType="begin"/>
      </w:r>
      <w:r>
        <w:instrText xml:space="preserve"> PAGEREF _Toc30124 </w:instrText>
      </w:r>
      <w:r>
        <w:fldChar w:fldCharType="separate"/>
      </w:r>
      <w:r>
        <w:t>13</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_Toc4804 </w:instrText>
      </w:r>
      <w:r>
        <w:rPr>
          <w:rFonts w:hint="eastAsia" w:ascii="宋体_GB2312" w:hAnsi="宋体_GB2312" w:eastAsia="宋体_GB2312"/>
          <w:kern w:val="0"/>
          <w:szCs w:val="21"/>
        </w:rPr>
        <w:fldChar w:fldCharType="separate"/>
      </w:r>
      <w:r>
        <w:rPr>
          <w:rFonts w:ascii="宋体_GB2312" w:hAnsi="宋体_GB2312" w:eastAsia="宋体_GB2312"/>
          <w:bCs/>
          <w:szCs w:val="24"/>
        </w:rPr>
        <w:t>3.2 机械性能</w:t>
      </w:r>
      <w:r>
        <w:tab/>
      </w:r>
      <w:r>
        <w:fldChar w:fldCharType="begin"/>
      </w:r>
      <w:r>
        <w:instrText xml:space="preserve"> PAGEREF _Toc4804 </w:instrText>
      </w:r>
      <w:r>
        <w:fldChar w:fldCharType="separate"/>
      </w:r>
      <w:r>
        <w:t>14</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_Toc21043 </w:instrText>
      </w:r>
      <w:r>
        <w:rPr>
          <w:rFonts w:hint="eastAsia" w:ascii="宋体_GB2312" w:hAnsi="宋体_GB2312" w:eastAsia="宋体_GB2312"/>
          <w:kern w:val="0"/>
          <w:szCs w:val="21"/>
        </w:rPr>
        <w:fldChar w:fldCharType="separate"/>
      </w:r>
      <w:r>
        <w:rPr>
          <w:rFonts w:hint="eastAsia" w:ascii="宋体_GB2312" w:hAnsi="宋体_GB2312" w:eastAsia="宋体_GB2312"/>
          <w:bCs/>
          <w:szCs w:val="24"/>
        </w:rPr>
        <w:t>★</w:t>
      </w:r>
      <w:r>
        <w:rPr>
          <w:rFonts w:ascii="宋体_GB2312" w:hAnsi="宋体_GB2312" w:eastAsia="宋体_GB2312"/>
          <w:bCs/>
          <w:szCs w:val="24"/>
        </w:rPr>
        <w:t xml:space="preserve"> 3.3密封性能</w:t>
      </w:r>
      <w:r>
        <w:tab/>
      </w:r>
      <w:r>
        <w:fldChar w:fldCharType="begin"/>
      </w:r>
      <w:r>
        <w:instrText xml:space="preserve"> PAGEREF _Toc21043 </w:instrText>
      </w:r>
      <w:r>
        <w:fldChar w:fldCharType="separate"/>
      </w:r>
      <w:r>
        <w:t>14</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_Toc24241 </w:instrText>
      </w:r>
      <w:r>
        <w:rPr>
          <w:rFonts w:hint="eastAsia" w:ascii="宋体_GB2312" w:hAnsi="宋体_GB2312" w:eastAsia="宋体_GB2312"/>
          <w:kern w:val="0"/>
          <w:szCs w:val="21"/>
        </w:rPr>
        <w:fldChar w:fldCharType="separate"/>
      </w:r>
      <w:r>
        <w:rPr>
          <w:rFonts w:ascii="宋体_GB2312" w:hAnsi="宋体_GB2312" w:eastAsia="宋体_GB2312"/>
          <w:bCs/>
          <w:szCs w:val="24"/>
        </w:rPr>
        <w:t>3.4 功能要求</w:t>
      </w:r>
      <w:r>
        <w:tab/>
      </w:r>
      <w:r>
        <w:fldChar w:fldCharType="begin"/>
      </w:r>
      <w:r>
        <w:instrText xml:space="preserve"> PAGEREF _Toc24241 </w:instrText>
      </w:r>
      <w:r>
        <w:fldChar w:fldCharType="separate"/>
      </w:r>
      <w:r>
        <w:t>14</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_Toc27655 </w:instrText>
      </w:r>
      <w:r>
        <w:rPr>
          <w:rFonts w:hint="eastAsia" w:ascii="宋体_GB2312" w:hAnsi="宋体_GB2312" w:eastAsia="宋体_GB2312"/>
          <w:kern w:val="0"/>
          <w:szCs w:val="21"/>
        </w:rPr>
        <w:fldChar w:fldCharType="separate"/>
      </w:r>
      <w:r>
        <w:rPr>
          <w:rFonts w:ascii="宋体_GB2312" w:hAnsi="宋体_GB2312" w:eastAsia="宋体_GB2312"/>
          <w:bCs/>
          <w:szCs w:val="24"/>
        </w:rPr>
        <w:t>3.5光纤活动连接器技术指标</w:t>
      </w:r>
      <w:r>
        <w:tab/>
      </w:r>
      <w:r>
        <w:fldChar w:fldCharType="begin"/>
      </w:r>
      <w:r>
        <w:instrText xml:space="preserve"> PAGEREF _Toc27655 </w:instrText>
      </w:r>
      <w:r>
        <w:fldChar w:fldCharType="separate"/>
      </w:r>
      <w:r>
        <w:t>15</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_Toc12806 </w:instrText>
      </w:r>
      <w:r>
        <w:rPr>
          <w:rFonts w:hint="eastAsia" w:ascii="宋体_GB2312" w:hAnsi="宋体_GB2312" w:eastAsia="宋体_GB2312"/>
          <w:kern w:val="0"/>
          <w:szCs w:val="21"/>
        </w:rPr>
        <w:fldChar w:fldCharType="separate"/>
      </w:r>
      <w:r>
        <w:rPr>
          <w:rFonts w:hint="eastAsia" w:ascii="宋体_GB2312" w:hAnsi="宋体_GB2312" w:eastAsia="宋体_GB2312"/>
          <w:szCs w:val="24"/>
        </w:rPr>
        <w:t>★</w:t>
      </w:r>
      <w:r>
        <w:rPr>
          <w:rFonts w:ascii="宋体_GB2312" w:hAnsi="宋体_GB2312" w:eastAsia="宋体_GB2312"/>
          <w:bCs/>
          <w:szCs w:val="24"/>
        </w:rPr>
        <w:t xml:space="preserve">3.6 </w:t>
      </w:r>
      <w:r>
        <w:rPr>
          <w:rFonts w:hint="eastAsia" w:ascii="宋体_GB2312" w:hAnsi="宋体_GB2312" w:eastAsia="宋体_GB2312"/>
          <w:bCs/>
          <w:szCs w:val="24"/>
        </w:rPr>
        <w:t>高压防护接地装置</w:t>
      </w:r>
      <w:r>
        <w:tab/>
      </w:r>
      <w:r>
        <w:fldChar w:fldCharType="begin"/>
      </w:r>
      <w:r>
        <w:instrText xml:space="preserve"> PAGEREF _Toc12806 </w:instrText>
      </w:r>
      <w:r>
        <w:fldChar w:fldCharType="separate"/>
      </w:r>
      <w:r>
        <w:t>17</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_Toc17072 </w:instrText>
      </w:r>
      <w:r>
        <w:rPr>
          <w:rFonts w:hint="eastAsia" w:ascii="宋体_GB2312" w:hAnsi="宋体_GB2312" w:eastAsia="宋体_GB2312"/>
          <w:kern w:val="0"/>
          <w:szCs w:val="21"/>
        </w:rPr>
        <w:fldChar w:fldCharType="separate"/>
      </w:r>
      <w:r>
        <w:rPr>
          <w:rFonts w:ascii="宋体_GB2312" w:hAnsi="宋体_GB2312" w:eastAsia="宋体_GB2312"/>
          <w:bCs/>
          <w:szCs w:val="24"/>
        </w:rPr>
        <w:t xml:space="preserve">4 </w:t>
      </w:r>
      <w:r>
        <w:rPr>
          <w:rFonts w:hint="eastAsia" w:ascii="宋体_GB2312" w:hAnsi="宋体_GB2312" w:eastAsia="宋体_GB2312"/>
          <w:bCs/>
          <w:szCs w:val="24"/>
        </w:rPr>
        <w:t>材料要求及检查、试验</w:t>
      </w:r>
      <w:r>
        <w:tab/>
      </w:r>
      <w:r>
        <w:fldChar w:fldCharType="begin"/>
      </w:r>
      <w:r>
        <w:instrText xml:space="preserve"> PAGEREF _Toc17072 </w:instrText>
      </w:r>
      <w:r>
        <w:fldChar w:fldCharType="separate"/>
      </w:r>
      <w:r>
        <w:t>18</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_Toc8881 </w:instrText>
      </w:r>
      <w:r>
        <w:rPr>
          <w:rFonts w:hint="eastAsia" w:ascii="宋体_GB2312" w:hAnsi="宋体_GB2312" w:eastAsia="宋体_GB2312"/>
          <w:kern w:val="0"/>
          <w:szCs w:val="21"/>
        </w:rPr>
        <w:fldChar w:fldCharType="separate"/>
      </w:r>
      <w:r>
        <w:rPr>
          <w:rFonts w:ascii="宋体_GB2312" w:hAnsi="宋体_GB2312" w:eastAsia="宋体_GB2312"/>
          <w:bCs/>
          <w:szCs w:val="24"/>
        </w:rPr>
        <w:t>4.1箱体材料</w:t>
      </w:r>
      <w:r>
        <w:tab/>
      </w:r>
      <w:r>
        <w:fldChar w:fldCharType="begin"/>
      </w:r>
      <w:r>
        <w:instrText xml:space="preserve"> PAGEREF _Toc8881 </w:instrText>
      </w:r>
      <w:r>
        <w:fldChar w:fldCharType="separate"/>
      </w:r>
      <w:r>
        <w:t>18</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_Toc24290 </w:instrText>
      </w:r>
      <w:r>
        <w:rPr>
          <w:rFonts w:hint="eastAsia" w:ascii="宋体_GB2312" w:hAnsi="宋体_GB2312" w:eastAsia="宋体_GB2312"/>
          <w:kern w:val="0"/>
          <w:szCs w:val="21"/>
        </w:rPr>
        <w:fldChar w:fldCharType="separate"/>
      </w:r>
      <w:r>
        <w:rPr>
          <w:rFonts w:ascii="宋体_GB2312" w:hAnsi="宋体_GB2312" w:eastAsia="宋体_GB2312"/>
          <w:bCs/>
          <w:szCs w:val="24"/>
        </w:rPr>
        <w:t>4.2塑料材料</w:t>
      </w:r>
      <w:r>
        <w:tab/>
      </w:r>
      <w:r>
        <w:fldChar w:fldCharType="begin"/>
      </w:r>
      <w:r>
        <w:instrText xml:space="preserve"> PAGEREF _Toc24290 </w:instrText>
      </w:r>
      <w:r>
        <w:fldChar w:fldCharType="separate"/>
      </w:r>
      <w:r>
        <w:t>18</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_Toc7972 </w:instrText>
      </w:r>
      <w:r>
        <w:rPr>
          <w:rFonts w:hint="eastAsia" w:ascii="宋体_GB2312" w:hAnsi="宋体_GB2312" w:eastAsia="宋体_GB2312"/>
          <w:kern w:val="0"/>
          <w:szCs w:val="21"/>
        </w:rPr>
        <w:fldChar w:fldCharType="separate"/>
      </w:r>
      <w:r>
        <w:rPr>
          <w:rFonts w:ascii="宋体_GB2312" w:hAnsi="宋体_GB2312" w:eastAsia="宋体_GB2312"/>
          <w:bCs/>
          <w:szCs w:val="24"/>
        </w:rPr>
        <w:t>4.3非金属件的燃烧性能</w:t>
      </w:r>
      <w:r>
        <w:tab/>
      </w:r>
      <w:r>
        <w:fldChar w:fldCharType="begin"/>
      </w:r>
      <w:r>
        <w:instrText xml:space="preserve"> PAGEREF _Toc7972 </w:instrText>
      </w:r>
      <w:r>
        <w:fldChar w:fldCharType="separate"/>
      </w:r>
      <w:r>
        <w:t>18</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_Toc9102 </w:instrText>
      </w:r>
      <w:r>
        <w:rPr>
          <w:rFonts w:hint="eastAsia" w:ascii="宋体_GB2312" w:hAnsi="宋体_GB2312" w:eastAsia="宋体_GB2312"/>
          <w:kern w:val="0"/>
          <w:szCs w:val="21"/>
        </w:rPr>
        <w:fldChar w:fldCharType="separate"/>
      </w:r>
      <w:r>
        <w:rPr>
          <w:rFonts w:ascii="宋体_GB2312" w:hAnsi="宋体_GB2312" w:eastAsia="宋体_GB2312"/>
          <w:bCs/>
          <w:szCs w:val="24"/>
        </w:rPr>
        <w:t>4.4 光纤适配器</w:t>
      </w:r>
      <w:r>
        <w:tab/>
      </w:r>
      <w:r>
        <w:fldChar w:fldCharType="begin"/>
      </w:r>
      <w:r>
        <w:instrText xml:space="preserve"> PAGEREF _Toc9102 </w:instrText>
      </w:r>
      <w:r>
        <w:fldChar w:fldCharType="separate"/>
      </w:r>
      <w:r>
        <w:t>18</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_Toc7087 </w:instrText>
      </w:r>
      <w:r>
        <w:rPr>
          <w:rFonts w:hint="eastAsia" w:ascii="宋体_GB2312" w:hAnsi="宋体_GB2312" w:eastAsia="宋体_GB2312"/>
          <w:kern w:val="0"/>
          <w:szCs w:val="21"/>
        </w:rPr>
        <w:fldChar w:fldCharType="separate"/>
      </w:r>
      <w:r>
        <w:rPr>
          <w:rFonts w:ascii="宋体_GB2312" w:hAnsi="宋体_GB2312" w:eastAsia="宋体_GB2312"/>
          <w:bCs/>
          <w:szCs w:val="24"/>
        </w:rPr>
        <w:t xml:space="preserve">4.5 </w:t>
      </w:r>
      <w:r>
        <w:rPr>
          <w:rFonts w:hint="eastAsia" w:ascii="宋体_GB2312" w:hAnsi="宋体_GB2312" w:eastAsia="宋体_GB2312"/>
          <w:bCs/>
          <w:szCs w:val="24"/>
        </w:rPr>
        <w:t>光纤活动连接器插头</w:t>
      </w:r>
      <w:r>
        <w:tab/>
      </w:r>
      <w:r>
        <w:fldChar w:fldCharType="begin"/>
      </w:r>
      <w:r>
        <w:instrText xml:space="preserve"> PAGEREF _Toc7087 </w:instrText>
      </w:r>
      <w:r>
        <w:fldChar w:fldCharType="separate"/>
      </w:r>
      <w:r>
        <w:t>19</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_Toc25696 </w:instrText>
      </w:r>
      <w:r>
        <w:rPr>
          <w:rFonts w:hint="eastAsia" w:ascii="宋体_GB2312" w:hAnsi="宋体_GB2312" w:eastAsia="宋体_GB2312"/>
          <w:kern w:val="0"/>
          <w:szCs w:val="21"/>
        </w:rPr>
        <w:fldChar w:fldCharType="separate"/>
      </w:r>
      <w:r>
        <w:rPr>
          <w:rFonts w:ascii="宋体_GB2312" w:hAnsi="宋体_GB2312" w:eastAsia="宋体_GB2312"/>
          <w:bCs/>
          <w:szCs w:val="24"/>
        </w:rPr>
        <w:t xml:space="preserve">4.6 </w:t>
      </w:r>
      <w:r>
        <w:rPr>
          <w:rFonts w:hint="eastAsia" w:ascii="宋体_GB2312" w:hAnsi="宋体_GB2312" w:eastAsia="宋体_GB2312"/>
          <w:bCs/>
          <w:szCs w:val="24"/>
        </w:rPr>
        <w:t>零件材料的防腐性能</w:t>
      </w:r>
      <w:r>
        <w:tab/>
      </w:r>
      <w:r>
        <w:fldChar w:fldCharType="begin"/>
      </w:r>
      <w:r>
        <w:instrText xml:space="preserve"> PAGEREF _Toc25696 </w:instrText>
      </w:r>
      <w:r>
        <w:fldChar w:fldCharType="separate"/>
      </w:r>
      <w:r>
        <w:t>19</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_Toc29568 </w:instrText>
      </w:r>
      <w:r>
        <w:rPr>
          <w:rFonts w:hint="eastAsia" w:ascii="宋体_GB2312" w:hAnsi="宋体_GB2312" w:eastAsia="宋体_GB2312"/>
          <w:kern w:val="0"/>
          <w:szCs w:val="21"/>
        </w:rPr>
        <w:fldChar w:fldCharType="separate"/>
      </w:r>
      <w:r>
        <w:rPr>
          <w:rFonts w:ascii="宋体_GB2312" w:hAnsi="宋体_GB2312" w:eastAsia="宋体_GB2312"/>
          <w:bCs/>
          <w:szCs w:val="24"/>
        </w:rPr>
        <w:t xml:space="preserve">5 </w:t>
      </w:r>
      <w:r>
        <w:rPr>
          <w:rFonts w:hint="eastAsia" w:ascii="宋体_GB2312" w:hAnsi="宋体_GB2312" w:eastAsia="宋体_GB2312"/>
          <w:bCs/>
          <w:szCs w:val="24"/>
        </w:rPr>
        <w:t>环境要求</w:t>
      </w:r>
      <w:r>
        <w:tab/>
      </w:r>
      <w:r>
        <w:fldChar w:fldCharType="begin"/>
      </w:r>
      <w:r>
        <w:instrText xml:space="preserve"> PAGEREF _Toc29568 </w:instrText>
      </w:r>
      <w:r>
        <w:fldChar w:fldCharType="separate"/>
      </w:r>
      <w:r>
        <w:t>19</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_Toc21815 </w:instrText>
      </w:r>
      <w:r>
        <w:rPr>
          <w:rFonts w:hint="eastAsia" w:ascii="宋体_GB2312" w:hAnsi="宋体_GB2312" w:eastAsia="宋体_GB2312"/>
          <w:kern w:val="0"/>
          <w:szCs w:val="21"/>
        </w:rPr>
        <w:fldChar w:fldCharType="separate"/>
      </w:r>
      <w:r>
        <w:rPr>
          <w:rFonts w:ascii="宋体_GB2312" w:hAnsi="宋体_GB2312" w:eastAsia="宋体_GB2312"/>
          <w:bCs/>
          <w:szCs w:val="24"/>
        </w:rPr>
        <w:t>5.1使用环境条件</w:t>
      </w:r>
      <w:r>
        <w:tab/>
      </w:r>
      <w:r>
        <w:fldChar w:fldCharType="begin"/>
      </w:r>
      <w:r>
        <w:instrText xml:space="preserve"> PAGEREF _Toc21815 </w:instrText>
      </w:r>
      <w:r>
        <w:fldChar w:fldCharType="separate"/>
      </w:r>
      <w:r>
        <w:t>19</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_Toc25276 </w:instrText>
      </w:r>
      <w:r>
        <w:rPr>
          <w:rFonts w:hint="eastAsia" w:ascii="宋体_GB2312" w:hAnsi="宋体_GB2312" w:eastAsia="宋体_GB2312"/>
          <w:kern w:val="0"/>
          <w:szCs w:val="21"/>
        </w:rPr>
        <w:fldChar w:fldCharType="separate"/>
      </w:r>
      <w:r>
        <w:rPr>
          <w:rFonts w:ascii="宋体_GB2312" w:hAnsi="宋体_GB2312" w:eastAsia="宋体_GB2312"/>
          <w:bCs/>
          <w:szCs w:val="24"/>
        </w:rPr>
        <w:t>5.2检验环境条件</w:t>
      </w:r>
      <w:r>
        <w:tab/>
      </w:r>
      <w:r>
        <w:fldChar w:fldCharType="begin"/>
      </w:r>
      <w:r>
        <w:instrText xml:space="preserve"> PAGEREF _Toc25276 </w:instrText>
      </w:r>
      <w:r>
        <w:fldChar w:fldCharType="separate"/>
      </w:r>
      <w:r>
        <w:t>19</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_Toc16991 </w:instrText>
      </w:r>
      <w:r>
        <w:rPr>
          <w:rFonts w:hint="eastAsia" w:ascii="宋体_GB2312" w:hAnsi="宋体_GB2312" w:eastAsia="宋体_GB2312"/>
          <w:kern w:val="0"/>
          <w:szCs w:val="21"/>
        </w:rPr>
        <w:fldChar w:fldCharType="separate"/>
      </w:r>
      <w:r>
        <w:rPr>
          <w:rFonts w:ascii="宋体_GB2312" w:hAnsi="宋体_GB2312" w:eastAsia="宋体_GB2312"/>
          <w:bCs/>
          <w:szCs w:val="24"/>
        </w:rPr>
        <w:t xml:space="preserve">6 </w:t>
      </w:r>
      <w:r>
        <w:rPr>
          <w:rFonts w:hint="eastAsia" w:ascii="宋体_GB2312" w:hAnsi="宋体_GB2312" w:eastAsia="宋体_GB2312"/>
          <w:bCs/>
          <w:szCs w:val="24"/>
        </w:rPr>
        <w:t>包装、运输和贮存</w:t>
      </w:r>
      <w:r>
        <w:tab/>
      </w:r>
      <w:r>
        <w:fldChar w:fldCharType="begin"/>
      </w:r>
      <w:r>
        <w:instrText xml:space="preserve"> PAGEREF _Toc16991 </w:instrText>
      </w:r>
      <w:r>
        <w:fldChar w:fldCharType="separate"/>
      </w:r>
      <w:r>
        <w:t>24</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_Toc27219 </w:instrText>
      </w:r>
      <w:r>
        <w:rPr>
          <w:rFonts w:hint="eastAsia" w:ascii="宋体_GB2312" w:hAnsi="宋体_GB2312" w:eastAsia="宋体_GB2312"/>
          <w:kern w:val="0"/>
          <w:szCs w:val="21"/>
        </w:rPr>
        <w:fldChar w:fldCharType="separate"/>
      </w:r>
      <w:r>
        <w:rPr>
          <w:rFonts w:ascii="宋体_GB2312" w:hAnsi="宋体_GB2312" w:eastAsia="宋体_GB2312"/>
          <w:bCs/>
          <w:szCs w:val="24"/>
        </w:rPr>
        <w:t xml:space="preserve">6.1 </w:t>
      </w:r>
      <w:r>
        <w:rPr>
          <w:rFonts w:hint="eastAsia" w:ascii="宋体_GB2312" w:hAnsi="宋体_GB2312" w:eastAsia="宋体_GB2312"/>
          <w:bCs/>
          <w:szCs w:val="24"/>
        </w:rPr>
        <w:t>包装</w:t>
      </w:r>
      <w:r>
        <w:tab/>
      </w:r>
      <w:r>
        <w:fldChar w:fldCharType="begin"/>
      </w:r>
      <w:r>
        <w:instrText xml:space="preserve"> PAGEREF _Toc27219 </w:instrText>
      </w:r>
      <w:r>
        <w:fldChar w:fldCharType="separate"/>
      </w:r>
      <w:r>
        <w:t>24</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_Toc16272 </w:instrText>
      </w:r>
      <w:r>
        <w:rPr>
          <w:rFonts w:hint="eastAsia" w:ascii="宋体_GB2312" w:hAnsi="宋体_GB2312" w:eastAsia="宋体_GB2312"/>
          <w:kern w:val="0"/>
          <w:szCs w:val="21"/>
        </w:rPr>
        <w:fldChar w:fldCharType="separate"/>
      </w:r>
      <w:r>
        <w:rPr>
          <w:rFonts w:ascii="宋体_GB2312" w:hAnsi="宋体_GB2312" w:eastAsia="宋体_GB2312"/>
          <w:bCs/>
          <w:szCs w:val="24"/>
        </w:rPr>
        <w:t xml:space="preserve">6.2 </w:t>
      </w:r>
      <w:r>
        <w:rPr>
          <w:rFonts w:hint="eastAsia" w:ascii="宋体_GB2312" w:hAnsi="宋体_GB2312" w:eastAsia="宋体_GB2312"/>
          <w:bCs/>
          <w:szCs w:val="24"/>
        </w:rPr>
        <w:t>运输</w:t>
      </w:r>
      <w:r>
        <w:tab/>
      </w:r>
      <w:r>
        <w:fldChar w:fldCharType="begin"/>
      </w:r>
      <w:r>
        <w:instrText xml:space="preserve"> PAGEREF _Toc16272 </w:instrText>
      </w:r>
      <w:r>
        <w:fldChar w:fldCharType="separate"/>
      </w:r>
      <w:r>
        <w:t>25</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_Toc13178 </w:instrText>
      </w:r>
      <w:r>
        <w:rPr>
          <w:rFonts w:hint="eastAsia" w:ascii="宋体_GB2312" w:hAnsi="宋体_GB2312" w:eastAsia="宋体_GB2312"/>
          <w:kern w:val="0"/>
          <w:szCs w:val="21"/>
        </w:rPr>
        <w:fldChar w:fldCharType="separate"/>
      </w:r>
      <w:r>
        <w:rPr>
          <w:rFonts w:ascii="宋体_GB2312" w:hAnsi="宋体_GB2312" w:eastAsia="宋体_GB2312"/>
          <w:bCs/>
          <w:szCs w:val="24"/>
        </w:rPr>
        <w:t xml:space="preserve">6.3 </w:t>
      </w:r>
      <w:r>
        <w:rPr>
          <w:rFonts w:hint="eastAsia" w:ascii="宋体_GB2312" w:hAnsi="宋体_GB2312" w:eastAsia="宋体_GB2312"/>
          <w:bCs/>
          <w:szCs w:val="24"/>
        </w:rPr>
        <w:t>贮存</w:t>
      </w:r>
      <w:r>
        <w:tab/>
      </w:r>
      <w:r>
        <w:fldChar w:fldCharType="begin"/>
      </w:r>
      <w:r>
        <w:instrText xml:space="preserve"> PAGEREF _Toc13178 </w:instrText>
      </w:r>
      <w:r>
        <w:fldChar w:fldCharType="separate"/>
      </w:r>
      <w:r>
        <w:t>25</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_Toc11271 </w:instrText>
      </w:r>
      <w:r>
        <w:rPr>
          <w:rFonts w:hint="eastAsia" w:ascii="宋体_GB2312" w:hAnsi="宋体_GB2312" w:eastAsia="宋体_GB2312"/>
          <w:kern w:val="0"/>
          <w:szCs w:val="21"/>
        </w:rPr>
        <w:fldChar w:fldCharType="separate"/>
      </w:r>
      <w:r>
        <w:rPr>
          <w:rFonts w:hint="eastAsia" w:ascii="宋体_GB2312" w:hAnsi="宋体_GB2312" w:eastAsia="宋体_GB2312"/>
          <w:szCs w:val="24"/>
        </w:rPr>
        <w:t>7其它技术指标和性能</w:t>
      </w:r>
      <w:r>
        <w:tab/>
      </w:r>
      <w:r>
        <w:fldChar w:fldCharType="begin"/>
      </w:r>
      <w:r>
        <w:instrText xml:space="preserve"> PAGEREF _Toc11271 </w:instrText>
      </w:r>
      <w:r>
        <w:fldChar w:fldCharType="separate"/>
      </w:r>
      <w:r>
        <w:t>25</w:t>
      </w:r>
      <w:r>
        <w:fldChar w:fldCharType="end"/>
      </w:r>
      <w:r>
        <w:rPr>
          <w:rFonts w:hint="eastAsia" w:ascii="宋体_GB2312" w:hAnsi="宋体_GB2312" w:eastAsia="宋体_GB2312"/>
          <w:kern w:val="0"/>
          <w:szCs w:val="21"/>
        </w:rPr>
        <w:fldChar w:fldCharType="end"/>
      </w:r>
    </w:p>
    <w:p>
      <w:pPr>
        <w:pStyle w:val="28"/>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_Toc30705 </w:instrText>
      </w:r>
      <w:r>
        <w:rPr>
          <w:rFonts w:hint="eastAsia" w:ascii="宋体_GB2312" w:hAnsi="宋体_GB2312" w:eastAsia="宋体_GB2312"/>
          <w:kern w:val="0"/>
          <w:szCs w:val="21"/>
        </w:rPr>
        <w:fldChar w:fldCharType="separate"/>
      </w:r>
      <w:r>
        <w:rPr>
          <w:rFonts w:hint="eastAsia" w:ascii="黑体" w:hAnsi="Times New Roman" w:eastAsia="黑体"/>
          <w:i w:val="0"/>
          <w:szCs w:val="21"/>
        </w:rPr>
        <w:t xml:space="preserve">附　录　A </w:t>
      </w:r>
      <w:r>
        <w:rPr>
          <w:rFonts w:hint="eastAsia" w:ascii="宋体_GB2312" w:hAnsi="宋体_GB2312" w:eastAsia="宋体_GB2312"/>
          <w:szCs w:val="21"/>
        </w:rPr>
        <w:t>免跳纤通信光缆交接箱</w:t>
      </w:r>
      <w:r>
        <w:tab/>
      </w:r>
      <w:r>
        <w:fldChar w:fldCharType="begin"/>
      </w:r>
      <w:r>
        <w:instrText xml:space="preserve"> PAGEREF _Toc30705 </w:instrText>
      </w:r>
      <w:r>
        <w:fldChar w:fldCharType="separate"/>
      </w:r>
      <w:r>
        <w:t>26</w:t>
      </w:r>
      <w:r>
        <w:fldChar w:fldCharType="end"/>
      </w:r>
      <w:r>
        <w:rPr>
          <w:rFonts w:hint="eastAsia" w:ascii="宋体_GB2312" w:hAnsi="宋体_GB2312" w:eastAsia="宋体_GB2312"/>
          <w:kern w:val="0"/>
          <w:szCs w:val="21"/>
        </w:rPr>
        <w:fldChar w:fldCharType="end"/>
      </w:r>
    </w:p>
    <w:p>
      <w:pPr>
        <w:pStyle w:val="17"/>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_Toc7213 </w:instrText>
      </w:r>
      <w:r>
        <w:rPr>
          <w:rFonts w:hint="eastAsia" w:ascii="宋体_GB2312" w:hAnsi="宋体_GB2312" w:eastAsia="宋体_GB2312"/>
          <w:kern w:val="0"/>
          <w:szCs w:val="21"/>
        </w:rPr>
        <w:fldChar w:fldCharType="separate"/>
      </w:r>
      <w:r>
        <w:rPr>
          <w:rFonts w:hint="eastAsia" w:ascii="宋体_GB2312" w:hAnsi="宋体_GB2312" w:eastAsia="宋体_GB2312"/>
          <w:szCs w:val="24"/>
        </w:rPr>
        <w:t>A.1 免跳纤通信光缆交接箱</w:t>
      </w:r>
      <w:r>
        <w:rPr>
          <w:rFonts w:hint="eastAsia" w:ascii="宋体_GB2312" w:hAnsi="宋体_GB2312" w:eastAsia="宋体_GB2312"/>
          <w:kern w:val="44"/>
          <w:szCs w:val="24"/>
        </w:rPr>
        <w:t>类型</w:t>
      </w:r>
      <w:r>
        <w:rPr>
          <w:rFonts w:hint="eastAsia" w:ascii="宋体_GB2312" w:hAnsi="宋体_GB2312" w:eastAsia="宋体_GB2312"/>
          <w:szCs w:val="24"/>
        </w:rPr>
        <w:t>分类</w:t>
      </w:r>
      <w:r>
        <w:tab/>
      </w:r>
      <w:r>
        <w:fldChar w:fldCharType="begin"/>
      </w:r>
      <w:r>
        <w:instrText xml:space="preserve"> PAGEREF _Toc7213 </w:instrText>
      </w:r>
      <w:r>
        <w:fldChar w:fldCharType="separate"/>
      </w:r>
      <w:r>
        <w:t>26</w:t>
      </w:r>
      <w:r>
        <w:fldChar w:fldCharType="end"/>
      </w:r>
      <w:r>
        <w:rPr>
          <w:rFonts w:hint="eastAsia" w:ascii="宋体_GB2312" w:hAnsi="宋体_GB2312" w:eastAsia="宋体_GB2312"/>
          <w:kern w:val="0"/>
          <w:szCs w:val="21"/>
        </w:rPr>
        <w:fldChar w:fldCharType="end"/>
      </w:r>
    </w:p>
    <w:p>
      <w:pPr>
        <w:pStyle w:val="17"/>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_Toc23936 </w:instrText>
      </w:r>
      <w:r>
        <w:rPr>
          <w:rFonts w:hint="eastAsia" w:ascii="宋体_GB2312" w:hAnsi="宋体_GB2312" w:eastAsia="宋体_GB2312"/>
          <w:kern w:val="0"/>
          <w:szCs w:val="21"/>
        </w:rPr>
        <w:fldChar w:fldCharType="separate"/>
      </w:r>
      <w:r>
        <w:rPr>
          <w:rFonts w:hint="eastAsia" w:ascii="宋体_GB2312" w:hAnsi="宋体_GB2312" w:eastAsia="宋体_GB2312"/>
          <w:szCs w:val="24"/>
        </w:rPr>
        <w:t>A.2 插片式光分路器型免跳纤通信光缆交接箱</w:t>
      </w:r>
      <w:r>
        <w:tab/>
      </w:r>
      <w:r>
        <w:fldChar w:fldCharType="begin"/>
      </w:r>
      <w:r>
        <w:instrText xml:space="preserve"> PAGEREF _Toc23936 </w:instrText>
      </w:r>
      <w:r>
        <w:fldChar w:fldCharType="separate"/>
      </w:r>
      <w:r>
        <w:t>26</w:t>
      </w:r>
      <w:r>
        <w:fldChar w:fldCharType="end"/>
      </w:r>
      <w:r>
        <w:rPr>
          <w:rFonts w:hint="eastAsia" w:ascii="宋体_GB2312" w:hAnsi="宋体_GB2312" w:eastAsia="宋体_GB2312"/>
          <w:kern w:val="0"/>
          <w:szCs w:val="21"/>
        </w:rPr>
        <w:fldChar w:fldCharType="end"/>
      </w:r>
    </w:p>
    <w:p>
      <w:pPr>
        <w:pStyle w:val="17"/>
        <w:tabs>
          <w:tab w:val="right" w:leader="dot" w:pos="8822"/>
        </w:tabs>
      </w:pPr>
      <w:r>
        <w:rPr>
          <w:rFonts w:hint="eastAsia" w:ascii="宋体_GB2312" w:hAnsi="宋体_GB2312" w:eastAsia="宋体_GB2312"/>
          <w:kern w:val="0"/>
          <w:szCs w:val="21"/>
        </w:rPr>
        <w:fldChar w:fldCharType="begin"/>
      </w:r>
      <w:r>
        <w:rPr>
          <w:rFonts w:hint="eastAsia" w:ascii="宋体_GB2312" w:hAnsi="宋体_GB2312" w:eastAsia="宋体_GB2312"/>
          <w:kern w:val="0"/>
          <w:szCs w:val="21"/>
        </w:rPr>
        <w:instrText xml:space="preserve"> HYPERLINK \l _Toc32163 </w:instrText>
      </w:r>
      <w:r>
        <w:rPr>
          <w:rFonts w:hint="eastAsia" w:ascii="宋体_GB2312" w:hAnsi="宋体_GB2312" w:eastAsia="宋体_GB2312"/>
          <w:kern w:val="0"/>
          <w:szCs w:val="21"/>
        </w:rPr>
        <w:fldChar w:fldCharType="separate"/>
      </w:r>
      <w:r>
        <w:rPr>
          <w:rFonts w:hint="eastAsia" w:ascii="宋体_GB2312" w:hAnsi="宋体_GB2312" w:eastAsia="宋体_GB2312"/>
          <w:szCs w:val="24"/>
        </w:rPr>
        <w:t xml:space="preserve">A.3 </w:t>
      </w:r>
      <w:r>
        <w:rPr>
          <w:rFonts w:ascii="宋体_GB2312" w:hAnsi="宋体_GB2312" w:eastAsia="宋体_GB2312"/>
          <w:szCs w:val="24"/>
        </w:rPr>
        <w:t>采用盒式光分路器型免跳纤通信光缆交接箱</w:t>
      </w:r>
      <w:r>
        <w:tab/>
      </w:r>
      <w:r>
        <w:fldChar w:fldCharType="begin"/>
      </w:r>
      <w:r>
        <w:instrText xml:space="preserve"> PAGEREF _Toc32163 </w:instrText>
      </w:r>
      <w:r>
        <w:fldChar w:fldCharType="separate"/>
      </w:r>
      <w:r>
        <w:t>34</w:t>
      </w:r>
      <w:r>
        <w:fldChar w:fldCharType="end"/>
      </w:r>
      <w:r>
        <w:rPr>
          <w:rFonts w:hint="eastAsia" w:ascii="宋体_GB2312" w:hAnsi="宋体_GB2312" w:eastAsia="宋体_GB2312"/>
          <w:kern w:val="0"/>
          <w:szCs w:val="21"/>
        </w:rPr>
        <w:fldChar w:fldCharType="end"/>
      </w:r>
    </w:p>
    <w:p>
      <w:pPr>
        <w:pStyle w:val="17"/>
        <w:tabs>
          <w:tab w:val="right" w:leader="dot" w:pos="8812"/>
        </w:tabs>
        <w:spacing w:line="360" w:lineRule="auto"/>
        <w:ind w:left="480" w:firstLine="420" w:firstLineChars="200"/>
        <w:rPr>
          <w:rFonts w:ascii="宋体_GB2312" w:hAnsi="宋体_GB2312" w:eastAsia="宋体_GB2312"/>
          <w:sz w:val="21"/>
          <w:szCs w:val="21"/>
        </w:rPr>
        <w:sectPr>
          <w:headerReference r:id="rId5" w:type="default"/>
          <w:footerReference r:id="rId6" w:type="default"/>
          <w:pgSz w:w="11906" w:h="16838"/>
          <w:pgMar w:top="1440" w:right="1287" w:bottom="1440" w:left="1797" w:header="680" w:footer="680" w:gutter="0"/>
          <w:pgNumType w:fmt="lowerRoman" w:start="1"/>
          <w:cols w:space="720" w:num="1"/>
          <w:docGrid w:type="lines" w:linePitch="326" w:charSpace="-4916"/>
        </w:sectPr>
      </w:pPr>
      <w:r>
        <w:rPr>
          <w:rFonts w:hint="eastAsia" w:ascii="宋体_GB2312" w:hAnsi="宋体_GB2312" w:eastAsia="宋体_GB2312"/>
          <w:kern w:val="0"/>
          <w:sz w:val="21"/>
          <w:szCs w:val="21"/>
        </w:rPr>
        <w:fldChar w:fldCharType="end"/>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0" w:name="_Toc194133465"/>
      <w:bookmarkStart w:id="1" w:name="_Toc16101"/>
      <w:bookmarkStart w:id="2" w:name="_Toc27401404"/>
      <w:bookmarkStart w:id="3" w:name="_Toc15337"/>
      <w:bookmarkStart w:id="4" w:name="_Toc23199"/>
      <w:r>
        <w:rPr>
          <w:rFonts w:ascii="宋体_GB2312" w:hAnsi="宋体_GB2312" w:eastAsia="宋体_GB2312"/>
          <w:bCs/>
          <w:sz w:val="24"/>
          <w:szCs w:val="24"/>
        </w:rPr>
        <w:t>1</w:t>
      </w:r>
      <w:bookmarkEnd w:id="0"/>
      <w:r>
        <w:rPr>
          <w:rFonts w:ascii="宋体_GB2312" w:hAnsi="宋体_GB2312" w:eastAsia="宋体_GB2312"/>
          <w:bCs/>
          <w:sz w:val="24"/>
          <w:szCs w:val="24"/>
        </w:rPr>
        <w:t xml:space="preserve"> 概述</w:t>
      </w:r>
      <w:bookmarkEnd w:id="1"/>
      <w:bookmarkEnd w:id="2"/>
      <w:bookmarkEnd w:id="3"/>
      <w:bookmarkEnd w:id="4"/>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1.1本文件为中国联通免跳纤光缆交接箱技术规范书（2020版）。本次</w:t>
      </w:r>
      <w:r>
        <w:rPr>
          <w:rFonts w:ascii="宋体_GB2312" w:hAnsi="宋体_GB2312" w:eastAsia="宋体_GB2312"/>
          <w:szCs w:val="24"/>
        </w:rPr>
        <w:t>只对144芯、288芯、576芯</w:t>
      </w:r>
      <w:r>
        <w:rPr>
          <w:rFonts w:hint="eastAsia" w:ascii="宋体_GB2312" w:hAnsi="宋体_GB2312" w:eastAsia="宋体_GB2312"/>
          <w:szCs w:val="24"/>
        </w:rPr>
        <w:t>免跳纤光缆</w:t>
      </w:r>
      <w:r>
        <w:rPr>
          <w:rFonts w:ascii="宋体_GB2312" w:hAnsi="宋体_GB2312" w:eastAsia="宋体_GB2312"/>
          <w:szCs w:val="24"/>
        </w:rPr>
        <w:t>交接箱</w:t>
      </w:r>
      <w:r>
        <w:rPr>
          <w:rFonts w:hint="eastAsia" w:ascii="宋体_GB2312" w:hAnsi="宋体_GB2312" w:eastAsia="宋体_GB2312"/>
          <w:szCs w:val="24"/>
        </w:rPr>
        <w:t>进行招标，</w:t>
      </w:r>
      <w:r>
        <w:rPr>
          <w:rFonts w:ascii="宋体_GB2312" w:hAnsi="宋体_GB2312" w:eastAsia="宋体_GB2312"/>
          <w:szCs w:val="24"/>
        </w:rPr>
        <w:t>并进行标准化结构</w:t>
      </w:r>
      <w:r>
        <w:rPr>
          <w:rFonts w:hint="eastAsia" w:ascii="宋体_GB2312" w:hAnsi="宋体_GB2312" w:eastAsia="宋体_GB2312"/>
          <w:szCs w:val="24"/>
        </w:rPr>
        <w:t>规范</w:t>
      </w:r>
      <w:r>
        <w:rPr>
          <w:rFonts w:ascii="宋体_GB2312" w:hAnsi="宋体_GB2312" w:eastAsia="宋体_GB2312"/>
          <w:szCs w:val="24"/>
        </w:rPr>
        <w:t>，</w:t>
      </w:r>
      <w:r>
        <w:rPr>
          <w:rFonts w:hint="eastAsia" w:ascii="宋体_GB2312" w:hAnsi="宋体_GB2312" w:eastAsia="宋体_GB2312"/>
          <w:szCs w:val="24"/>
        </w:rPr>
        <w:t>对</w:t>
      </w:r>
      <w:r>
        <w:rPr>
          <w:rFonts w:ascii="宋体_GB2312" w:hAnsi="宋体_GB2312" w:eastAsia="宋体_GB2312"/>
          <w:szCs w:val="24"/>
        </w:rPr>
        <w:t>其它容量的</w:t>
      </w:r>
      <w:r>
        <w:rPr>
          <w:rFonts w:hint="eastAsia" w:ascii="宋体_GB2312" w:hAnsi="宋体_GB2312" w:eastAsia="宋体_GB2312"/>
          <w:szCs w:val="24"/>
        </w:rPr>
        <w:t>免跳纤</w:t>
      </w:r>
      <w:r>
        <w:rPr>
          <w:rFonts w:ascii="宋体_GB2312" w:hAnsi="宋体_GB2312" w:eastAsia="宋体_GB2312"/>
          <w:szCs w:val="24"/>
        </w:rPr>
        <w:t>光缆交接箱</w:t>
      </w:r>
      <w:r>
        <w:rPr>
          <w:rFonts w:hint="eastAsia" w:ascii="宋体_GB2312" w:hAnsi="宋体_GB2312" w:eastAsia="宋体_GB2312"/>
          <w:szCs w:val="24"/>
        </w:rPr>
        <w:t>暂不进行招标。</w:t>
      </w:r>
      <w:bookmarkStart w:id="190" w:name="_GoBack"/>
      <w:bookmarkEnd w:id="190"/>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 xml:space="preserve">1.2 </w:t>
      </w:r>
      <w:r>
        <w:rPr>
          <w:rFonts w:hint="eastAsia" w:ascii="宋体_GB2312" w:hAnsi="宋体_GB2312" w:eastAsia="宋体_GB2312"/>
          <w:szCs w:val="24"/>
        </w:rPr>
        <w:t>本规范应用范围为光传输网络、光接入网等需要实现光缆、光纤的连接与调度的场景，实现端接主干光缆与配线光缆、</w:t>
      </w:r>
      <w:r>
        <w:rPr>
          <w:rFonts w:hint="eastAsia" w:ascii="宋体_GB2312" w:hAnsi="宋体_GB2312" w:eastAsia="宋体_GB2312"/>
        </w:rPr>
        <w:t>配线</w:t>
      </w:r>
      <w:r>
        <w:rPr>
          <w:rFonts w:ascii="宋体_GB2312" w:hAnsi="宋体_GB2312" w:eastAsia="宋体_GB2312"/>
        </w:rPr>
        <w:t>光缆与配线光缆</w:t>
      </w:r>
      <w:r>
        <w:rPr>
          <w:rFonts w:hint="eastAsia" w:ascii="宋体_GB2312" w:hAnsi="宋体_GB2312" w:eastAsia="宋体_GB2312"/>
        </w:rPr>
        <w:t>，</w:t>
      </w:r>
      <w:r>
        <w:rPr>
          <w:rFonts w:hint="eastAsia" w:ascii="宋体_GB2312" w:hAnsi="宋体_GB2312" w:eastAsia="宋体_GB2312"/>
          <w:szCs w:val="24"/>
        </w:rPr>
        <w:t>并可放置光分路器并实现免跳纤的功能。本规范对免跳纤光缆交接箱中的熔纤、配线、分光各种性能、技术指标等方面提出了具体的要求。</w:t>
      </w:r>
      <w:r>
        <w:rPr>
          <w:rFonts w:ascii="宋体_GB2312" w:hAnsi="宋体_GB2312" w:eastAsia="宋体_GB2312"/>
          <w:szCs w:val="24"/>
        </w:rPr>
        <w:t xml:space="preserve"> </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1.3本规范对免跳纤光缆交接箱的机箱尺寸、箱体容量、箱体内部组件、光分路器单元、6位导轨板、12芯熔配一体化托盘外形尺寸、</w:t>
      </w:r>
      <w:r>
        <w:rPr>
          <w:rFonts w:hint="eastAsia" w:ascii="宋体_GB2312" w:hAnsi="宋体_GB2312" w:eastAsia="宋体_GB2312"/>
        </w:rPr>
        <w:t>直熔单元外形尺寸及安装方式</w:t>
      </w:r>
      <w:r>
        <w:rPr>
          <w:rFonts w:hint="eastAsia" w:ascii="宋体_GB2312" w:hAnsi="宋体_GB2312" w:eastAsia="宋体_GB2312"/>
          <w:szCs w:val="24"/>
        </w:rPr>
        <w:t>提出具体要求，可实现多厂家设备互换。</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1.4本规范依据中华人民共和国通信行业标准YD/T 988-20</w:t>
      </w:r>
      <w:r>
        <w:rPr>
          <w:rFonts w:ascii="宋体_GB2312" w:hAnsi="宋体_GB2312" w:eastAsia="宋体_GB2312"/>
        </w:rPr>
        <w:t>15</w:t>
      </w:r>
      <w:r>
        <w:rPr>
          <w:rFonts w:hint="eastAsia" w:ascii="宋体_GB2312" w:hAnsi="宋体_GB2312" w:eastAsia="宋体_GB2312"/>
        </w:rPr>
        <w:t>《通信光缆交接箱》、中国</w:t>
      </w:r>
      <w:r>
        <w:rPr>
          <w:rFonts w:ascii="宋体_GB2312" w:hAnsi="宋体_GB2312" w:eastAsia="宋体_GB2312"/>
        </w:rPr>
        <w:t>联通企业标准QB/</w:t>
      </w:r>
      <w:r>
        <w:rPr>
          <w:rFonts w:ascii="宋体_GB2312" w:hAnsi="宋体_GB2312" w:eastAsia="宋体_GB2312"/>
          <w:szCs w:val="24"/>
        </w:rPr>
        <w:t>CU</w:t>
      </w:r>
      <w:r>
        <w:rPr>
          <w:rFonts w:ascii="宋体_GB2312" w:hAnsi="宋体_GB2312" w:eastAsia="宋体_GB2312"/>
        </w:rPr>
        <w:t xml:space="preserve"> T12-243（2014）《中国联通ODN</w:t>
      </w:r>
      <w:r>
        <w:rPr>
          <w:rFonts w:hint="eastAsia" w:ascii="宋体_GB2312" w:hAnsi="宋体_GB2312" w:eastAsia="宋体_GB2312"/>
        </w:rPr>
        <w:t>网络设备技术规范</w:t>
      </w:r>
      <w:r>
        <w:rPr>
          <w:rFonts w:ascii="宋体_GB2312" w:hAnsi="宋体_GB2312" w:eastAsia="宋体_GB2312"/>
        </w:rPr>
        <w:t xml:space="preserve">  </w:t>
      </w:r>
      <w:r>
        <w:rPr>
          <w:rFonts w:hint="eastAsia" w:ascii="宋体_GB2312" w:hAnsi="宋体_GB2312" w:eastAsia="宋体_GB2312"/>
        </w:rPr>
        <w:t>第</w:t>
      </w:r>
      <w:r>
        <w:rPr>
          <w:rFonts w:ascii="宋体_GB2312" w:hAnsi="宋体_GB2312" w:eastAsia="宋体_GB2312"/>
        </w:rPr>
        <w:t>5</w:t>
      </w:r>
      <w:r>
        <w:rPr>
          <w:rFonts w:hint="eastAsia" w:ascii="宋体_GB2312" w:hAnsi="宋体_GB2312" w:eastAsia="宋体_GB2312"/>
        </w:rPr>
        <w:t>分册</w:t>
      </w:r>
      <w:r>
        <w:rPr>
          <w:rFonts w:ascii="宋体_GB2312" w:hAnsi="宋体_GB2312" w:eastAsia="宋体_GB2312"/>
        </w:rPr>
        <w:t xml:space="preserve"> </w:t>
      </w:r>
      <w:r>
        <w:rPr>
          <w:rFonts w:hint="eastAsia" w:ascii="宋体_GB2312" w:hAnsi="宋体_GB2312" w:eastAsia="宋体_GB2312"/>
        </w:rPr>
        <w:t>通信光缆交接箱技术规范》编制而成，设备厂商提供的产品应符合本</w:t>
      </w:r>
      <w:r>
        <w:rPr>
          <w:rFonts w:ascii="宋体_GB2312" w:hAnsi="宋体_GB2312" w:eastAsia="宋体_GB2312"/>
        </w:rPr>
        <w:t>规范</w:t>
      </w:r>
      <w:r>
        <w:rPr>
          <w:rFonts w:hint="eastAsia" w:ascii="宋体_GB2312" w:hAnsi="宋体_GB2312" w:eastAsia="宋体_GB2312"/>
        </w:rPr>
        <w:t>。</w:t>
      </w:r>
      <w:r>
        <w:rPr>
          <w:rFonts w:hint="eastAsia" w:ascii="宋体_GB2312" w:hAnsi="宋体_GB2312" w:eastAsia="宋体_GB2312"/>
          <w:szCs w:val="24"/>
        </w:rPr>
        <w:t>随着标准的修订，设备厂商提供的产品应符合最新标准的要求。</w:t>
      </w:r>
    </w:p>
    <w:p>
      <w:pPr>
        <w:spacing w:before="163" w:beforeLines="50" w:line="300" w:lineRule="auto"/>
        <w:ind w:firstLine="480" w:firstLineChars="200"/>
        <w:rPr>
          <w:rFonts w:ascii="宋体_GB2312" w:hAnsi="宋体_GB2312" w:eastAsia="宋体_GB2312"/>
        </w:rPr>
      </w:pPr>
      <w:r>
        <w:rPr>
          <w:rFonts w:ascii="宋体_GB2312" w:hAnsi="宋体_GB2312" w:eastAsia="宋体_GB2312"/>
        </w:rPr>
        <w:t>1.5本技术规范书未规定的其它技术要求应不劣于相关的中国国家标准、通信行业标准和中国联通企业标准</w:t>
      </w:r>
      <w:r>
        <w:rPr>
          <w:rFonts w:hint="eastAsia" w:ascii="宋体_GB2312" w:hAnsi="宋体_GB2312" w:eastAsia="宋体_GB2312"/>
        </w:rPr>
        <w:t>的要求。</w:t>
      </w:r>
    </w:p>
    <w:p>
      <w:pPr>
        <w:spacing w:before="163" w:beforeLines="50" w:line="300" w:lineRule="auto"/>
        <w:ind w:firstLine="480" w:firstLineChars="200"/>
        <w:rPr>
          <w:rFonts w:ascii="宋体_GB2312" w:hAnsi="宋体_GB2312" w:eastAsia="宋体_GB2312"/>
        </w:rPr>
      </w:pPr>
      <w:r>
        <w:rPr>
          <w:rFonts w:ascii="宋体_GB2312" w:hAnsi="宋体_GB2312" w:eastAsia="宋体_GB2312"/>
        </w:rPr>
        <w:t>1.6</w:t>
      </w:r>
      <w:r>
        <w:rPr>
          <w:rFonts w:hint="eastAsia" w:ascii="宋体_GB2312" w:hAnsi="宋体_GB2312" w:eastAsia="宋体_GB2312"/>
        </w:rPr>
        <w:t>本技术</w:t>
      </w:r>
      <w:r>
        <w:rPr>
          <w:rFonts w:hint="eastAsia" w:ascii="宋体_GB2312" w:hAnsi="宋体_GB2312" w:eastAsia="宋体_GB2312"/>
          <w:lang w:val="en-GB"/>
        </w:rPr>
        <w:t>规范</w:t>
      </w:r>
      <w:r>
        <w:rPr>
          <w:rFonts w:hint="eastAsia" w:ascii="宋体_GB2312" w:hAnsi="宋体_GB2312" w:eastAsia="宋体_GB2312"/>
        </w:rPr>
        <w:t>书未</w:t>
      </w:r>
      <w:r>
        <w:rPr>
          <w:rFonts w:hint="eastAsia" w:ascii="宋体_GB2312" w:hAnsi="宋体_GB2312" w:eastAsia="宋体_GB2312"/>
          <w:szCs w:val="24"/>
        </w:rPr>
        <w:t>标明</w:t>
      </w:r>
      <w:r>
        <w:rPr>
          <w:rFonts w:hint="eastAsia" w:ascii="宋体_GB2312" w:hAnsi="宋体_GB2312" w:eastAsia="宋体_GB2312"/>
        </w:rPr>
        <w:t>日期的中国国家标准、通信行业标准均使用最新版本（截至招标日）。</w:t>
      </w:r>
    </w:p>
    <w:p>
      <w:pPr>
        <w:spacing w:before="163" w:beforeLines="50" w:line="300" w:lineRule="auto"/>
        <w:ind w:firstLine="480" w:firstLineChars="200"/>
        <w:rPr>
          <w:rFonts w:ascii="宋体_GB2312" w:hAnsi="宋体_GB2312" w:eastAsia="宋体_GB2312"/>
        </w:rPr>
      </w:pPr>
      <w:r>
        <w:rPr>
          <w:rFonts w:ascii="宋体_GB2312" w:hAnsi="宋体_GB2312" w:eastAsia="宋体_GB2312"/>
        </w:rPr>
        <w:t>1.7</w:t>
      </w:r>
      <w:r>
        <w:rPr>
          <w:rFonts w:hint="eastAsia" w:ascii="宋体_GB2312" w:hAnsi="宋体_GB2312" w:eastAsia="宋体_GB2312"/>
        </w:rPr>
        <w:t>投标人在答复中如无特别说明，投标人声明支持的功能应为设备已实现的功能，不包括有能力支持但尚未实现的、近期将要实现的、未来计划实现的功能。</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1</w:t>
      </w:r>
      <w:r>
        <w:rPr>
          <w:rFonts w:ascii="宋体_GB2312" w:hAnsi="宋体_GB2312" w:eastAsia="宋体_GB2312"/>
        </w:rPr>
        <w:t>.8</w:t>
      </w:r>
      <w:r>
        <w:rPr>
          <w:rFonts w:hint="eastAsia" w:ascii="宋体_GB2312" w:hAnsi="宋体_GB2312" w:eastAsia="宋体_GB2312"/>
        </w:rPr>
        <w:t>光缆交接箱使用寿命应≧2</w:t>
      </w:r>
      <w:r>
        <w:rPr>
          <w:rFonts w:ascii="宋体_GB2312" w:hAnsi="宋体_GB2312" w:eastAsia="宋体_GB2312"/>
        </w:rPr>
        <w:t>0</w:t>
      </w:r>
      <w:r>
        <w:rPr>
          <w:rFonts w:hint="eastAsia" w:ascii="宋体_GB2312" w:hAnsi="宋体_GB2312" w:eastAsia="宋体_GB2312"/>
        </w:rPr>
        <w:t>年。</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1</w:t>
      </w:r>
      <w:r>
        <w:rPr>
          <w:rFonts w:ascii="宋体_GB2312" w:hAnsi="宋体_GB2312" w:eastAsia="宋体_GB2312"/>
        </w:rPr>
        <w:t>.9</w:t>
      </w:r>
      <w:r>
        <w:rPr>
          <w:rFonts w:hint="eastAsia" w:ascii="宋体_GB2312" w:hAnsi="宋体_GB2312" w:eastAsia="宋体_GB2312"/>
        </w:rPr>
        <w:t>投标人原材料保证</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（1</w:t>
      </w:r>
      <w:r>
        <w:rPr>
          <w:rFonts w:ascii="宋体_GB2312" w:hAnsi="宋体_GB2312" w:eastAsia="宋体_GB2312"/>
        </w:rPr>
        <w:t>）</w:t>
      </w:r>
      <w:r>
        <w:rPr>
          <w:rFonts w:hint="eastAsia" w:ascii="宋体_GB2312" w:hAnsi="宋体_GB2312" w:eastAsia="宋体_GB2312"/>
        </w:rPr>
        <w:t>投标人应保证本招标产品全部采用全新合格材料生产。</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（2</w:t>
      </w:r>
      <w:r>
        <w:rPr>
          <w:rFonts w:ascii="宋体_GB2312" w:hAnsi="宋体_GB2312" w:eastAsia="宋体_GB2312"/>
        </w:rPr>
        <w:t>）</w:t>
      </w:r>
      <w:r>
        <w:rPr>
          <w:rFonts w:hint="eastAsia" w:ascii="宋体_GB2312" w:hAnsi="宋体_GB2312" w:eastAsia="宋体_GB2312"/>
        </w:rPr>
        <w:t>投标人</w:t>
      </w:r>
      <w:r>
        <w:rPr>
          <w:rFonts w:hint="eastAsia" w:ascii="宋体_GB2312" w:hAnsi="宋体_GB2312" w:eastAsia="宋体_GB2312"/>
          <w:lang w:val="en-GB"/>
        </w:rPr>
        <w:t>应</w:t>
      </w:r>
      <w:r>
        <w:rPr>
          <w:rFonts w:hint="eastAsia" w:ascii="宋体_GB2312" w:hAnsi="宋体_GB2312" w:eastAsia="宋体_GB2312"/>
        </w:rPr>
        <w:t>保证不采用任何再生料、利旧料、废弃料、回收料、次品料等非全新合格材料来进行本招标产品的生产。</w:t>
      </w:r>
    </w:p>
    <w:p>
      <w:pPr>
        <w:spacing w:before="163" w:beforeLines="50" w:line="300" w:lineRule="auto"/>
        <w:ind w:firstLine="480" w:firstLineChars="200"/>
        <w:rPr>
          <w:rFonts w:ascii="宋体_GB2312" w:hAnsi="宋体_GB2312" w:eastAsia="宋体_GB2312"/>
          <w:highlight w:val="none"/>
        </w:rPr>
      </w:pPr>
      <w:r>
        <w:rPr>
          <w:rFonts w:hint="eastAsia" w:ascii="宋体_GB2312" w:hAnsi="宋体_GB2312" w:eastAsia="宋体_GB2312"/>
        </w:rPr>
        <w:t>（3</w:t>
      </w:r>
      <w:r>
        <w:rPr>
          <w:rFonts w:ascii="宋体_GB2312" w:hAnsi="宋体_GB2312" w:eastAsia="宋体_GB2312"/>
        </w:rPr>
        <w:t>）</w:t>
      </w:r>
      <w:r>
        <w:rPr>
          <w:rFonts w:hint="eastAsia" w:ascii="宋体_GB2312" w:hAnsi="宋体_GB2312" w:eastAsia="宋体_GB2312"/>
        </w:rPr>
        <w:t>投标</w:t>
      </w:r>
      <w:r>
        <w:rPr>
          <w:rFonts w:hint="eastAsia" w:ascii="宋体_GB2312" w:hAnsi="宋体_GB2312" w:eastAsia="宋体_GB2312"/>
          <w:highlight w:val="none"/>
        </w:rPr>
        <w:t>人</w:t>
      </w:r>
      <w:r>
        <w:rPr>
          <w:rFonts w:hint="eastAsia" w:ascii="宋体_GB2312" w:hAnsi="宋体_GB2312" w:eastAsia="宋体_GB2312"/>
          <w:highlight w:val="none"/>
          <w:lang w:val="en-GB"/>
        </w:rPr>
        <w:t>应</w:t>
      </w:r>
      <w:r>
        <w:rPr>
          <w:rFonts w:hint="eastAsia" w:ascii="宋体_GB2312" w:hAnsi="宋体_GB2312" w:eastAsia="宋体_GB2312"/>
          <w:highlight w:val="none"/>
        </w:rPr>
        <w:t>保证不采用和本招标产品无关的半成品材料来生产本招标产品。</w:t>
      </w:r>
    </w:p>
    <w:p>
      <w:pPr>
        <w:spacing w:before="120" w:beforeLines="50" w:line="300" w:lineRule="auto"/>
        <w:ind w:firstLine="480" w:firstLineChars="200"/>
        <w:rPr>
          <w:rFonts w:ascii="宋体_GB2312" w:hAnsi="宋体_GB2312" w:eastAsia="宋体_GB2312"/>
          <w:highlight w:val="none"/>
        </w:rPr>
      </w:pPr>
      <w:r>
        <w:rPr>
          <w:rFonts w:ascii="宋体_GB2312" w:hAnsi="宋体_GB2312" w:eastAsia="宋体_GB2312"/>
          <w:sz w:val="24"/>
          <w:szCs w:val="22"/>
          <w:highlight w:val="none"/>
        </w:rPr>
        <w:t>1.</w:t>
      </w:r>
      <w:r>
        <w:rPr>
          <w:rFonts w:hint="eastAsia" w:ascii="宋体_GB2312" w:hAnsi="宋体_GB2312" w:eastAsia="宋体_GB2312"/>
          <w:sz w:val="24"/>
          <w:szCs w:val="22"/>
          <w:highlight w:val="none"/>
          <w:lang w:val="en-US" w:eastAsia="zh-CN"/>
        </w:rPr>
        <w:t>10</w:t>
      </w:r>
      <w:r>
        <w:rPr>
          <w:rFonts w:hint="eastAsia" w:ascii="宋体_GB2312" w:hAnsi="宋体_GB2312" w:eastAsia="宋体_GB2312"/>
          <w:sz w:val="24"/>
          <w:szCs w:val="22"/>
          <w:highlight w:val="none"/>
        </w:rPr>
        <w:t>加注</w:t>
      </w:r>
      <w:r>
        <w:rPr>
          <w:rFonts w:hint="eastAsia" w:ascii="宋体_GB2312" w:hAnsi="宋体_GB2312" w:eastAsia="宋体_GB2312"/>
          <w:b/>
          <w:color w:val="FF0000"/>
          <w:sz w:val="24"/>
          <w:szCs w:val="22"/>
          <w:highlight w:val="none"/>
        </w:rPr>
        <w:t>★</w:t>
      </w:r>
      <w:r>
        <w:rPr>
          <w:rFonts w:hint="eastAsia" w:ascii="宋体_GB2312" w:hAnsi="宋体_GB2312" w:eastAsia="宋体_GB2312"/>
          <w:sz w:val="24"/>
          <w:szCs w:val="22"/>
          <w:highlight w:val="none"/>
        </w:rPr>
        <w:t>的技术指标为</w:t>
      </w:r>
      <w:r>
        <w:rPr>
          <w:rFonts w:ascii="宋体_GB2312" w:hAnsi="宋体_GB2312" w:eastAsia="宋体_GB2312"/>
          <w:sz w:val="24"/>
          <w:szCs w:val="22"/>
          <w:highlight w:val="none"/>
        </w:rPr>
        <w:t>A类</w:t>
      </w:r>
      <w:r>
        <w:rPr>
          <w:rFonts w:hint="eastAsia" w:ascii="宋体_GB2312" w:hAnsi="宋体_GB2312" w:eastAsia="宋体_GB2312"/>
          <w:sz w:val="24"/>
          <w:szCs w:val="22"/>
          <w:highlight w:val="none"/>
        </w:rPr>
        <w:t>关键</w:t>
      </w:r>
      <w:r>
        <w:rPr>
          <w:rFonts w:ascii="宋体_GB2312" w:hAnsi="宋体_GB2312" w:eastAsia="宋体_GB2312"/>
          <w:sz w:val="24"/>
          <w:szCs w:val="22"/>
          <w:highlight w:val="none"/>
        </w:rPr>
        <w:t>指标</w:t>
      </w:r>
      <w:r>
        <w:rPr>
          <w:rFonts w:hint="eastAsia" w:ascii="宋体_GB2312" w:hAnsi="宋体_GB2312" w:eastAsia="宋体_GB2312"/>
          <w:sz w:val="24"/>
          <w:szCs w:val="22"/>
          <w:highlight w:val="none"/>
        </w:rPr>
        <w:t>，不可偏离；其它技术指标为</w:t>
      </w:r>
      <w:r>
        <w:rPr>
          <w:rFonts w:ascii="宋体_GB2312" w:hAnsi="宋体_GB2312" w:eastAsia="宋体_GB2312"/>
          <w:sz w:val="24"/>
          <w:szCs w:val="22"/>
          <w:highlight w:val="none"/>
        </w:rPr>
        <w:t>B类指标。</w:t>
      </w:r>
      <w:r>
        <w:rPr>
          <w:rFonts w:hint="eastAsia" w:ascii="宋体_GB2312" w:hAnsi="宋体_GB2312" w:eastAsia="宋体_GB2312"/>
          <w:sz w:val="24"/>
          <w:szCs w:val="22"/>
          <w:highlight w:val="none"/>
        </w:rPr>
        <w:t>任一项</w:t>
      </w:r>
      <w:r>
        <w:rPr>
          <w:rFonts w:ascii="宋体_GB2312" w:hAnsi="宋体_GB2312" w:eastAsia="宋体_GB2312"/>
          <w:sz w:val="24"/>
          <w:szCs w:val="22"/>
          <w:highlight w:val="none"/>
        </w:rPr>
        <w:t>A类</w:t>
      </w:r>
      <w:r>
        <w:rPr>
          <w:rFonts w:hint="eastAsia" w:ascii="宋体_GB2312" w:hAnsi="宋体_GB2312" w:eastAsia="宋体_GB2312"/>
          <w:sz w:val="24"/>
          <w:szCs w:val="22"/>
          <w:highlight w:val="none"/>
        </w:rPr>
        <w:t>关键指标不合格即判定该投标人本次招标测试不合格，不具备招标入围条件。对于</w:t>
      </w:r>
      <w:r>
        <w:rPr>
          <w:rFonts w:ascii="宋体_GB2312" w:hAnsi="宋体_GB2312" w:eastAsia="宋体_GB2312"/>
          <w:sz w:val="24"/>
          <w:szCs w:val="22"/>
          <w:highlight w:val="none"/>
        </w:rPr>
        <w:t>B类指标，</w:t>
      </w:r>
      <w:r>
        <w:rPr>
          <w:rFonts w:hint="eastAsia" w:ascii="宋体_GB2312" w:hAnsi="宋体_GB2312" w:eastAsia="宋体_GB2312"/>
          <w:sz w:val="24"/>
          <w:szCs w:val="22"/>
          <w:highlight w:val="none"/>
        </w:rPr>
        <w:t>每</w:t>
      </w:r>
      <w:r>
        <w:rPr>
          <w:rFonts w:hint="eastAsia" w:ascii="宋体_GB2312" w:hAnsi="宋体_GB2312" w:eastAsia="宋体_GB2312"/>
          <w:color w:val="auto"/>
          <w:sz w:val="24"/>
          <w:szCs w:val="22"/>
          <w:highlight w:val="none"/>
        </w:rPr>
        <w:t>任意两项不合格，则视为一个</w:t>
      </w:r>
      <w:r>
        <w:rPr>
          <w:rFonts w:ascii="宋体_GB2312" w:hAnsi="宋体_GB2312" w:eastAsia="宋体_GB2312"/>
          <w:color w:val="auto"/>
          <w:sz w:val="24"/>
          <w:szCs w:val="22"/>
          <w:highlight w:val="none"/>
        </w:rPr>
        <w:t>A类关键指标不合格</w:t>
      </w:r>
      <w:r>
        <w:rPr>
          <w:rFonts w:hint="eastAsia" w:ascii="宋体_GB2312" w:hAnsi="宋体_GB2312" w:eastAsia="宋体_GB2312"/>
          <w:color w:val="auto"/>
          <w:sz w:val="24"/>
          <w:szCs w:val="22"/>
          <w:highlight w:val="none"/>
        </w:rPr>
        <w:t>，即判定该投标人本次招标测试不合格，不具备招标入围条件。对于</w:t>
      </w:r>
      <w:r>
        <w:rPr>
          <w:rFonts w:ascii="宋体_GB2312" w:hAnsi="宋体_GB2312" w:eastAsia="宋体_GB2312"/>
          <w:color w:val="auto"/>
          <w:sz w:val="24"/>
          <w:szCs w:val="22"/>
          <w:highlight w:val="none"/>
        </w:rPr>
        <w:t>B类</w:t>
      </w:r>
      <w:r>
        <w:rPr>
          <w:rFonts w:hint="eastAsia" w:ascii="宋体_GB2312" w:hAnsi="宋体_GB2312" w:eastAsia="宋体_GB2312"/>
          <w:color w:val="auto"/>
          <w:sz w:val="24"/>
          <w:szCs w:val="22"/>
          <w:highlight w:val="none"/>
        </w:rPr>
        <w:t>指标在招标测试时不合格，但可以上架的（</w:t>
      </w:r>
      <w:r>
        <w:rPr>
          <w:rFonts w:ascii="宋体_GB2312" w:hAnsi="宋体_GB2312" w:eastAsia="宋体_GB2312"/>
          <w:color w:val="auto"/>
          <w:sz w:val="24"/>
          <w:szCs w:val="22"/>
          <w:highlight w:val="none"/>
        </w:rPr>
        <w:t>B类不合格指标</w:t>
      </w:r>
      <w:r>
        <w:rPr>
          <w:rFonts w:hint="eastAsia" w:ascii="宋体_GB2312" w:hAnsi="宋体_GB2312" w:eastAsia="宋体_GB2312"/>
          <w:color w:val="auto"/>
          <w:sz w:val="24"/>
          <w:szCs w:val="22"/>
          <w:highlight w:val="none"/>
          <w:lang w:val="en-US" w:eastAsia="zh-CN"/>
        </w:rPr>
        <w:t>为一项</w:t>
      </w:r>
      <w:r>
        <w:rPr>
          <w:rFonts w:hint="eastAsia" w:ascii="宋体_GB2312" w:hAnsi="宋体_GB2312" w:eastAsia="宋体_GB2312"/>
          <w:color w:val="auto"/>
          <w:sz w:val="24"/>
          <w:szCs w:val="22"/>
          <w:highlight w:val="none"/>
        </w:rPr>
        <w:t>），</w:t>
      </w:r>
      <w:r>
        <w:rPr>
          <w:rFonts w:hint="eastAsia" w:ascii="宋体_GB2312" w:hAnsi="宋体_GB2312" w:eastAsia="宋体_GB2312"/>
          <w:sz w:val="24"/>
          <w:szCs w:val="22"/>
          <w:highlight w:val="none"/>
        </w:rPr>
        <w:t>投标人必须保证在产品上架和供货时，不合格指标应达到本技术规范书要求，全部为合格</w:t>
      </w:r>
      <w:r>
        <w:rPr>
          <w:rFonts w:hint="eastAsia" w:ascii="宋体_GB2312" w:hAnsi="宋体_GB2312" w:eastAsia="宋体_GB2312"/>
          <w:sz w:val="24"/>
          <w:szCs w:val="22"/>
          <w:highlight w:val="none"/>
          <w:lang w:val="en-US" w:eastAsia="zh-CN"/>
        </w:rPr>
        <w:t>指标</w:t>
      </w:r>
      <w:r>
        <w:rPr>
          <w:rFonts w:hint="eastAsia" w:ascii="宋体_GB2312" w:hAnsi="宋体_GB2312" w:eastAsia="宋体_GB2312"/>
          <w:sz w:val="24"/>
          <w:szCs w:val="22"/>
          <w:highlight w:val="none"/>
        </w:rPr>
        <w:t>。该规定也适用于后期抽检测试。</w:t>
      </w:r>
    </w:p>
    <w:p>
      <w:pPr>
        <w:spacing w:before="163" w:beforeLines="50" w:line="300" w:lineRule="auto"/>
        <w:ind w:firstLine="480" w:firstLineChars="200"/>
        <w:rPr>
          <w:rFonts w:ascii="宋体_GB2312" w:hAnsi="宋体_GB2312" w:eastAsia="宋体_GB2312"/>
          <w:highlight w:val="none"/>
        </w:rPr>
      </w:pPr>
      <w:r>
        <w:rPr>
          <w:rFonts w:ascii="宋体_GB2312" w:hAnsi="宋体_GB2312" w:eastAsia="宋体_GB2312"/>
          <w:highlight w:val="none"/>
        </w:rPr>
        <w:t>1.11</w:t>
      </w:r>
      <w:r>
        <w:rPr>
          <w:rFonts w:hint="eastAsia" w:ascii="宋体_GB2312" w:hAnsi="宋体_GB2312" w:eastAsia="宋体_GB2312"/>
          <w:highlight w:val="none"/>
        </w:rPr>
        <w:t>本文件的解释权属于招标人。</w:t>
      </w:r>
      <w:bookmarkStart w:id="5" w:name="_Toc131219954"/>
      <w:bookmarkStart w:id="6" w:name="_Toc132100053"/>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highlight w:val="none"/>
        </w:rPr>
      </w:pPr>
      <w:bookmarkStart w:id="7" w:name="_Toc13555"/>
      <w:bookmarkStart w:id="8" w:name="_Toc11686"/>
      <w:bookmarkStart w:id="9" w:name="_Toc27401405"/>
      <w:bookmarkStart w:id="10" w:name="_Toc163"/>
      <w:r>
        <w:rPr>
          <w:rFonts w:ascii="宋体_GB2312" w:hAnsi="宋体_GB2312" w:eastAsia="宋体_GB2312"/>
          <w:bCs/>
          <w:sz w:val="24"/>
          <w:szCs w:val="24"/>
          <w:highlight w:val="none"/>
        </w:rPr>
        <w:t xml:space="preserve">2 </w:t>
      </w:r>
      <w:r>
        <w:rPr>
          <w:rFonts w:hint="eastAsia" w:ascii="宋体_GB2312" w:hAnsi="宋体_GB2312" w:eastAsia="宋体_GB2312"/>
          <w:bCs/>
          <w:sz w:val="24"/>
          <w:szCs w:val="24"/>
          <w:highlight w:val="none"/>
        </w:rPr>
        <w:t>总体要求</w:t>
      </w:r>
      <w:bookmarkEnd w:id="5"/>
      <w:bookmarkEnd w:id="6"/>
      <w:bookmarkEnd w:id="7"/>
      <w:bookmarkEnd w:id="8"/>
      <w:bookmarkEnd w:id="9"/>
      <w:bookmarkEnd w:id="10"/>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11" w:name="_Toc12818"/>
      <w:bookmarkStart w:id="12" w:name="_Toc12600"/>
      <w:bookmarkStart w:id="13" w:name="_Toc27401406"/>
      <w:bookmarkStart w:id="14" w:name="_Toc8719"/>
      <w:r>
        <w:rPr>
          <w:rFonts w:ascii="宋体_GB2312" w:hAnsi="宋体_GB2312" w:eastAsia="宋体_GB2312"/>
          <w:bCs/>
          <w:sz w:val="24"/>
          <w:szCs w:val="24"/>
        </w:rPr>
        <w:t xml:space="preserve">2.1 </w:t>
      </w:r>
      <w:r>
        <w:rPr>
          <w:rFonts w:hint="eastAsia" w:ascii="宋体_GB2312" w:hAnsi="宋体_GB2312" w:eastAsia="宋体_GB2312"/>
          <w:bCs/>
          <w:sz w:val="24"/>
          <w:szCs w:val="24"/>
        </w:rPr>
        <w:t>总体描述</w:t>
      </w:r>
      <w:bookmarkEnd w:id="11"/>
      <w:bookmarkEnd w:id="12"/>
      <w:bookmarkEnd w:id="13"/>
      <w:bookmarkEnd w:id="14"/>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交接箱的工作单元应采用模块化设计，其中包括箱体、光缆固定装置、接地装置、光分单元、主干光缆熔接单元、配线光缆熔接单元、直熔单元、储纤单元、盘纤单元等，其中光分单元、主干光缆熔接单元、配线光缆熔接单元、直熔单元等工作单元尺寸及结构应符合本技术规范书要求。</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15" w:name="_Toc27401407"/>
      <w:bookmarkStart w:id="16" w:name="_Toc31858"/>
      <w:bookmarkStart w:id="17" w:name="_Toc14515"/>
      <w:bookmarkStart w:id="18" w:name="_Toc21455"/>
      <w:r>
        <w:rPr>
          <w:rFonts w:ascii="宋体_GB2312" w:hAnsi="宋体_GB2312" w:eastAsia="宋体_GB2312"/>
          <w:bCs/>
          <w:sz w:val="24"/>
          <w:szCs w:val="24"/>
        </w:rPr>
        <w:t>2.2外观与结构</w:t>
      </w:r>
      <w:bookmarkEnd w:id="15"/>
      <w:bookmarkEnd w:id="16"/>
      <w:bookmarkEnd w:id="17"/>
      <w:bookmarkEnd w:id="18"/>
    </w:p>
    <w:p>
      <w:pPr>
        <w:pStyle w:val="62"/>
        <w:spacing w:line="560" w:lineRule="exact"/>
        <w:rPr>
          <w:rFonts w:ascii="宋体_GB2312" w:hAnsi="宋体_GB2312" w:eastAsia="宋体_GB2312"/>
          <w:sz w:val="24"/>
        </w:rPr>
      </w:pPr>
      <w:r>
        <w:rPr>
          <w:rFonts w:ascii="宋体_GB2312" w:hAnsi="宋体_GB2312" w:eastAsia="宋体_GB2312"/>
          <w:sz w:val="24"/>
        </w:rPr>
        <w:t xml:space="preserve">2.2.1 </w:t>
      </w:r>
      <w:r>
        <w:rPr>
          <w:rFonts w:hint="eastAsia" w:ascii="宋体_GB2312" w:hAnsi="宋体_GB2312" w:eastAsia="宋体_GB2312"/>
          <w:sz w:val="24"/>
        </w:rPr>
        <w:t>箱体尺寸</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交接箱箱体的外形尺寸不宜超过</w:t>
      </w:r>
      <w:r>
        <w:rPr>
          <w:rFonts w:ascii="宋体_GB2312" w:hAnsi="宋体_GB2312" w:eastAsia="宋体_GB2312"/>
          <w:szCs w:val="24"/>
        </w:rPr>
        <w:t xml:space="preserve"> 1600mm×l500mm×630mm(高×宽×深)。</w:t>
      </w:r>
    </w:p>
    <w:p>
      <w:pPr>
        <w:pStyle w:val="62"/>
        <w:spacing w:line="560" w:lineRule="exact"/>
        <w:rPr>
          <w:rFonts w:ascii="宋体_GB2312" w:hAnsi="宋体_GB2312" w:eastAsia="宋体_GB2312"/>
          <w:sz w:val="24"/>
        </w:rPr>
      </w:pPr>
      <w:r>
        <w:rPr>
          <w:rFonts w:ascii="宋体_GB2312" w:hAnsi="宋体_GB2312" w:eastAsia="宋体_GB2312"/>
          <w:sz w:val="24"/>
        </w:rPr>
        <w:t xml:space="preserve">2.2.2 </w:t>
      </w:r>
      <w:r>
        <w:rPr>
          <w:rFonts w:hint="eastAsia" w:ascii="宋体_GB2312" w:hAnsi="宋体_GB2312" w:eastAsia="宋体_GB2312"/>
          <w:sz w:val="24"/>
        </w:rPr>
        <w:t>箱体结构形式</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1）箱体采用通用型片状模塑料（SMC）材料或不锈钢板材的封闭结构形式；非金属箱体采用的SMC材料应符合GB/T 15568的要求，或者采用更好的耐侯性材料；不锈钢箱体材料应采用牌号为304的不锈钢，厚度不小于1.5mm。门通过铰链结构连接，门可自由开合5000次不损坏。门锁应为防盗结构，具有良好的抗破坏性，应符合中华人民共和国公共安全行业标准GA/T 73-2015</w:t>
      </w:r>
      <w:r>
        <w:rPr>
          <w:rFonts w:hint="eastAsia" w:ascii="宋体_GB2312" w:hAnsi="宋体_GB2312" w:eastAsia="宋体_GB2312"/>
          <w:szCs w:val="24"/>
        </w:rPr>
        <w:t>《机械防盗锁》规定。</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2）光缆从箱体的底座进缆孔进出。箱体留有相对独立的进出线孔，孔洞数量应满足满配时的需求。</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3）144芯、288芯、576芯双面光缆交接箱采用单面右开门操作结构。</w:t>
      </w:r>
      <w:bookmarkStart w:id="19" w:name="OLE_LINK3"/>
      <w:bookmarkStart w:id="20" w:name="OLE_LINK2"/>
      <w:r>
        <w:rPr>
          <w:rFonts w:ascii="宋体_GB2312" w:hAnsi="宋体_GB2312" w:eastAsia="宋体_GB2312"/>
          <w:szCs w:val="24"/>
        </w:rPr>
        <w:t>576芯</w:t>
      </w:r>
      <w:bookmarkEnd w:id="19"/>
      <w:bookmarkEnd w:id="20"/>
      <w:r>
        <w:rPr>
          <w:rFonts w:hint="eastAsia" w:ascii="宋体_GB2312" w:hAnsi="宋体_GB2312" w:eastAsia="宋体_GB2312"/>
          <w:szCs w:val="24"/>
        </w:rPr>
        <w:t>单面光缆交接箱采用单面双开门操作结构。</w:t>
      </w:r>
      <w:r>
        <w:rPr>
          <w:rFonts w:ascii="宋体_GB2312" w:hAnsi="宋体_GB2312" w:eastAsia="宋体_GB2312"/>
          <w:szCs w:val="24"/>
        </w:rPr>
        <w:t xml:space="preserve">576芯单面双开门操作结构中，应设有水平走纤槽道，以便于水平走纤的管理和维护。 </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4）光缆交接箱配有密封腻子，以便于线缆引入孔处的密封，防止水和啮齿类动物进入机箱。密封腻子应高温不流淌，低温不凝固，遇到潮气会膨胀，切实达到密封要求。</w:t>
      </w:r>
    </w:p>
    <w:p>
      <w:pPr>
        <w:pStyle w:val="62"/>
        <w:spacing w:line="560" w:lineRule="exact"/>
        <w:rPr>
          <w:rFonts w:ascii="宋体_GB2312" w:hAnsi="宋体_GB2312" w:eastAsia="宋体_GB2312"/>
          <w:sz w:val="24"/>
        </w:rPr>
      </w:pPr>
      <w:r>
        <w:rPr>
          <w:rFonts w:ascii="宋体_GB2312" w:hAnsi="宋体_GB2312" w:eastAsia="宋体_GB2312"/>
          <w:sz w:val="24"/>
        </w:rPr>
        <w:t xml:space="preserve">2.2.3 </w:t>
      </w:r>
      <w:r>
        <w:rPr>
          <w:rFonts w:hint="eastAsia" w:ascii="宋体_GB2312" w:hAnsi="宋体_GB2312" w:eastAsia="宋体_GB2312"/>
          <w:sz w:val="24"/>
        </w:rPr>
        <w:t>机械活动部分</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机械活动部分应转动灵活、插拔适度、锁定可靠、施工安装和维护方便。</w:t>
      </w:r>
      <w:r>
        <w:rPr>
          <w:rFonts w:ascii="宋体_GB2312" w:hAnsi="宋体_GB2312" w:eastAsia="宋体_GB2312"/>
        </w:rPr>
        <w:t>箱门开启后应有可靠的门限位固定保护，固定后的开启角度应不小于</w:t>
      </w:r>
      <w:r>
        <w:rPr>
          <w:rFonts w:hint="eastAsia" w:ascii="宋体_GB2312" w:hAnsi="宋体_GB2312" w:eastAsia="宋体_GB2312"/>
        </w:rPr>
        <w:t>120°，</w:t>
      </w:r>
      <w:r>
        <w:rPr>
          <w:rFonts w:hint="eastAsia" w:ascii="宋体_GB2312" w:hAnsi="宋体_GB2312" w:eastAsia="宋体_GB2312"/>
          <w:kern w:val="2"/>
          <w:sz w:val="24"/>
          <w:szCs w:val="21"/>
        </w:rPr>
        <w:t>间隙应不大于</w:t>
      </w:r>
      <w:r>
        <w:rPr>
          <w:rFonts w:ascii="宋体_GB2312" w:hAnsi="宋体_GB2312" w:eastAsia="宋体_GB2312"/>
          <w:kern w:val="2"/>
          <w:sz w:val="24"/>
          <w:szCs w:val="21"/>
        </w:rPr>
        <w:t>3mm</w:t>
      </w:r>
      <w:r>
        <w:rPr>
          <w:rFonts w:hint="eastAsia" w:ascii="宋体_GB2312" w:hAnsi="宋体_GB2312" w:eastAsia="宋体_GB2312"/>
        </w:rPr>
        <w:t>。</w:t>
      </w:r>
      <w:r>
        <w:rPr>
          <w:rFonts w:ascii="宋体_GB2312" w:hAnsi="宋体_GB2312" w:eastAsia="宋体_GB2312"/>
        </w:rPr>
        <w:t>结</w:t>
      </w:r>
      <w:r>
        <w:rPr>
          <w:rFonts w:ascii="宋体_GB2312" w:hAnsi="宋体_GB2312" w:eastAsia="宋体_GB2312"/>
          <w:szCs w:val="24"/>
        </w:rPr>
        <w:t>构应牢固，装配具有一致性和互换性，紧固件无松动。外露和操作部位的锐边应倒圆角。</w:t>
      </w:r>
    </w:p>
    <w:p>
      <w:pPr>
        <w:pStyle w:val="62"/>
        <w:spacing w:line="560" w:lineRule="exact"/>
        <w:rPr>
          <w:rFonts w:ascii="宋体_GB2312" w:hAnsi="宋体_GB2312" w:eastAsia="宋体_GB2312"/>
          <w:sz w:val="24"/>
        </w:rPr>
      </w:pPr>
      <w:r>
        <w:rPr>
          <w:rFonts w:ascii="宋体_GB2312" w:hAnsi="宋体_GB2312" w:eastAsia="宋体_GB2312"/>
          <w:sz w:val="24"/>
        </w:rPr>
        <w:t xml:space="preserve">2.2.4 </w:t>
      </w:r>
      <w:r>
        <w:rPr>
          <w:rFonts w:hint="eastAsia" w:ascii="宋体_GB2312" w:hAnsi="宋体_GB2312" w:eastAsia="宋体_GB2312"/>
          <w:sz w:val="24"/>
        </w:rPr>
        <w:t>箱体表面</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1）SMC箱体表面的光泽和纹理应均匀美观，且无结瘤、缩孔、起泡、针孔、开裂、剥落、粉化、颗粒、流挂、露底、夹杂脏物等缺陷，箱体表面不应出现任何紧固件。</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2）</w:t>
      </w:r>
      <w:r>
        <w:rPr>
          <w:rFonts w:hint="eastAsia" w:ascii="宋体_GB2312" w:hAnsi="宋体_GB2312" w:eastAsia="宋体_GB2312"/>
          <w:szCs w:val="24"/>
        </w:rPr>
        <w:t>不锈钢箱体表面涂覆层应表面光洁，色泽均匀、无流挂、无露底；金属件无毛刺锈蚀。</w:t>
      </w:r>
    </w:p>
    <w:p>
      <w:pPr>
        <w:pStyle w:val="62"/>
        <w:spacing w:line="560" w:lineRule="exact"/>
        <w:rPr>
          <w:rFonts w:ascii="宋体_GB2312" w:hAnsi="宋体_GB2312" w:eastAsia="宋体_GB2312"/>
          <w:sz w:val="24"/>
        </w:rPr>
      </w:pPr>
      <w:r>
        <w:rPr>
          <w:rFonts w:ascii="宋体_GB2312" w:hAnsi="宋体_GB2312" w:eastAsia="宋体_GB2312"/>
          <w:sz w:val="24"/>
        </w:rPr>
        <w:t>2.2.5 结构装置上的文字、图形、符号和标志</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结构装置上的文字、图形、符号和标志应清晰、完整、无误。</w:t>
      </w:r>
    </w:p>
    <w:p>
      <w:pPr>
        <w:pStyle w:val="62"/>
        <w:spacing w:line="560" w:lineRule="exact"/>
        <w:rPr>
          <w:rFonts w:ascii="宋体_GB2312" w:hAnsi="宋体_GB2312" w:eastAsia="宋体_GB2312"/>
          <w:sz w:val="24"/>
        </w:rPr>
      </w:pPr>
      <w:r>
        <w:rPr>
          <w:rFonts w:ascii="宋体_GB2312" w:hAnsi="宋体_GB2312" w:eastAsia="宋体_GB2312"/>
          <w:sz w:val="24"/>
        </w:rPr>
        <w:t>2.2.6引入光缆弯曲半径</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引入光缆进入箱体时，其弯曲半径应不小于光缆直径的</w:t>
      </w:r>
      <w:r>
        <w:rPr>
          <w:rFonts w:ascii="宋体_GB2312" w:hAnsi="宋体_GB2312" w:eastAsia="宋体_GB2312"/>
          <w:szCs w:val="24"/>
        </w:rPr>
        <w:t>20倍。</w:t>
      </w:r>
    </w:p>
    <w:p>
      <w:pPr>
        <w:pStyle w:val="62"/>
        <w:spacing w:line="560" w:lineRule="exact"/>
        <w:rPr>
          <w:rFonts w:ascii="宋体_GB2312" w:hAnsi="宋体_GB2312" w:eastAsia="宋体_GB2312"/>
          <w:sz w:val="24"/>
        </w:rPr>
      </w:pPr>
      <w:r>
        <w:rPr>
          <w:rFonts w:ascii="宋体_GB2312" w:hAnsi="宋体_GB2312" w:eastAsia="宋体_GB2312"/>
          <w:sz w:val="24"/>
        </w:rPr>
        <w:t>2.2.7保护套、衬垫及纤芯和尾纤弯曲半径</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光纤光缆穿过金属板孔及沿结构件锐边转弯时，应装保护套及衬垫。</w:t>
      </w:r>
    </w:p>
    <w:p>
      <w:pPr>
        <w:spacing w:before="163" w:beforeLines="50" w:line="300" w:lineRule="auto"/>
        <w:ind w:firstLine="480" w:firstLineChars="200"/>
        <w:rPr>
          <w:rFonts w:ascii="宋体_GB2312" w:hAnsi="宋体_GB2312" w:eastAsia="宋体_GB2312"/>
        </w:rPr>
      </w:pPr>
      <w:r>
        <w:rPr>
          <w:rFonts w:ascii="宋体_GB2312" w:hAnsi="宋体_GB2312" w:eastAsia="宋体_GB2312"/>
        </w:rPr>
        <w:t>光缆及</w:t>
      </w:r>
      <w:r>
        <w:rPr>
          <w:rFonts w:hint="eastAsia" w:ascii="宋体_GB2312" w:hAnsi="宋体_GB2312" w:eastAsia="宋体_GB2312"/>
        </w:rPr>
        <w:t>尾纤</w:t>
      </w:r>
      <w:r>
        <w:rPr>
          <w:rFonts w:ascii="宋体_GB2312" w:hAnsi="宋体_GB2312" w:eastAsia="宋体_GB2312"/>
        </w:rPr>
        <w:t>在设备内布放时，不论在何处转弯，其弯曲半径应不小于 30mm</w:t>
      </w:r>
      <w:r>
        <w:rPr>
          <w:rFonts w:hint="eastAsia" w:ascii="宋体_GB2312" w:hAnsi="宋体_GB2312" w:eastAsia="宋体_GB2312"/>
        </w:rPr>
        <w:t>；</w:t>
      </w:r>
      <w:r>
        <w:rPr>
          <w:rFonts w:ascii="宋体_GB2312" w:hAnsi="宋体_GB2312" w:eastAsia="宋体_GB2312"/>
        </w:rPr>
        <w:t>对弯曲损耗不敏感光纤，其弯曲半径应不小于15mm</w:t>
      </w:r>
      <w:r>
        <w:rPr>
          <w:rFonts w:hint="eastAsia" w:ascii="宋体_GB2312" w:hAnsi="宋体_GB2312" w:eastAsia="宋体_GB2312"/>
        </w:rPr>
        <w:t>。</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21" w:name="_Toc10443"/>
      <w:bookmarkStart w:id="22" w:name="_Toc27401408"/>
      <w:bookmarkStart w:id="23" w:name="_Toc9886"/>
      <w:bookmarkStart w:id="24" w:name="_Toc19251"/>
      <w:r>
        <w:rPr>
          <w:rFonts w:ascii="宋体_GB2312" w:hAnsi="宋体_GB2312" w:eastAsia="宋体_GB2312"/>
          <w:bCs/>
          <w:sz w:val="24"/>
          <w:szCs w:val="24"/>
        </w:rPr>
        <w:t>2.3产品规格</w:t>
      </w:r>
      <w:bookmarkEnd w:id="21"/>
      <w:bookmarkEnd w:id="22"/>
      <w:bookmarkEnd w:id="23"/>
      <w:bookmarkEnd w:id="24"/>
    </w:p>
    <w:p>
      <w:pPr>
        <w:pStyle w:val="62"/>
        <w:spacing w:line="560" w:lineRule="exact"/>
        <w:rPr>
          <w:rFonts w:ascii="宋体_GB2312" w:hAnsi="宋体_GB2312" w:eastAsia="宋体_GB2312"/>
          <w:sz w:val="24"/>
        </w:rPr>
      </w:pPr>
      <w:r>
        <w:rPr>
          <w:rFonts w:ascii="宋体_GB2312" w:hAnsi="宋体_GB2312" w:eastAsia="宋体_GB2312"/>
          <w:sz w:val="24"/>
        </w:rPr>
        <w:t>2.3.1颜色</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SMC非金属箱体的表面颜色为PANTONE 413C，金属箱体主体及各种金属件的喷塑为</w:t>
      </w:r>
      <w:bookmarkStart w:id="25" w:name="OLE_LINK1"/>
      <w:r>
        <w:rPr>
          <w:rFonts w:ascii="宋体_GB2312" w:hAnsi="宋体_GB2312" w:eastAsia="宋体_GB2312"/>
          <w:szCs w:val="24"/>
        </w:rPr>
        <w:t>PANTONE 413C</w:t>
      </w:r>
      <w:bookmarkEnd w:id="25"/>
      <w:r>
        <w:rPr>
          <w:rFonts w:hint="eastAsia" w:ascii="宋体_GB2312" w:hAnsi="宋体_GB2312" w:eastAsia="宋体_GB2312"/>
          <w:szCs w:val="24"/>
        </w:rPr>
        <w:t>（细砂）。</w:t>
      </w:r>
    </w:p>
    <w:p>
      <w:pPr>
        <w:pStyle w:val="62"/>
        <w:spacing w:line="560" w:lineRule="exact"/>
        <w:rPr>
          <w:rFonts w:ascii="宋体_GB2312" w:hAnsi="宋体_GB2312" w:eastAsia="宋体_GB2312"/>
          <w:sz w:val="24"/>
        </w:rPr>
      </w:pPr>
      <w:r>
        <w:rPr>
          <w:rFonts w:ascii="宋体_GB2312" w:hAnsi="宋体_GB2312" w:eastAsia="宋体_GB2312"/>
          <w:sz w:val="24"/>
        </w:rPr>
        <w:t>2.3.2标记及标识</w:t>
      </w:r>
      <w:r>
        <w:rPr>
          <w:rFonts w:hint="eastAsia" w:ascii="宋体_GB2312" w:hAnsi="宋体_GB2312" w:eastAsia="宋体_GB2312"/>
          <w:sz w:val="24"/>
        </w:rPr>
        <w:t>（及示意图）</w:t>
      </w:r>
    </w:p>
    <w:p>
      <w:pPr>
        <w:spacing w:before="163" w:beforeLines="50" w:line="300" w:lineRule="auto"/>
        <w:ind w:firstLine="480" w:firstLineChars="200"/>
        <w:rPr>
          <w:rFonts w:ascii="宋体_GB2312" w:hAnsi="宋体_GB2312" w:eastAsia="宋体_GB2312"/>
          <w:szCs w:val="24"/>
        </w:rPr>
      </w:pPr>
      <w:bookmarkStart w:id="26" w:name="_Toc62619377"/>
      <w:r>
        <w:rPr>
          <w:rFonts w:hint="eastAsia" w:ascii="宋体_GB2312" w:hAnsi="宋体_GB2312" w:eastAsia="宋体_GB2312"/>
        </w:rPr>
        <w:t>（1）光缆交接箱体上必须有中国联通</w:t>
      </w:r>
      <w:r>
        <w:rPr>
          <w:rFonts w:ascii="宋体_GB2312" w:hAnsi="宋体_GB2312" w:eastAsia="宋体_GB2312"/>
        </w:rPr>
        <w:t>LOGO</w:t>
      </w:r>
      <w:r>
        <w:rPr>
          <w:rFonts w:hint="eastAsia" w:ascii="宋体_GB2312" w:hAnsi="宋体_GB2312" w:eastAsia="宋体_GB2312"/>
        </w:rPr>
        <w:t>标识。中国联通LOGO位于箱体前门外面左上部，同比例按中国联通商标缩放</w:t>
      </w:r>
      <w:bookmarkStart w:id="27" w:name="_Hlk532823736"/>
      <w:r>
        <w:rPr>
          <w:rFonts w:hint="eastAsia" w:ascii="宋体_GB2312" w:hAnsi="宋体_GB2312" w:eastAsia="宋体_GB2312"/>
        </w:rPr>
        <w:t>，高度为65mm。</w:t>
      </w:r>
      <w:bookmarkEnd w:id="27"/>
      <w:r>
        <w:rPr>
          <w:rFonts w:hint="eastAsia" w:ascii="宋体_GB2312" w:hAnsi="宋体_GB2312" w:eastAsia="宋体_GB2312"/>
        </w:rPr>
        <w:t>中国联通LOGO见图1。中国联通LOGO</w:t>
      </w:r>
      <w:r>
        <w:rPr>
          <w:rFonts w:hint="eastAsia" w:ascii="宋体_GB2312" w:hAnsi="宋体_GB2312" w:eastAsia="宋体_GB2312"/>
          <w:szCs w:val="28"/>
        </w:rPr>
        <w:t>标识可采用丝印或铝质材料的铭牌。</w:t>
      </w:r>
    </w:p>
    <w:p>
      <w:pPr>
        <w:spacing w:before="163" w:beforeLines="50" w:line="300" w:lineRule="auto"/>
        <w:ind w:firstLine="480" w:firstLineChars="200"/>
        <w:rPr>
          <w:rFonts w:ascii="宋体_GB2312" w:hAnsi="宋体_GB2312" w:eastAsia="宋体_GB2312"/>
          <w:szCs w:val="24"/>
        </w:rPr>
      </w:pPr>
    </w:p>
    <w:p>
      <w:pPr>
        <w:spacing w:line="360" w:lineRule="auto"/>
        <w:ind w:firstLine="480" w:firstLineChars="200"/>
        <w:jc w:val="center"/>
        <w:rPr>
          <w:rFonts w:ascii="宋体_GB2312" w:hAnsi="宋体_GB2312" w:eastAsia="宋体_GB2312"/>
        </w:rPr>
      </w:pPr>
    </w:p>
    <w:p>
      <w:pPr>
        <w:widowControl/>
        <w:jc w:val="center"/>
        <w:rPr>
          <w:rFonts w:ascii="宋体_GB2312" w:hAnsi="宋体_GB2312" w:eastAsia="宋体_GB2312" w:cs="宋体"/>
          <w:kern w:val="0"/>
          <w:szCs w:val="24"/>
        </w:rPr>
      </w:pPr>
      <w:r>
        <w:drawing>
          <wp:inline distT="0" distB="0" distL="0" distR="0">
            <wp:extent cx="1666875" cy="1228725"/>
            <wp:effectExtent l="0" t="0" r="9525"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1"/>
                    <a:stretch>
                      <a:fillRect/>
                    </a:stretch>
                  </pic:blipFill>
                  <pic:spPr>
                    <a:xfrm>
                      <a:off x="0" y="0"/>
                      <a:ext cx="1666875" cy="1228725"/>
                    </a:xfrm>
                    <a:prstGeom prst="rect">
                      <a:avLst/>
                    </a:prstGeom>
                  </pic:spPr>
                </pic:pic>
              </a:graphicData>
            </a:graphic>
          </wp:inline>
        </w:drawing>
      </w:r>
      <w:r>
        <w:rPr>
          <w:rFonts w:ascii="宋体_GB2312" w:hAnsi="宋体_GB2312" w:eastAsia="宋体_GB2312" w:cs="宋体"/>
          <w:kern w:val="0"/>
          <w:szCs w:val="24"/>
        </w:rPr>
        <w:drawing>
          <wp:inline distT="0" distB="0" distL="0" distR="0">
            <wp:extent cx="2679700" cy="3975735"/>
            <wp:effectExtent l="0" t="0" r="0" b="0"/>
            <wp:docPr id="2" name="图片 2" descr="OTM0KN%{S8$ZONE_A4~K~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OTM0KN%{S8$ZONE_A4~K~W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679700" cy="3975735"/>
                    </a:xfrm>
                    <a:prstGeom prst="rect">
                      <a:avLst/>
                    </a:prstGeom>
                    <a:noFill/>
                    <a:ln>
                      <a:noFill/>
                    </a:ln>
                  </pic:spPr>
                </pic:pic>
              </a:graphicData>
            </a:graphic>
          </wp:inline>
        </w:drawing>
      </w:r>
    </w:p>
    <w:p>
      <w:pPr>
        <w:widowControl/>
        <w:jc w:val="center"/>
        <w:rPr>
          <w:rFonts w:ascii="宋体_GB2312" w:hAnsi="宋体_GB2312" w:eastAsia="宋体_GB2312" w:cs="宋体"/>
          <w:kern w:val="0"/>
          <w:szCs w:val="24"/>
        </w:rPr>
      </w:pPr>
    </w:p>
    <w:p>
      <w:pPr>
        <w:widowControl/>
        <w:jc w:val="center"/>
        <w:rPr>
          <w:rFonts w:ascii="宋体_GB2312" w:hAnsi="宋体_GB2312" w:eastAsia="宋体_GB2312" w:cs="宋体"/>
          <w:kern w:val="0"/>
          <w:szCs w:val="24"/>
        </w:rPr>
      </w:pPr>
      <w:r>
        <w:rPr>
          <w:rFonts w:ascii="宋体_GB2312" w:hAnsi="宋体_GB2312" w:eastAsia="宋体_GB2312"/>
        </w:rPr>
        <w:drawing>
          <wp:inline distT="0" distB="0" distL="0" distR="0">
            <wp:extent cx="4701540" cy="1285875"/>
            <wp:effectExtent l="0" t="0" r="3810"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3"/>
                    <a:stretch>
                      <a:fillRect/>
                    </a:stretch>
                  </pic:blipFill>
                  <pic:spPr>
                    <a:xfrm>
                      <a:off x="0" y="0"/>
                      <a:ext cx="4851167" cy="1327272"/>
                    </a:xfrm>
                    <a:prstGeom prst="rect">
                      <a:avLst/>
                    </a:prstGeom>
                  </pic:spPr>
                </pic:pic>
              </a:graphicData>
            </a:graphic>
          </wp:inline>
        </w:drawing>
      </w:r>
    </w:p>
    <w:p>
      <w:pPr>
        <w:spacing w:line="360" w:lineRule="auto"/>
        <w:ind w:firstLine="480" w:firstLineChars="200"/>
        <w:jc w:val="center"/>
        <w:rPr>
          <w:rFonts w:ascii="宋体_GB2312" w:hAnsi="宋体_GB2312" w:eastAsia="宋体_GB2312"/>
          <w:kern w:val="21"/>
        </w:rPr>
      </w:pPr>
      <w:r>
        <w:rPr>
          <w:rFonts w:ascii="宋体_GB2312" w:hAnsi="宋体_GB2312" w:eastAsia="宋体_GB2312"/>
          <w:kern w:val="21"/>
        </w:rPr>
        <w:t>图</w:t>
      </w:r>
      <w:r>
        <w:rPr>
          <w:rFonts w:ascii="宋体_GB2312" w:hAnsi="宋体_GB2312" w:eastAsia="宋体_GB2312"/>
          <w:kern w:val="21"/>
        </w:rPr>
        <w:fldChar w:fldCharType="begin"/>
      </w:r>
      <w:r>
        <w:rPr>
          <w:rFonts w:ascii="宋体_GB2312" w:hAnsi="宋体_GB2312" w:eastAsia="宋体_GB2312"/>
          <w:kern w:val="21"/>
        </w:rPr>
        <w:instrText xml:space="preserve"> SEQ 图 \* ARABIC </w:instrText>
      </w:r>
      <w:r>
        <w:rPr>
          <w:rFonts w:ascii="宋体_GB2312" w:hAnsi="宋体_GB2312" w:eastAsia="宋体_GB2312"/>
          <w:kern w:val="21"/>
        </w:rPr>
        <w:fldChar w:fldCharType="separate"/>
      </w:r>
      <w:r>
        <w:rPr>
          <w:rFonts w:ascii="宋体_GB2312" w:hAnsi="宋体_GB2312" w:eastAsia="宋体_GB2312"/>
          <w:kern w:val="21"/>
        </w:rPr>
        <w:t>1</w:t>
      </w:r>
      <w:r>
        <w:rPr>
          <w:rFonts w:ascii="宋体_GB2312" w:hAnsi="宋体_GB2312" w:eastAsia="宋体_GB2312"/>
          <w:kern w:val="21"/>
        </w:rPr>
        <w:fldChar w:fldCharType="end"/>
      </w:r>
      <w:r>
        <w:rPr>
          <w:rFonts w:ascii="宋体_GB2312" w:hAnsi="宋体_GB2312" w:eastAsia="宋体_GB2312"/>
          <w:kern w:val="21"/>
        </w:rPr>
        <w:t xml:space="preserve">  中国联通LOGO</w:t>
      </w:r>
      <w:bookmarkEnd w:id="26"/>
    </w:p>
    <w:p>
      <w:pPr>
        <w:spacing w:before="163" w:beforeLines="50" w:line="300" w:lineRule="auto"/>
        <w:ind w:firstLine="480" w:firstLineChars="200"/>
        <w:rPr>
          <w:rFonts w:ascii="宋体_GB2312" w:hAnsi="宋体_GB2312" w:eastAsia="宋体_GB2312"/>
          <w:szCs w:val="28"/>
        </w:rPr>
      </w:pPr>
      <w:r>
        <w:rPr>
          <w:rFonts w:hint="eastAsia" w:ascii="宋体_GB2312" w:hAnsi="宋体_GB2312" w:eastAsia="宋体_GB2312"/>
          <w:szCs w:val="28"/>
        </w:rPr>
        <w:t>（</w:t>
      </w:r>
      <w:r>
        <w:rPr>
          <w:rFonts w:ascii="宋体_GB2312" w:hAnsi="宋体_GB2312" w:eastAsia="宋体_GB2312"/>
          <w:szCs w:val="28"/>
        </w:rPr>
        <w:t>2）</w:t>
      </w:r>
      <w:r>
        <w:rPr>
          <w:rFonts w:hint="eastAsia" w:ascii="宋体_GB2312" w:hAnsi="宋体_GB2312" w:eastAsia="宋体_GB2312"/>
          <w:szCs w:val="28"/>
        </w:rPr>
        <w:t>制造商标识可采用丝印或铝质材料的铭牌，规格按行标制作。落地式箱体及无底座箱体均安装于箱体右侧下部。</w:t>
      </w:r>
    </w:p>
    <w:p>
      <w:pPr>
        <w:spacing w:before="163" w:beforeLines="50" w:line="300" w:lineRule="auto"/>
        <w:ind w:firstLine="480" w:firstLineChars="200"/>
        <w:rPr>
          <w:rFonts w:ascii="宋体_GB2312" w:hAnsi="宋体_GB2312" w:eastAsia="宋体_GB2312"/>
          <w:szCs w:val="28"/>
        </w:rPr>
      </w:pPr>
      <w:r>
        <w:rPr>
          <w:rFonts w:hint="eastAsia" w:ascii="宋体_GB2312" w:hAnsi="宋体_GB2312" w:eastAsia="宋体_GB2312"/>
          <w:szCs w:val="28"/>
        </w:rPr>
        <w:t>（</w:t>
      </w:r>
      <w:r>
        <w:rPr>
          <w:rFonts w:ascii="宋体_GB2312" w:hAnsi="宋体_GB2312" w:eastAsia="宋体_GB2312"/>
          <w:szCs w:val="28"/>
        </w:rPr>
        <w:t>3）每个箱体应在门内侧内置资料袋，可放置A4信息表，每个资料袋内应放有一张示名条，便于</w:t>
      </w:r>
      <w:r>
        <w:rPr>
          <w:rFonts w:hint="eastAsia" w:ascii="宋体_GB2312" w:hAnsi="宋体_GB2312" w:eastAsia="宋体_GB2312"/>
          <w:szCs w:val="24"/>
        </w:rPr>
        <w:t>维护</w:t>
      </w:r>
      <w:r>
        <w:rPr>
          <w:rFonts w:hint="eastAsia" w:ascii="宋体_GB2312" w:hAnsi="宋体_GB2312" w:eastAsia="宋体_GB2312"/>
          <w:szCs w:val="28"/>
        </w:rPr>
        <w:t>人员记录信息。</w:t>
      </w:r>
    </w:p>
    <w:p>
      <w:pPr>
        <w:spacing w:before="163" w:beforeLines="50" w:line="300" w:lineRule="auto"/>
        <w:ind w:firstLine="480" w:firstLineChars="200"/>
        <w:rPr>
          <w:rFonts w:ascii="宋体_GB2312" w:hAnsi="宋体_GB2312" w:eastAsia="宋体_GB2312"/>
          <w:szCs w:val="28"/>
        </w:rPr>
      </w:pPr>
      <w:r>
        <w:rPr>
          <w:rFonts w:hint="eastAsia" w:ascii="宋体_GB2312" w:hAnsi="宋体_GB2312" w:eastAsia="宋体_GB2312"/>
          <w:szCs w:val="28"/>
        </w:rPr>
        <w:t>（</w:t>
      </w:r>
      <w:r>
        <w:rPr>
          <w:rFonts w:ascii="宋体_GB2312" w:hAnsi="宋体_GB2312" w:eastAsia="宋体_GB2312"/>
          <w:szCs w:val="28"/>
        </w:rPr>
        <w:t>4）示名条从左到右标识，序号由小到大（如：1，2，……，12）。</w:t>
      </w:r>
    </w:p>
    <w:p>
      <w:pPr>
        <w:pStyle w:val="62"/>
        <w:spacing w:line="560" w:lineRule="exact"/>
        <w:rPr>
          <w:rFonts w:ascii="宋体_GB2312" w:hAnsi="宋体_GB2312" w:eastAsia="宋体_GB2312"/>
          <w:sz w:val="24"/>
        </w:rPr>
      </w:pPr>
      <w:r>
        <w:rPr>
          <w:rFonts w:ascii="宋体_GB2312" w:hAnsi="宋体_GB2312" w:eastAsia="宋体_GB2312"/>
          <w:sz w:val="24"/>
        </w:rPr>
        <w:t>2.3.3 箱体尺寸</w:t>
      </w:r>
      <w:r>
        <w:rPr>
          <w:rFonts w:hint="eastAsia" w:ascii="宋体_GB2312" w:hAnsi="宋体_GB2312" w:eastAsia="宋体_GB2312"/>
          <w:sz w:val="24"/>
        </w:rPr>
        <w:t>及容量</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kern w:val="0"/>
          <w:szCs w:val="21"/>
        </w:rPr>
        <w:t xml:space="preserve"> </w:t>
      </w:r>
      <w:r>
        <w:rPr>
          <w:rFonts w:hint="eastAsia" w:ascii="宋体_GB2312" w:hAnsi="宋体_GB2312" w:eastAsia="宋体_GB2312"/>
          <w:szCs w:val="24"/>
        </w:rPr>
        <w:t>箱体的规格及最大外形尺寸及容量应符合表</w:t>
      </w:r>
      <w:r>
        <w:rPr>
          <w:rFonts w:ascii="宋体_GB2312" w:hAnsi="宋体_GB2312" w:eastAsia="宋体_GB2312"/>
          <w:szCs w:val="24"/>
        </w:rPr>
        <w:t>1要求：</w:t>
      </w:r>
    </w:p>
    <w:p>
      <w:pPr>
        <w:pStyle w:val="55"/>
        <w:spacing w:line="360" w:lineRule="auto"/>
        <w:ind w:firstLine="480"/>
        <w:jc w:val="center"/>
        <w:rPr>
          <w:rFonts w:ascii="宋体_GB2312" w:hAnsi="宋体_GB2312" w:eastAsia="宋体_GB2312"/>
        </w:rPr>
      </w:pPr>
      <w:r>
        <w:rPr>
          <w:rFonts w:ascii="宋体_GB2312" w:hAnsi="宋体_GB2312" w:eastAsia="宋体_GB2312"/>
          <w:sz w:val="24"/>
          <w:szCs w:val="24"/>
        </w:rPr>
        <w:t>表1：</w:t>
      </w:r>
      <w:r>
        <w:rPr>
          <w:rFonts w:hint="eastAsia" w:ascii="宋体_GB2312" w:hAnsi="宋体_GB2312" w:eastAsia="宋体_GB2312"/>
          <w:sz w:val="24"/>
          <w:szCs w:val="24"/>
        </w:rPr>
        <w:t>免跳纤</w:t>
      </w:r>
      <w:r>
        <w:rPr>
          <w:rFonts w:ascii="宋体_GB2312" w:hAnsi="宋体_GB2312" w:eastAsia="宋体_GB2312"/>
          <w:sz w:val="24"/>
          <w:szCs w:val="24"/>
        </w:rPr>
        <w:t>光缆交接箱</w:t>
      </w:r>
      <w:r>
        <w:rPr>
          <w:rFonts w:hint="eastAsia" w:ascii="宋体_GB2312" w:hAnsi="宋体_GB2312" w:eastAsia="宋体_GB2312"/>
          <w:sz w:val="24"/>
          <w:szCs w:val="24"/>
        </w:rPr>
        <w:t>规格</w:t>
      </w:r>
      <w:r>
        <w:rPr>
          <w:rFonts w:ascii="宋体_GB2312" w:hAnsi="宋体_GB2312" w:eastAsia="宋体_GB2312"/>
          <w:sz w:val="24"/>
          <w:szCs w:val="24"/>
        </w:rPr>
        <w:t>及容量表</w:t>
      </w:r>
    </w:p>
    <w:tbl>
      <w:tblPr>
        <w:tblStyle w:val="37"/>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4"/>
        <w:gridCol w:w="1134"/>
        <w:gridCol w:w="2694"/>
        <w:gridCol w:w="1275"/>
        <w:gridCol w:w="1843"/>
        <w:gridCol w:w="14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1424" w:type="dxa"/>
            <w:vAlign w:val="center"/>
          </w:tcPr>
          <w:p>
            <w:pPr>
              <w:spacing w:line="360" w:lineRule="auto"/>
              <w:ind w:firstLine="38" w:firstLineChars="19"/>
              <w:rPr>
                <w:rFonts w:ascii="宋体_GB2312" w:hAnsi="宋体_GB2312" w:eastAsia="宋体_GB2312" w:cs="Arial"/>
                <w:sz w:val="20"/>
                <w:szCs w:val="21"/>
              </w:rPr>
            </w:pPr>
            <w:r>
              <w:rPr>
                <w:rFonts w:hint="eastAsia" w:ascii="宋体_GB2312" w:hAnsi="宋体_GB2312" w:eastAsia="宋体_GB2312" w:cs="Arial"/>
                <w:sz w:val="20"/>
                <w:szCs w:val="21"/>
              </w:rPr>
              <w:t>箱体材质</w:t>
            </w:r>
          </w:p>
        </w:tc>
        <w:tc>
          <w:tcPr>
            <w:tcW w:w="1134" w:type="dxa"/>
            <w:vAlign w:val="center"/>
          </w:tcPr>
          <w:p>
            <w:pPr>
              <w:spacing w:line="360" w:lineRule="auto"/>
              <w:ind w:firstLine="400" w:firstLineChars="200"/>
              <w:rPr>
                <w:rFonts w:ascii="宋体_GB2312" w:hAnsi="宋体_GB2312" w:eastAsia="宋体_GB2312"/>
                <w:kern w:val="0"/>
                <w:sz w:val="20"/>
                <w:szCs w:val="21"/>
              </w:rPr>
            </w:pPr>
            <w:r>
              <w:rPr>
                <w:rFonts w:hint="eastAsia" w:ascii="宋体_GB2312" w:hAnsi="宋体_GB2312" w:eastAsia="宋体_GB2312"/>
                <w:kern w:val="0"/>
                <w:sz w:val="20"/>
                <w:szCs w:val="21"/>
              </w:rPr>
              <w:t>容量</w:t>
            </w:r>
          </w:p>
        </w:tc>
        <w:tc>
          <w:tcPr>
            <w:tcW w:w="2694" w:type="dxa"/>
            <w:vAlign w:val="center"/>
          </w:tcPr>
          <w:p>
            <w:pPr>
              <w:spacing w:line="360" w:lineRule="auto"/>
              <w:ind w:firstLine="38" w:firstLineChars="19"/>
              <w:jc w:val="center"/>
              <w:rPr>
                <w:rFonts w:ascii="宋体_GB2312" w:hAnsi="宋体_GB2312" w:eastAsia="宋体_GB2312" w:cs="Arial"/>
                <w:sz w:val="20"/>
                <w:szCs w:val="21"/>
              </w:rPr>
            </w:pPr>
            <w:r>
              <w:rPr>
                <w:rFonts w:hint="eastAsia" w:ascii="宋体_GB2312" w:hAnsi="宋体_GB2312" w:eastAsia="宋体_GB2312" w:cs="Arial"/>
                <w:sz w:val="20"/>
                <w:szCs w:val="21"/>
              </w:rPr>
              <w:t>箱体尺寸（最大，含底座）</w:t>
            </w:r>
          </w:p>
          <w:p>
            <w:pPr>
              <w:spacing w:line="360" w:lineRule="auto"/>
              <w:ind w:firstLine="38" w:firstLineChars="19"/>
              <w:jc w:val="center"/>
              <w:rPr>
                <w:rFonts w:ascii="宋体_GB2312" w:hAnsi="宋体_GB2312" w:eastAsia="宋体_GB2312"/>
                <w:kern w:val="0"/>
                <w:sz w:val="20"/>
                <w:szCs w:val="21"/>
              </w:rPr>
            </w:pPr>
            <w:r>
              <w:rPr>
                <w:rFonts w:hint="eastAsia" w:ascii="宋体_GB2312" w:hAnsi="宋体_GB2312" w:eastAsia="宋体_GB2312"/>
                <w:kern w:val="0"/>
                <w:sz w:val="20"/>
                <w:szCs w:val="21"/>
              </w:rPr>
              <w:t>高×宽×深（单位：</w:t>
            </w:r>
            <w:r>
              <w:rPr>
                <w:rFonts w:ascii="宋体_GB2312" w:hAnsi="宋体_GB2312" w:eastAsia="宋体_GB2312"/>
                <w:kern w:val="0"/>
                <w:sz w:val="20"/>
                <w:szCs w:val="21"/>
              </w:rPr>
              <w:t>mm）</w:t>
            </w:r>
          </w:p>
        </w:tc>
        <w:tc>
          <w:tcPr>
            <w:tcW w:w="1275" w:type="dxa"/>
            <w:vAlign w:val="center"/>
          </w:tcPr>
          <w:p>
            <w:pPr>
              <w:spacing w:line="360" w:lineRule="auto"/>
              <w:jc w:val="center"/>
              <w:rPr>
                <w:rFonts w:ascii="宋体_GB2312" w:hAnsi="宋体_GB2312" w:eastAsia="宋体_GB2312"/>
                <w:kern w:val="0"/>
                <w:sz w:val="20"/>
                <w:szCs w:val="21"/>
              </w:rPr>
            </w:pPr>
            <w:r>
              <w:rPr>
                <w:rFonts w:hint="eastAsia" w:ascii="宋体_GB2312" w:hAnsi="宋体_GB2312" w:eastAsia="宋体_GB2312"/>
                <w:kern w:val="0"/>
                <w:sz w:val="20"/>
                <w:szCs w:val="21"/>
              </w:rPr>
              <w:t>底座高度</w:t>
            </w:r>
          </w:p>
          <w:p>
            <w:pPr>
              <w:spacing w:line="360" w:lineRule="auto"/>
              <w:jc w:val="center"/>
              <w:rPr>
                <w:rFonts w:ascii="宋体_GB2312" w:hAnsi="宋体_GB2312" w:eastAsia="宋体_GB2312"/>
                <w:kern w:val="0"/>
                <w:sz w:val="20"/>
                <w:szCs w:val="21"/>
              </w:rPr>
            </w:pPr>
            <w:r>
              <w:rPr>
                <w:rFonts w:hint="eastAsia" w:ascii="宋体_GB2312" w:hAnsi="宋体_GB2312" w:eastAsia="宋体_GB2312"/>
                <w:kern w:val="0"/>
                <w:sz w:val="20"/>
                <w:szCs w:val="21"/>
              </w:rPr>
              <w:t>（单位：</w:t>
            </w:r>
            <w:r>
              <w:rPr>
                <w:rFonts w:ascii="宋体_GB2312" w:hAnsi="宋体_GB2312" w:eastAsia="宋体_GB2312"/>
                <w:kern w:val="0"/>
                <w:sz w:val="20"/>
                <w:szCs w:val="21"/>
              </w:rPr>
              <w:t>mm）</w:t>
            </w:r>
          </w:p>
        </w:tc>
        <w:tc>
          <w:tcPr>
            <w:tcW w:w="1843" w:type="dxa"/>
            <w:vAlign w:val="center"/>
          </w:tcPr>
          <w:p>
            <w:pPr>
              <w:spacing w:line="360" w:lineRule="auto"/>
              <w:jc w:val="center"/>
              <w:rPr>
                <w:rFonts w:ascii="宋体_GB2312" w:hAnsi="宋体_GB2312" w:eastAsia="宋体_GB2312" w:cs="Arial"/>
                <w:sz w:val="20"/>
                <w:szCs w:val="21"/>
              </w:rPr>
            </w:pPr>
            <w:r>
              <w:rPr>
                <w:rFonts w:hint="eastAsia" w:ascii="宋体_GB2312" w:hAnsi="宋体_GB2312" w:eastAsia="宋体_GB2312" w:cs="Arial"/>
                <w:sz w:val="20"/>
                <w:szCs w:val="21"/>
              </w:rPr>
              <w:t>安装方式</w:t>
            </w:r>
          </w:p>
        </w:tc>
        <w:tc>
          <w:tcPr>
            <w:tcW w:w="1411" w:type="dxa"/>
            <w:vAlign w:val="center"/>
          </w:tcPr>
          <w:p>
            <w:pPr>
              <w:spacing w:line="360" w:lineRule="auto"/>
              <w:jc w:val="center"/>
              <w:rPr>
                <w:rFonts w:ascii="宋体_GB2312" w:hAnsi="宋体_GB2312" w:eastAsia="宋体_GB2312" w:cs="Arial"/>
                <w:sz w:val="20"/>
                <w:szCs w:val="21"/>
              </w:rPr>
            </w:pPr>
            <w:r>
              <w:rPr>
                <w:rFonts w:hint="eastAsia" w:ascii="宋体_GB2312" w:hAnsi="宋体_GB2312" w:eastAsia="宋体_GB2312" w:cs="Arial"/>
                <w:sz w:val="20"/>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1424" w:type="dxa"/>
            <w:vMerge w:val="restart"/>
            <w:vAlign w:val="center"/>
          </w:tcPr>
          <w:p>
            <w:pPr>
              <w:spacing w:line="360" w:lineRule="auto"/>
              <w:ind w:firstLine="38" w:firstLineChars="19"/>
              <w:rPr>
                <w:rFonts w:ascii="宋体_GB2312" w:hAnsi="宋体_GB2312" w:eastAsia="宋体_GB2312" w:cs="Arial"/>
                <w:bCs/>
                <w:sz w:val="20"/>
                <w:szCs w:val="21"/>
              </w:rPr>
            </w:pPr>
            <w:r>
              <w:rPr>
                <w:rFonts w:ascii="宋体_GB2312" w:hAnsi="宋体_GB2312" w:eastAsia="宋体_GB2312"/>
                <w:kern w:val="0"/>
                <w:sz w:val="20"/>
                <w:szCs w:val="21"/>
              </w:rPr>
              <w:t>SMC箱体</w:t>
            </w:r>
          </w:p>
        </w:tc>
        <w:tc>
          <w:tcPr>
            <w:tcW w:w="113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144芯</w:t>
            </w:r>
          </w:p>
        </w:tc>
        <w:tc>
          <w:tcPr>
            <w:tcW w:w="269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1045x570x310</w:t>
            </w:r>
          </w:p>
        </w:tc>
        <w:tc>
          <w:tcPr>
            <w:tcW w:w="1275" w:type="dxa"/>
          </w:tcPr>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260</w:t>
            </w:r>
          </w:p>
        </w:tc>
        <w:tc>
          <w:tcPr>
            <w:tcW w:w="1843"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落地/壁挂/架空</w:t>
            </w:r>
          </w:p>
        </w:tc>
        <w:tc>
          <w:tcPr>
            <w:tcW w:w="1411"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kern w:val="0"/>
                <w:sz w:val="20"/>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1424" w:type="dxa"/>
            <w:vMerge w:val="continue"/>
            <w:vAlign w:val="center"/>
          </w:tcPr>
          <w:p>
            <w:pPr>
              <w:spacing w:line="360" w:lineRule="auto"/>
              <w:ind w:firstLine="38" w:firstLineChars="19"/>
              <w:jc w:val="center"/>
              <w:rPr>
                <w:rFonts w:ascii="宋体_GB2312" w:hAnsi="宋体_GB2312" w:eastAsia="宋体_GB2312" w:cs="Arial"/>
                <w:bCs/>
                <w:sz w:val="20"/>
                <w:szCs w:val="21"/>
              </w:rPr>
            </w:pPr>
          </w:p>
        </w:tc>
        <w:tc>
          <w:tcPr>
            <w:tcW w:w="113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288芯</w:t>
            </w:r>
          </w:p>
        </w:tc>
        <w:tc>
          <w:tcPr>
            <w:tcW w:w="269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1560x760x370</w:t>
            </w:r>
          </w:p>
        </w:tc>
        <w:tc>
          <w:tcPr>
            <w:tcW w:w="1275" w:type="dxa"/>
          </w:tcPr>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350</w:t>
            </w:r>
          </w:p>
        </w:tc>
        <w:tc>
          <w:tcPr>
            <w:tcW w:w="1843" w:type="dxa"/>
            <w:vAlign w:val="center"/>
          </w:tcPr>
          <w:p>
            <w:pPr>
              <w:spacing w:line="360" w:lineRule="auto"/>
              <w:jc w:val="center"/>
              <w:rPr>
                <w:rFonts w:ascii="宋体_GB2312" w:hAnsi="宋体_GB2312" w:eastAsia="宋体_GB2312"/>
                <w:kern w:val="0"/>
                <w:sz w:val="20"/>
                <w:szCs w:val="21"/>
              </w:rPr>
            </w:pPr>
            <w:r>
              <w:rPr>
                <w:rFonts w:ascii="宋体_GB2312" w:hAnsi="宋体_GB2312" w:eastAsia="宋体_GB2312" w:cs="Arial"/>
                <w:sz w:val="20"/>
                <w:szCs w:val="21"/>
              </w:rPr>
              <w:t>落地/壁挂/架空</w:t>
            </w:r>
          </w:p>
        </w:tc>
        <w:tc>
          <w:tcPr>
            <w:tcW w:w="1411" w:type="dxa"/>
            <w:vAlign w:val="center"/>
          </w:tcPr>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1424" w:type="dxa"/>
            <w:vMerge w:val="continue"/>
            <w:vAlign w:val="center"/>
          </w:tcPr>
          <w:p>
            <w:pPr>
              <w:spacing w:line="360" w:lineRule="auto"/>
              <w:ind w:firstLine="38" w:firstLineChars="19"/>
              <w:jc w:val="center"/>
              <w:rPr>
                <w:rFonts w:ascii="宋体_GB2312" w:hAnsi="宋体_GB2312" w:eastAsia="宋体_GB2312" w:cs="Arial"/>
                <w:bCs/>
                <w:sz w:val="20"/>
                <w:szCs w:val="21"/>
              </w:rPr>
            </w:pPr>
          </w:p>
        </w:tc>
        <w:tc>
          <w:tcPr>
            <w:tcW w:w="113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576芯</w:t>
            </w:r>
          </w:p>
        </w:tc>
        <w:tc>
          <w:tcPr>
            <w:tcW w:w="269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1560x760x630</w:t>
            </w:r>
          </w:p>
        </w:tc>
        <w:tc>
          <w:tcPr>
            <w:tcW w:w="1275" w:type="dxa"/>
          </w:tcPr>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350</w:t>
            </w:r>
          </w:p>
        </w:tc>
        <w:tc>
          <w:tcPr>
            <w:tcW w:w="1843"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落地/架空</w:t>
            </w:r>
          </w:p>
        </w:tc>
        <w:tc>
          <w:tcPr>
            <w:tcW w:w="1411" w:type="dxa"/>
            <w:vAlign w:val="center"/>
          </w:tcPr>
          <w:p>
            <w:pPr>
              <w:spacing w:line="360" w:lineRule="auto"/>
              <w:jc w:val="center"/>
              <w:rPr>
                <w:rFonts w:ascii="宋体_GB2312" w:hAnsi="宋体_GB2312" w:eastAsia="宋体_GB2312" w:cs="Arial"/>
                <w:sz w:val="20"/>
                <w:szCs w:val="21"/>
              </w:rPr>
            </w:pPr>
            <w:r>
              <w:rPr>
                <w:rFonts w:hint="eastAsia" w:ascii="宋体_GB2312" w:hAnsi="宋体_GB2312" w:eastAsia="宋体_GB2312"/>
                <w:kern w:val="0"/>
                <w:sz w:val="20"/>
                <w:szCs w:val="21"/>
              </w:rPr>
              <w:t>双</w:t>
            </w:r>
            <w:r>
              <w:rPr>
                <w:rFonts w:ascii="宋体_GB2312" w:hAnsi="宋体_GB2312" w:eastAsia="宋体_GB2312"/>
                <w:kern w:val="0"/>
                <w:sz w:val="20"/>
                <w:szCs w:val="21"/>
              </w:rPr>
              <w:t>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1424" w:type="dxa"/>
            <w:vMerge w:val="continue"/>
            <w:vAlign w:val="center"/>
          </w:tcPr>
          <w:p>
            <w:pPr>
              <w:spacing w:line="360" w:lineRule="auto"/>
              <w:ind w:firstLine="38" w:firstLineChars="19"/>
              <w:jc w:val="center"/>
              <w:rPr>
                <w:rFonts w:ascii="宋体_GB2312" w:hAnsi="宋体_GB2312" w:eastAsia="宋体_GB2312" w:cs="Arial"/>
                <w:bCs/>
                <w:sz w:val="20"/>
                <w:szCs w:val="21"/>
              </w:rPr>
            </w:pPr>
          </w:p>
        </w:tc>
        <w:tc>
          <w:tcPr>
            <w:tcW w:w="113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576芯</w:t>
            </w:r>
          </w:p>
        </w:tc>
        <w:tc>
          <w:tcPr>
            <w:tcW w:w="269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1560x1500x360</w:t>
            </w:r>
          </w:p>
        </w:tc>
        <w:tc>
          <w:tcPr>
            <w:tcW w:w="1275" w:type="dxa"/>
          </w:tcPr>
          <w:p>
            <w:pPr>
              <w:spacing w:line="360" w:lineRule="auto"/>
              <w:jc w:val="center"/>
              <w:rPr>
                <w:rFonts w:ascii="宋体_GB2312" w:hAnsi="宋体_GB2312" w:eastAsia="宋体_GB2312"/>
                <w:kern w:val="0"/>
                <w:sz w:val="20"/>
                <w:szCs w:val="21"/>
              </w:rPr>
            </w:pPr>
          </w:p>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350</w:t>
            </w:r>
          </w:p>
        </w:tc>
        <w:tc>
          <w:tcPr>
            <w:tcW w:w="1843" w:type="dxa"/>
            <w:vAlign w:val="center"/>
          </w:tcPr>
          <w:p>
            <w:pPr>
              <w:spacing w:line="360" w:lineRule="auto"/>
              <w:jc w:val="center"/>
              <w:rPr>
                <w:rFonts w:ascii="宋体_GB2312" w:hAnsi="宋体_GB2312" w:eastAsia="宋体_GB2312"/>
                <w:kern w:val="0"/>
                <w:sz w:val="20"/>
                <w:szCs w:val="21"/>
              </w:rPr>
            </w:pPr>
            <w:r>
              <w:rPr>
                <w:rFonts w:ascii="宋体_GB2312" w:hAnsi="宋体_GB2312" w:eastAsia="宋体_GB2312" w:cs="Arial"/>
                <w:sz w:val="20"/>
                <w:szCs w:val="21"/>
              </w:rPr>
              <w:t>落地/架空</w:t>
            </w:r>
          </w:p>
        </w:tc>
        <w:tc>
          <w:tcPr>
            <w:tcW w:w="1411" w:type="dxa"/>
            <w:vAlign w:val="center"/>
          </w:tcPr>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单面操作</w:t>
            </w:r>
            <w:r>
              <w:rPr>
                <w:rFonts w:hint="eastAsia" w:ascii="宋体_GB2312" w:hAnsi="宋体_GB2312" w:eastAsia="宋体_GB2312"/>
                <w:kern w:val="0"/>
                <w:sz w:val="20"/>
                <w:szCs w:val="21"/>
              </w:rPr>
              <w:t>（适用于盒式光分路器型）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1424" w:type="dxa"/>
            <w:vMerge w:val="restart"/>
            <w:vAlign w:val="center"/>
          </w:tcPr>
          <w:p>
            <w:pPr>
              <w:spacing w:line="360" w:lineRule="auto"/>
              <w:ind w:firstLine="38" w:firstLineChars="19"/>
              <w:rPr>
                <w:rFonts w:ascii="宋体_GB2312" w:hAnsi="宋体_GB2312" w:eastAsia="宋体_GB2312" w:cs="Arial"/>
                <w:bCs/>
                <w:sz w:val="20"/>
                <w:szCs w:val="21"/>
              </w:rPr>
            </w:pPr>
            <w:r>
              <w:rPr>
                <w:rFonts w:hint="eastAsia" w:ascii="宋体_GB2312" w:hAnsi="宋体_GB2312" w:eastAsia="宋体_GB2312"/>
                <w:kern w:val="0"/>
                <w:sz w:val="20"/>
                <w:szCs w:val="21"/>
              </w:rPr>
              <w:t>不锈钢箱体</w:t>
            </w:r>
          </w:p>
        </w:tc>
        <w:tc>
          <w:tcPr>
            <w:tcW w:w="113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144芯</w:t>
            </w:r>
          </w:p>
        </w:tc>
        <w:tc>
          <w:tcPr>
            <w:tcW w:w="269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1100x620x350</w:t>
            </w:r>
          </w:p>
        </w:tc>
        <w:tc>
          <w:tcPr>
            <w:tcW w:w="1275" w:type="dxa"/>
          </w:tcPr>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260</w:t>
            </w:r>
          </w:p>
        </w:tc>
        <w:tc>
          <w:tcPr>
            <w:tcW w:w="1843" w:type="dxa"/>
            <w:vAlign w:val="center"/>
          </w:tcPr>
          <w:p>
            <w:pPr>
              <w:spacing w:line="360" w:lineRule="auto"/>
              <w:jc w:val="center"/>
              <w:rPr>
                <w:rFonts w:ascii="宋体_GB2312" w:hAnsi="宋体_GB2312" w:eastAsia="宋体_GB2312"/>
                <w:kern w:val="0"/>
                <w:sz w:val="20"/>
                <w:szCs w:val="21"/>
              </w:rPr>
            </w:pPr>
            <w:r>
              <w:rPr>
                <w:rFonts w:ascii="宋体_GB2312" w:hAnsi="宋体_GB2312" w:eastAsia="宋体_GB2312" w:cs="Arial"/>
                <w:sz w:val="20"/>
                <w:szCs w:val="21"/>
              </w:rPr>
              <w:t>落地/壁挂/架空</w:t>
            </w:r>
          </w:p>
        </w:tc>
        <w:tc>
          <w:tcPr>
            <w:tcW w:w="1411" w:type="dxa"/>
            <w:vAlign w:val="center"/>
          </w:tcPr>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1424" w:type="dxa"/>
            <w:vMerge w:val="continue"/>
            <w:vAlign w:val="center"/>
          </w:tcPr>
          <w:p>
            <w:pPr>
              <w:spacing w:line="360" w:lineRule="auto"/>
              <w:ind w:firstLine="400" w:firstLineChars="200"/>
              <w:jc w:val="center"/>
              <w:rPr>
                <w:rFonts w:ascii="宋体_GB2312" w:hAnsi="宋体_GB2312" w:eastAsia="宋体_GB2312" w:cs="Arial"/>
                <w:bCs/>
                <w:sz w:val="20"/>
                <w:szCs w:val="21"/>
              </w:rPr>
            </w:pPr>
          </w:p>
        </w:tc>
        <w:tc>
          <w:tcPr>
            <w:tcW w:w="113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288芯</w:t>
            </w:r>
          </w:p>
        </w:tc>
        <w:tc>
          <w:tcPr>
            <w:tcW w:w="269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1560x800x420</w:t>
            </w:r>
          </w:p>
        </w:tc>
        <w:tc>
          <w:tcPr>
            <w:tcW w:w="1275" w:type="dxa"/>
          </w:tcPr>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350</w:t>
            </w:r>
          </w:p>
        </w:tc>
        <w:tc>
          <w:tcPr>
            <w:tcW w:w="1843"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落地/壁挂/架空</w:t>
            </w:r>
          </w:p>
        </w:tc>
        <w:tc>
          <w:tcPr>
            <w:tcW w:w="1411"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kern w:val="0"/>
                <w:sz w:val="20"/>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1424" w:type="dxa"/>
            <w:vMerge w:val="continue"/>
            <w:vAlign w:val="center"/>
          </w:tcPr>
          <w:p>
            <w:pPr>
              <w:spacing w:line="360" w:lineRule="auto"/>
              <w:ind w:firstLine="400" w:firstLineChars="200"/>
              <w:jc w:val="center"/>
              <w:rPr>
                <w:rFonts w:ascii="宋体_GB2312" w:hAnsi="宋体_GB2312" w:eastAsia="宋体_GB2312" w:cs="Arial"/>
                <w:bCs/>
                <w:sz w:val="20"/>
                <w:szCs w:val="21"/>
              </w:rPr>
            </w:pPr>
          </w:p>
        </w:tc>
        <w:tc>
          <w:tcPr>
            <w:tcW w:w="113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576芯</w:t>
            </w:r>
          </w:p>
        </w:tc>
        <w:tc>
          <w:tcPr>
            <w:tcW w:w="269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1560x800x630</w:t>
            </w:r>
          </w:p>
        </w:tc>
        <w:tc>
          <w:tcPr>
            <w:tcW w:w="1275" w:type="dxa"/>
          </w:tcPr>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350</w:t>
            </w:r>
          </w:p>
        </w:tc>
        <w:tc>
          <w:tcPr>
            <w:tcW w:w="1843" w:type="dxa"/>
            <w:vAlign w:val="center"/>
          </w:tcPr>
          <w:p>
            <w:pPr>
              <w:spacing w:line="360" w:lineRule="auto"/>
              <w:jc w:val="center"/>
              <w:rPr>
                <w:rFonts w:ascii="宋体_GB2312" w:hAnsi="宋体_GB2312" w:eastAsia="宋体_GB2312"/>
                <w:kern w:val="0"/>
                <w:sz w:val="20"/>
                <w:szCs w:val="21"/>
              </w:rPr>
            </w:pPr>
            <w:r>
              <w:rPr>
                <w:rFonts w:ascii="宋体_GB2312" w:hAnsi="宋体_GB2312" w:eastAsia="宋体_GB2312" w:cs="Arial"/>
                <w:sz w:val="20"/>
                <w:szCs w:val="21"/>
              </w:rPr>
              <w:t>落地/架空</w:t>
            </w:r>
          </w:p>
        </w:tc>
        <w:tc>
          <w:tcPr>
            <w:tcW w:w="1411" w:type="dxa"/>
            <w:vAlign w:val="center"/>
          </w:tcPr>
          <w:p>
            <w:pPr>
              <w:spacing w:line="360" w:lineRule="auto"/>
              <w:jc w:val="center"/>
              <w:rPr>
                <w:rFonts w:ascii="宋体_GB2312" w:hAnsi="宋体_GB2312" w:eastAsia="宋体_GB2312"/>
                <w:kern w:val="0"/>
                <w:sz w:val="20"/>
                <w:szCs w:val="21"/>
              </w:rPr>
            </w:pPr>
            <w:r>
              <w:rPr>
                <w:rFonts w:hint="eastAsia" w:ascii="宋体_GB2312" w:hAnsi="宋体_GB2312" w:eastAsia="宋体_GB2312"/>
                <w:kern w:val="0"/>
                <w:sz w:val="20"/>
                <w:szCs w:val="21"/>
              </w:rPr>
              <w:t>双</w:t>
            </w:r>
            <w:r>
              <w:rPr>
                <w:rFonts w:ascii="宋体_GB2312" w:hAnsi="宋体_GB2312" w:eastAsia="宋体_GB2312"/>
                <w:kern w:val="0"/>
                <w:sz w:val="20"/>
                <w:szCs w:val="21"/>
              </w:rPr>
              <w:t>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1424" w:type="dxa"/>
            <w:vMerge w:val="continue"/>
            <w:vAlign w:val="center"/>
          </w:tcPr>
          <w:p>
            <w:pPr>
              <w:spacing w:line="360" w:lineRule="auto"/>
              <w:ind w:firstLine="400" w:firstLineChars="200"/>
              <w:jc w:val="center"/>
              <w:rPr>
                <w:rFonts w:ascii="宋体_GB2312" w:hAnsi="宋体_GB2312" w:eastAsia="宋体_GB2312" w:cs="Arial"/>
                <w:bCs/>
                <w:sz w:val="20"/>
                <w:szCs w:val="21"/>
              </w:rPr>
            </w:pPr>
          </w:p>
        </w:tc>
        <w:tc>
          <w:tcPr>
            <w:tcW w:w="113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576芯</w:t>
            </w:r>
          </w:p>
        </w:tc>
        <w:tc>
          <w:tcPr>
            <w:tcW w:w="2694" w:type="dxa"/>
            <w:vAlign w:val="center"/>
          </w:tcPr>
          <w:p>
            <w:pPr>
              <w:spacing w:line="360" w:lineRule="auto"/>
              <w:jc w:val="center"/>
              <w:rPr>
                <w:rFonts w:ascii="宋体_GB2312" w:hAnsi="宋体_GB2312" w:eastAsia="宋体_GB2312" w:cs="Arial"/>
                <w:sz w:val="20"/>
                <w:szCs w:val="21"/>
              </w:rPr>
            </w:pPr>
            <w:r>
              <w:rPr>
                <w:rFonts w:ascii="宋体_GB2312" w:hAnsi="宋体_GB2312" w:eastAsia="宋体_GB2312" w:cs="Arial"/>
                <w:sz w:val="20"/>
                <w:szCs w:val="21"/>
              </w:rPr>
              <w:t>1575x1500x360</w:t>
            </w:r>
          </w:p>
        </w:tc>
        <w:tc>
          <w:tcPr>
            <w:tcW w:w="1275" w:type="dxa"/>
          </w:tcPr>
          <w:p>
            <w:pPr>
              <w:spacing w:line="360" w:lineRule="auto"/>
              <w:jc w:val="center"/>
              <w:rPr>
                <w:rFonts w:ascii="宋体_GB2312" w:hAnsi="宋体_GB2312" w:eastAsia="宋体_GB2312"/>
                <w:kern w:val="0"/>
                <w:sz w:val="20"/>
                <w:szCs w:val="21"/>
              </w:rPr>
            </w:pPr>
          </w:p>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350</w:t>
            </w:r>
          </w:p>
        </w:tc>
        <w:tc>
          <w:tcPr>
            <w:tcW w:w="1843" w:type="dxa"/>
            <w:vAlign w:val="center"/>
          </w:tcPr>
          <w:p>
            <w:pPr>
              <w:spacing w:line="360" w:lineRule="auto"/>
              <w:jc w:val="center"/>
              <w:rPr>
                <w:rFonts w:ascii="宋体_GB2312" w:hAnsi="宋体_GB2312" w:eastAsia="宋体_GB2312"/>
                <w:kern w:val="0"/>
                <w:sz w:val="20"/>
                <w:szCs w:val="21"/>
              </w:rPr>
            </w:pPr>
            <w:r>
              <w:rPr>
                <w:rFonts w:ascii="宋体_GB2312" w:hAnsi="宋体_GB2312" w:eastAsia="宋体_GB2312" w:cs="Arial"/>
                <w:sz w:val="20"/>
                <w:szCs w:val="21"/>
              </w:rPr>
              <w:t>落地/架空</w:t>
            </w:r>
          </w:p>
        </w:tc>
        <w:tc>
          <w:tcPr>
            <w:tcW w:w="1411" w:type="dxa"/>
            <w:vAlign w:val="center"/>
          </w:tcPr>
          <w:p>
            <w:pPr>
              <w:spacing w:line="360" w:lineRule="auto"/>
              <w:jc w:val="center"/>
              <w:rPr>
                <w:rFonts w:ascii="宋体_GB2312" w:hAnsi="宋体_GB2312" w:eastAsia="宋体_GB2312"/>
                <w:kern w:val="0"/>
                <w:sz w:val="20"/>
                <w:szCs w:val="21"/>
              </w:rPr>
            </w:pPr>
            <w:r>
              <w:rPr>
                <w:rFonts w:ascii="宋体_GB2312" w:hAnsi="宋体_GB2312" w:eastAsia="宋体_GB2312"/>
                <w:kern w:val="0"/>
                <w:sz w:val="20"/>
                <w:szCs w:val="21"/>
              </w:rPr>
              <w:t>单面操作</w:t>
            </w:r>
            <w:r>
              <w:rPr>
                <w:rFonts w:hint="eastAsia" w:ascii="宋体_GB2312" w:hAnsi="宋体_GB2312" w:eastAsia="宋体_GB2312"/>
                <w:kern w:val="0"/>
                <w:sz w:val="20"/>
                <w:szCs w:val="21"/>
              </w:rPr>
              <w:t>（适用于盒式光分路器型）</w:t>
            </w:r>
          </w:p>
        </w:tc>
      </w:tr>
    </w:tbl>
    <w:p>
      <w:pPr>
        <w:spacing w:before="163" w:beforeLines="50" w:line="300" w:lineRule="auto"/>
        <w:ind w:firstLine="480" w:firstLineChars="200"/>
        <w:rPr>
          <w:rFonts w:ascii="宋体_GB2312" w:hAnsi="宋体_GB2312" w:eastAsia="宋体_GB2312" w:cs="宋体"/>
          <w:kern w:val="0"/>
          <w:szCs w:val="24"/>
        </w:rPr>
      </w:pPr>
      <w:r>
        <w:rPr>
          <w:rFonts w:hint="eastAsia" w:ascii="宋体_GB2312" w:hAnsi="宋体_GB2312" w:eastAsia="宋体_GB2312"/>
        </w:rPr>
        <w:t>注：本规范给出的箱体尺寸为最大参考尺寸。</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616200" cy="2465070"/>
            <wp:effectExtent l="0" t="0" r="0" b="0"/>
            <wp:docPr id="3" name="图片 3" descr="SKD$X]W006U6W%{BNDKIL[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SKD$X]W006U6W%{BNDKIL[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616200" cy="2465070"/>
                    </a:xfrm>
                    <a:prstGeom prst="rect">
                      <a:avLst/>
                    </a:prstGeom>
                    <a:noFill/>
                    <a:ln>
                      <a:noFill/>
                    </a:ln>
                  </pic:spPr>
                </pic:pic>
              </a:graphicData>
            </a:graphic>
          </wp:inline>
        </w:drawing>
      </w:r>
      <w:r>
        <w:rPr>
          <w:rFonts w:ascii="宋体_GB2312" w:hAnsi="宋体_GB2312" w:eastAsia="宋体_GB2312" w:cs="宋体"/>
          <w:kern w:val="0"/>
          <w:szCs w:val="24"/>
        </w:rPr>
        <w:drawing>
          <wp:inline distT="0" distB="0" distL="0" distR="0">
            <wp:extent cx="2790825" cy="2480945"/>
            <wp:effectExtent l="0" t="0" r="0" b="0"/>
            <wp:docPr id="4" name="图片 4" descr="QRPGK`A7%[HB[WY3[)_1]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QRPGK`A7%[HB[WY3[)_1]H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90825" cy="2480945"/>
                    </a:xfrm>
                    <a:prstGeom prst="rect">
                      <a:avLst/>
                    </a:prstGeom>
                    <a:noFill/>
                    <a:ln>
                      <a:noFill/>
                    </a:ln>
                  </pic:spPr>
                </pic:pic>
              </a:graphicData>
            </a:graphic>
          </wp:inline>
        </w:drawing>
      </w:r>
    </w:p>
    <w:p>
      <w:pPr>
        <w:widowControl/>
        <w:jc w:val="left"/>
        <w:rPr>
          <w:rFonts w:ascii="宋体_GB2312" w:hAnsi="宋体_GB2312" w:eastAsia="宋体_GB2312" w:cs="宋体"/>
          <w:kern w:val="0"/>
          <w:szCs w:val="24"/>
        </w:rPr>
      </w:pPr>
    </w:p>
    <w:p>
      <w:pPr>
        <w:spacing w:line="360" w:lineRule="auto"/>
        <w:ind w:firstLine="480" w:firstLineChars="200"/>
        <w:jc w:val="center"/>
        <w:rPr>
          <w:rFonts w:ascii="宋体_GB2312" w:hAnsi="宋体_GB2312" w:eastAsia="宋体_GB2312"/>
          <w:kern w:val="21"/>
        </w:rPr>
      </w:pPr>
      <w:r>
        <w:rPr>
          <w:rFonts w:hint="eastAsia" w:ascii="宋体_GB2312" w:hAnsi="宋体_GB2312" w:eastAsia="宋体_GB2312"/>
          <w:kern w:val="21"/>
        </w:rPr>
        <w:t>图</w:t>
      </w:r>
      <w:r>
        <w:rPr>
          <w:rFonts w:ascii="宋体_GB2312" w:hAnsi="宋体_GB2312" w:eastAsia="宋体_GB2312"/>
          <w:kern w:val="21"/>
        </w:rPr>
        <w:t xml:space="preserve">2 144芯SMC箱体                      </w:t>
      </w:r>
      <w:r>
        <w:rPr>
          <w:rFonts w:hint="eastAsia" w:ascii="宋体_GB2312" w:hAnsi="宋体_GB2312" w:eastAsia="宋体_GB2312"/>
          <w:kern w:val="21"/>
        </w:rPr>
        <w:t>图</w:t>
      </w:r>
      <w:r>
        <w:rPr>
          <w:rFonts w:ascii="宋体_GB2312" w:hAnsi="宋体_GB2312" w:eastAsia="宋体_GB2312"/>
          <w:kern w:val="21"/>
        </w:rPr>
        <w:t>3 144芯金属箱体</w:t>
      </w:r>
    </w:p>
    <w:p>
      <w:pPr>
        <w:spacing w:line="360" w:lineRule="auto"/>
        <w:jc w:val="center"/>
        <w:rPr>
          <w:rFonts w:ascii="宋体_GB2312" w:hAnsi="宋体_GB2312" w:eastAsia="宋体_GB2312"/>
          <w:sz w:val="21"/>
          <w:szCs w:val="21"/>
        </w:rPr>
      </w:pP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3697605" cy="3888105"/>
            <wp:effectExtent l="0" t="0" r="0" b="0"/>
            <wp:docPr id="5" name="图片 5" descr="Z6P2@A2Z729QJ4C1IV~E4W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Z6P2@A2Z729QJ4C1IV~E4WH"/>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697605" cy="3888105"/>
                    </a:xfrm>
                    <a:prstGeom prst="rect">
                      <a:avLst/>
                    </a:prstGeom>
                    <a:noFill/>
                    <a:ln>
                      <a:noFill/>
                    </a:ln>
                  </pic:spPr>
                </pic:pic>
              </a:graphicData>
            </a:graphic>
          </wp:inline>
        </w:drawing>
      </w:r>
    </w:p>
    <w:p>
      <w:pPr>
        <w:spacing w:line="360" w:lineRule="auto"/>
        <w:ind w:firstLine="480" w:firstLineChars="200"/>
        <w:jc w:val="center"/>
        <w:rPr>
          <w:rFonts w:ascii="宋体_GB2312" w:hAnsi="宋体_GB2312" w:eastAsia="宋体_GB2312"/>
          <w:kern w:val="21"/>
        </w:rPr>
      </w:pPr>
      <w:r>
        <w:rPr>
          <w:rFonts w:hint="eastAsia" w:ascii="宋体_GB2312" w:hAnsi="宋体_GB2312" w:eastAsia="宋体_GB2312"/>
          <w:kern w:val="21"/>
        </w:rPr>
        <w:t>图</w:t>
      </w:r>
      <w:r>
        <w:rPr>
          <w:rFonts w:ascii="宋体_GB2312" w:hAnsi="宋体_GB2312" w:eastAsia="宋体_GB2312"/>
          <w:kern w:val="21"/>
        </w:rPr>
        <w:t>4  288芯SMC箱体</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3816350" cy="3594100"/>
            <wp:effectExtent l="0" t="0" r="0" b="0"/>
            <wp:docPr id="6" name="图片 6" descr="T)7~D(PPST325}78({AK_4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T)7~D(PPST325}78({AK_4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816350" cy="3594100"/>
                    </a:xfrm>
                    <a:prstGeom prst="rect">
                      <a:avLst/>
                    </a:prstGeom>
                    <a:noFill/>
                    <a:ln>
                      <a:noFill/>
                    </a:ln>
                  </pic:spPr>
                </pic:pic>
              </a:graphicData>
            </a:graphic>
          </wp:inline>
        </w:drawing>
      </w:r>
    </w:p>
    <w:p>
      <w:pPr>
        <w:spacing w:line="360" w:lineRule="auto"/>
        <w:ind w:firstLine="480" w:firstLineChars="200"/>
        <w:jc w:val="center"/>
        <w:rPr>
          <w:rFonts w:ascii="宋体_GB2312" w:hAnsi="宋体_GB2312" w:eastAsia="宋体_GB2312"/>
          <w:sz w:val="21"/>
          <w:szCs w:val="21"/>
        </w:rPr>
      </w:pPr>
      <w:r>
        <w:rPr>
          <w:rFonts w:hint="eastAsia" w:ascii="宋体_GB2312" w:hAnsi="宋体_GB2312" w:eastAsia="宋体_GB2312"/>
          <w:kern w:val="21"/>
        </w:rPr>
        <w:t>图</w:t>
      </w:r>
      <w:r>
        <w:rPr>
          <w:rFonts w:ascii="宋体_GB2312" w:hAnsi="宋体_GB2312" w:eastAsia="宋体_GB2312"/>
          <w:kern w:val="21"/>
        </w:rPr>
        <w:t>5  288芯金属箱体</w:t>
      </w:r>
    </w:p>
    <w:p>
      <w:pPr>
        <w:spacing w:line="360" w:lineRule="auto"/>
        <w:ind w:firstLine="3990" w:firstLineChars="1900"/>
        <w:rPr>
          <w:rFonts w:ascii="宋体_GB2312" w:hAnsi="宋体_GB2312" w:eastAsia="宋体_GB2312"/>
          <w:sz w:val="21"/>
          <w:szCs w:val="21"/>
        </w:rPr>
      </w:pPr>
    </w:p>
    <w:p>
      <w:pPr>
        <w:spacing w:line="360" w:lineRule="auto"/>
        <w:ind w:firstLine="3990" w:firstLineChars="1900"/>
        <w:rPr>
          <w:rFonts w:ascii="宋体_GB2312" w:hAnsi="宋体_GB2312" w:eastAsia="宋体_GB2312"/>
          <w:sz w:val="21"/>
          <w:szCs w:val="21"/>
        </w:rPr>
      </w:pP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3776980" cy="3084830"/>
            <wp:effectExtent l="0" t="0" r="0" b="0"/>
            <wp:docPr id="7" name="图片 7" descr="(JS76)P)673MMAJZNUEBC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JS76)P)673MMAJZNUEBC0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776980" cy="3084830"/>
                    </a:xfrm>
                    <a:prstGeom prst="rect">
                      <a:avLst/>
                    </a:prstGeom>
                    <a:noFill/>
                    <a:ln>
                      <a:noFill/>
                    </a:ln>
                  </pic:spPr>
                </pic:pic>
              </a:graphicData>
            </a:graphic>
          </wp:inline>
        </w:drawing>
      </w:r>
    </w:p>
    <w:p>
      <w:pPr>
        <w:widowControl/>
        <w:jc w:val="center"/>
        <w:rPr>
          <w:rFonts w:ascii="宋体_GB2312" w:hAnsi="宋体_GB2312" w:eastAsia="宋体_GB2312" w:cs="宋体"/>
          <w:kern w:val="0"/>
          <w:szCs w:val="24"/>
        </w:rPr>
      </w:pPr>
    </w:p>
    <w:p>
      <w:pPr>
        <w:spacing w:line="360" w:lineRule="auto"/>
        <w:ind w:firstLine="480" w:firstLineChars="200"/>
        <w:jc w:val="center"/>
        <w:rPr>
          <w:rFonts w:ascii="宋体_GB2312" w:hAnsi="宋体_GB2312" w:eastAsia="宋体_GB2312"/>
          <w:kern w:val="21"/>
        </w:rPr>
      </w:pPr>
      <w:r>
        <w:rPr>
          <w:rFonts w:hint="eastAsia" w:ascii="宋体_GB2312" w:hAnsi="宋体_GB2312" w:eastAsia="宋体_GB2312"/>
          <w:kern w:val="21"/>
        </w:rPr>
        <w:t>图</w:t>
      </w:r>
      <w:r>
        <w:rPr>
          <w:rFonts w:ascii="宋体_GB2312" w:hAnsi="宋体_GB2312" w:eastAsia="宋体_GB2312"/>
          <w:kern w:val="21"/>
        </w:rPr>
        <w:t>6  576芯双面SMC箱体</w:t>
      </w:r>
    </w:p>
    <w:p>
      <w:pPr>
        <w:spacing w:line="360" w:lineRule="auto"/>
        <w:ind w:firstLine="480" w:firstLineChars="200"/>
        <w:jc w:val="center"/>
        <w:rPr>
          <w:rFonts w:ascii="宋体_GB2312" w:hAnsi="宋体_GB2312" w:eastAsia="宋体_GB2312"/>
          <w:kern w:val="21"/>
        </w:rPr>
      </w:pP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3967480" cy="3204210"/>
            <wp:effectExtent l="0" t="0" r="0" b="0"/>
            <wp:docPr id="8" name="图片 8" descr="E6~ZD`HM17D0R8CQ]N(0L6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6~ZD`HM17D0R8CQ]N(0L6Q"/>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967480" cy="3204210"/>
                    </a:xfrm>
                    <a:prstGeom prst="rect">
                      <a:avLst/>
                    </a:prstGeom>
                    <a:noFill/>
                    <a:ln>
                      <a:noFill/>
                    </a:ln>
                  </pic:spPr>
                </pic:pic>
              </a:graphicData>
            </a:graphic>
          </wp:inline>
        </w:drawing>
      </w:r>
    </w:p>
    <w:p>
      <w:pPr>
        <w:widowControl/>
        <w:jc w:val="center"/>
        <w:rPr>
          <w:rFonts w:ascii="宋体_GB2312" w:hAnsi="宋体_GB2312" w:eastAsia="宋体_GB2312" w:cs="宋体"/>
          <w:kern w:val="0"/>
          <w:szCs w:val="24"/>
        </w:rPr>
      </w:pPr>
    </w:p>
    <w:p>
      <w:pPr>
        <w:spacing w:line="360" w:lineRule="auto"/>
        <w:ind w:firstLine="480" w:firstLineChars="200"/>
        <w:jc w:val="center"/>
        <w:rPr>
          <w:rFonts w:ascii="宋体_GB2312" w:hAnsi="宋体_GB2312" w:eastAsia="宋体_GB2312"/>
          <w:kern w:val="21"/>
        </w:rPr>
      </w:pPr>
      <w:r>
        <w:rPr>
          <w:rFonts w:hint="eastAsia" w:ascii="宋体_GB2312" w:hAnsi="宋体_GB2312" w:eastAsia="宋体_GB2312"/>
          <w:kern w:val="21"/>
        </w:rPr>
        <w:t>图</w:t>
      </w:r>
      <w:r>
        <w:rPr>
          <w:rFonts w:ascii="宋体_GB2312" w:hAnsi="宋体_GB2312" w:eastAsia="宋体_GB2312"/>
          <w:kern w:val="21"/>
        </w:rPr>
        <w:t>7  576芯双面金属箱体</w:t>
      </w:r>
    </w:p>
    <w:p>
      <w:pPr>
        <w:spacing w:line="360" w:lineRule="auto"/>
        <w:ind w:firstLine="480" w:firstLineChars="200"/>
        <w:jc w:val="center"/>
        <w:rPr>
          <w:rFonts w:ascii="宋体_GB2312" w:hAnsi="宋体_GB2312" w:eastAsia="宋体_GB2312"/>
          <w:kern w:val="21"/>
        </w:rPr>
      </w:pPr>
    </w:p>
    <w:p>
      <w:pPr>
        <w:spacing w:line="360" w:lineRule="auto"/>
        <w:ind w:firstLine="480" w:firstLineChars="200"/>
        <w:jc w:val="center"/>
        <w:rPr>
          <w:rFonts w:ascii="宋体_GB2312" w:hAnsi="宋体_GB2312" w:eastAsia="宋体_GB2312"/>
          <w:kern w:val="21"/>
        </w:rPr>
      </w:pPr>
    </w:p>
    <w:p>
      <w:pPr>
        <w:spacing w:line="360" w:lineRule="auto"/>
        <w:ind w:firstLine="480" w:firstLineChars="200"/>
        <w:jc w:val="center"/>
        <w:rPr>
          <w:rFonts w:ascii="宋体_GB2312" w:hAnsi="宋体_GB2312" w:eastAsia="宋体_GB2312"/>
          <w:kern w:val="21"/>
        </w:rPr>
      </w:pP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4683125" cy="3411220"/>
            <wp:effectExtent l="0" t="0" r="0" b="0"/>
            <wp:docPr id="9" name="图片 9" descr="S_A7$P%9IEO3_J(E({IF1~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S_A7$P%9IEO3_J(E({IF1~H"/>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683125" cy="3411220"/>
                    </a:xfrm>
                    <a:prstGeom prst="rect">
                      <a:avLst/>
                    </a:prstGeom>
                    <a:noFill/>
                    <a:ln>
                      <a:noFill/>
                    </a:ln>
                  </pic:spPr>
                </pic:pic>
              </a:graphicData>
            </a:graphic>
          </wp:inline>
        </w:drawing>
      </w:r>
    </w:p>
    <w:p>
      <w:pPr>
        <w:spacing w:line="360" w:lineRule="auto"/>
        <w:ind w:firstLine="480" w:firstLineChars="200"/>
        <w:jc w:val="center"/>
        <w:rPr>
          <w:rFonts w:ascii="宋体_GB2312" w:hAnsi="宋体_GB2312" w:eastAsia="宋体_GB2312"/>
          <w:kern w:val="21"/>
        </w:rPr>
      </w:pPr>
      <w:r>
        <w:rPr>
          <w:rFonts w:hint="eastAsia" w:ascii="宋体_GB2312" w:hAnsi="宋体_GB2312" w:eastAsia="宋体_GB2312"/>
          <w:kern w:val="21"/>
        </w:rPr>
        <w:t>图</w:t>
      </w:r>
      <w:r>
        <w:rPr>
          <w:rFonts w:ascii="宋体_GB2312" w:hAnsi="宋体_GB2312" w:eastAsia="宋体_GB2312"/>
          <w:kern w:val="21"/>
        </w:rPr>
        <w:t>8  576芯单面SMC箱体（适用于盒式光分路器型）</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4540250" cy="3204210"/>
            <wp:effectExtent l="0" t="0" r="0" b="0"/>
            <wp:docPr id="10" name="图片 10" descr="@BV%]CW5()JT1@}$4WJ~}{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BV%]CW5()JT1@}$4WJ~}{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540250" cy="3204210"/>
                    </a:xfrm>
                    <a:prstGeom prst="rect">
                      <a:avLst/>
                    </a:prstGeom>
                    <a:noFill/>
                    <a:ln>
                      <a:noFill/>
                    </a:ln>
                  </pic:spPr>
                </pic:pic>
              </a:graphicData>
            </a:graphic>
          </wp:inline>
        </w:drawing>
      </w:r>
    </w:p>
    <w:p>
      <w:pPr>
        <w:spacing w:line="360" w:lineRule="auto"/>
        <w:ind w:firstLine="480" w:firstLineChars="200"/>
        <w:jc w:val="center"/>
        <w:rPr>
          <w:rFonts w:ascii="宋体_GB2312" w:hAnsi="宋体_GB2312" w:eastAsia="宋体_GB2312"/>
          <w:kern w:val="21"/>
        </w:rPr>
      </w:pPr>
      <w:r>
        <w:rPr>
          <w:rFonts w:hint="eastAsia" w:ascii="宋体_GB2312" w:hAnsi="宋体_GB2312" w:eastAsia="宋体_GB2312"/>
          <w:kern w:val="21"/>
        </w:rPr>
        <w:t>图</w:t>
      </w:r>
      <w:r>
        <w:rPr>
          <w:rFonts w:ascii="宋体_GB2312" w:hAnsi="宋体_GB2312" w:eastAsia="宋体_GB2312"/>
          <w:kern w:val="21"/>
        </w:rPr>
        <w:t xml:space="preserve">9  576芯单面金属箱体（适用于盒式光分路器型） </w:t>
      </w:r>
    </w:p>
    <w:p>
      <w:pPr>
        <w:pStyle w:val="62"/>
        <w:spacing w:line="560" w:lineRule="exact"/>
        <w:rPr>
          <w:rFonts w:ascii="宋体_GB2312" w:hAnsi="宋体_GB2312" w:eastAsia="宋体_GB2312"/>
          <w:sz w:val="24"/>
        </w:rPr>
      </w:pPr>
      <w:r>
        <w:rPr>
          <w:rFonts w:ascii="宋体_GB2312" w:hAnsi="宋体_GB2312" w:eastAsia="宋体_GB2312"/>
          <w:sz w:val="24"/>
        </w:rPr>
        <w:t xml:space="preserve">2.3.4 </w:t>
      </w:r>
      <w:r>
        <w:rPr>
          <w:rFonts w:hint="eastAsia" w:ascii="宋体_GB2312" w:hAnsi="宋体_GB2312" w:eastAsia="宋体_GB2312"/>
          <w:sz w:val="24"/>
        </w:rPr>
        <w:t>箱体底座</w:t>
      </w:r>
    </w:p>
    <w:p>
      <w:pPr>
        <w:spacing w:line="360" w:lineRule="auto"/>
        <w:ind w:firstLine="420" w:firstLineChars="200"/>
        <w:jc w:val="center"/>
        <w:rPr>
          <w:rFonts w:ascii="宋体_GB2312" w:hAnsi="宋体_GB2312" w:eastAsia="宋体_GB2312"/>
          <w:kern w:val="0"/>
          <w:sz w:val="21"/>
          <w:szCs w:val="21"/>
        </w:rPr>
      </w:pP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3522345" cy="2377440"/>
            <wp:effectExtent l="0" t="0" r="0" b="0"/>
            <wp:docPr id="11" name="图片 11" descr="3T`9AGI%M1KF_C_EE63)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T`9AGI%M1KF_C_EE63)H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522345" cy="2377440"/>
                    </a:xfrm>
                    <a:prstGeom prst="rect">
                      <a:avLst/>
                    </a:prstGeom>
                    <a:noFill/>
                    <a:ln>
                      <a:noFill/>
                    </a:ln>
                  </pic:spPr>
                </pic:pic>
              </a:graphicData>
            </a:graphic>
          </wp:inline>
        </w:drawing>
      </w:r>
    </w:p>
    <w:p>
      <w:pPr>
        <w:spacing w:line="360" w:lineRule="auto"/>
        <w:ind w:firstLine="2880" w:firstLineChars="1200"/>
        <w:rPr>
          <w:rFonts w:ascii="宋体_GB2312" w:hAnsi="宋体_GB2312" w:eastAsia="宋体_GB2312"/>
          <w:kern w:val="21"/>
        </w:rPr>
      </w:pPr>
      <w:r>
        <w:rPr>
          <w:rFonts w:hint="eastAsia" w:ascii="宋体_GB2312" w:hAnsi="宋体_GB2312" w:eastAsia="宋体_GB2312"/>
          <w:kern w:val="21"/>
        </w:rPr>
        <w:t>图</w:t>
      </w:r>
      <w:r>
        <w:rPr>
          <w:rFonts w:ascii="宋体_GB2312" w:hAnsi="宋体_GB2312" w:eastAsia="宋体_GB2312"/>
          <w:kern w:val="21"/>
        </w:rPr>
        <w:t xml:space="preserve">10 </w:t>
      </w:r>
      <w:r>
        <w:rPr>
          <w:rFonts w:hint="eastAsia" w:ascii="宋体_GB2312" w:hAnsi="宋体_GB2312" w:eastAsia="宋体_GB2312"/>
          <w:kern w:val="21"/>
        </w:rPr>
        <w:t>箱体底座结构示意图</w:t>
      </w:r>
    </w:p>
    <w:p>
      <w:pPr>
        <w:pStyle w:val="62"/>
        <w:spacing w:line="560" w:lineRule="exact"/>
        <w:rPr>
          <w:rFonts w:ascii="宋体_GB2312" w:hAnsi="宋体_GB2312" w:eastAsia="宋体_GB2312"/>
          <w:sz w:val="24"/>
        </w:rPr>
      </w:pPr>
      <w:r>
        <w:rPr>
          <w:rFonts w:ascii="宋体_GB2312" w:hAnsi="宋体_GB2312" w:eastAsia="宋体_GB2312"/>
          <w:sz w:val="24"/>
        </w:rPr>
        <w:t>2.3.5 箱体</w:t>
      </w:r>
      <w:r>
        <w:rPr>
          <w:rFonts w:hint="eastAsia" w:ascii="宋体_GB2312" w:hAnsi="宋体_GB2312" w:eastAsia="宋体_GB2312"/>
          <w:sz w:val="24"/>
        </w:rPr>
        <w:t>安装</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光缆交接箱的安装方式有：落地安装、壁挂安装、架空安装</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其示意图如下：</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099310" cy="2679700"/>
            <wp:effectExtent l="0" t="0" r="0" b="0"/>
            <wp:docPr id="12" name="图片 12" descr="{~6WH$7[UZZ90YLH6WFP_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6WH$7[UZZ90YLH6WFP_2Q"/>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099310" cy="2679700"/>
                    </a:xfrm>
                    <a:prstGeom prst="rect">
                      <a:avLst/>
                    </a:prstGeom>
                    <a:noFill/>
                    <a:ln>
                      <a:noFill/>
                    </a:ln>
                  </pic:spPr>
                </pic:pic>
              </a:graphicData>
            </a:graphic>
          </wp:inline>
        </w:drawing>
      </w:r>
    </w:p>
    <w:p>
      <w:pPr>
        <w:spacing w:line="360" w:lineRule="auto"/>
        <w:ind w:firstLine="420" w:firstLineChars="200"/>
        <w:jc w:val="center"/>
        <w:rPr>
          <w:rFonts w:ascii="宋体_GB2312" w:hAnsi="宋体_GB2312" w:eastAsia="宋体_GB2312"/>
          <w:sz w:val="21"/>
          <w:szCs w:val="21"/>
        </w:rPr>
      </w:pPr>
      <w:r>
        <w:rPr>
          <w:rFonts w:hint="eastAsia" w:ascii="宋体_GB2312" w:hAnsi="宋体_GB2312" w:eastAsia="宋体_GB2312"/>
          <w:sz w:val="21"/>
          <w:szCs w:val="21"/>
        </w:rPr>
        <w:t>落地式安装</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926080" cy="1797050"/>
            <wp:effectExtent l="0" t="0" r="0" b="0"/>
            <wp:docPr id="13" name="图片 13" descr="71E142JSJ33G@TBOSLAR`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71E142JSJ33G@TBOSLAR`EI"/>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26080" cy="1797050"/>
                    </a:xfrm>
                    <a:prstGeom prst="rect">
                      <a:avLst/>
                    </a:prstGeom>
                    <a:noFill/>
                    <a:ln>
                      <a:noFill/>
                    </a:ln>
                  </pic:spPr>
                </pic:pic>
              </a:graphicData>
            </a:graphic>
          </wp:inline>
        </w:drawing>
      </w:r>
    </w:p>
    <w:p>
      <w:pPr>
        <w:spacing w:line="360" w:lineRule="auto"/>
        <w:ind w:firstLine="420" w:firstLineChars="200"/>
        <w:jc w:val="center"/>
        <w:rPr>
          <w:rFonts w:ascii="宋体_GB2312" w:hAnsi="宋体_GB2312" w:eastAsia="宋体_GB2312"/>
          <w:sz w:val="21"/>
          <w:szCs w:val="21"/>
        </w:rPr>
      </w:pPr>
      <w:r>
        <w:rPr>
          <w:rFonts w:hint="eastAsia" w:ascii="宋体_GB2312" w:hAnsi="宋体_GB2312" w:eastAsia="宋体_GB2312"/>
          <w:sz w:val="21"/>
          <w:szCs w:val="21"/>
        </w:rPr>
        <w:t>壁挂式安装</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3498850" cy="3649345"/>
            <wp:effectExtent l="0" t="0" r="0" b="0"/>
            <wp:docPr id="14" name="图片 14" descr="P47_CH%%R]ID$W)@0U1{@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47_CH%%R]ID$W)@0U1{@Y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498850" cy="3649345"/>
                    </a:xfrm>
                    <a:prstGeom prst="rect">
                      <a:avLst/>
                    </a:prstGeom>
                    <a:noFill/>
                    <a:ln>
                      <a:noFill/>
                    </a:ln>
                  </pic:spPr>
                </pic:pic>
              </a:graphicData>
            </a:graphic>
          </wp:inline>
        </w:drawing>
      </w:r>
    </w:p>
    <w:p>
      <w:pPr>
        <w:spacing w:line="360" w:lineRule="auto"/>
        <w:ind w:firstLine="420" w:firstLineChars="200"/>
        <w:jc w:val="center"/>
        <w:rPr>
          <w:rFonts w:ascii="宋体_GB2312" w:hAnsi="宋体_GB2312" w:eastAsia="宋体_GB2312"/>
          <w:sz w:val="21"/>
          <w:szCs w:val="21"/>
        </w:rPr>
      </w:pPr>
      <w:r>
        <w:rPr>
          <w:rFonts w:hint="eastAsia" w:ascii="宋体_GB2312" w:hAnsi="宋体_GB2312" w:eastAsia="宋体_GB2312"/>
          <w:sz w:val="21"/>
          <w:szCs w:val="21"/>
        </w:rPr>
        <w:t>架空式安装</w:t>
      </w:r>
    </w:p>
    <w:p>
      <w:pPr>
        <w:spacing w:line="360" w:lineRule="auto"/>
        <w:ind w:firstLine="480" w:firstLineChars="200"/>
        <w:jc w:val="center"/>
        <w:rPr>
          <w:rFonts w:ascii="宋体_GB2312" w:hAnsi="宋体_GB2312" w:eastAsia="宋体_GB2312"/>
          <w:kern w:val="21"/>
        </w:rPr>
      </w:pPr>
      <w:r>
        <w:rPr>
          <w:rFonts w:hint="eastAsia" w:ascii="宋体_GB2312" w:hAnsi="宋体_GB2312" w:eastAsia="宋体_GB2312"/>
          <w:kern w:val="21"/>
        </w:rPr>
        <w:t>图</w:t>
      </w:r>
      <w:r>
        <w:rPr>
          <w:rFonts w:ascii="宋体_GB2312" w:hAnsi="宋体_GB2312" w:eastAsia="宋体_GB2312"/>
          <w:kern w:val="21"/>
        </w:rPr>
        <w:t xml:space="preserve">11 </w:t>
      </w:r>
      <w:r>
        <w:rPr>
          <w:rFonts w:hint="eastAsia" w:ascii="宋体_GB2312" w:hAnsi="宋体_GB2312" w:eastAsia="宋体_GB2312"/>
          <w:kern w:val="21"/>
        </w:rPr>
        <w:t>安装示意图</w:t>
      </w:r>
    </w:p>
    <w:p>
      <w:pPr>
        <w:pStyle w:val="62"/>
        <w:spacing w:line="560" w:lineRule="exact"/>
        <w:rPr>
          <w:rFonts w:ascii="宋体_GB2312" w:hAnsi="宋体_GB2312" w:eastAsia="宋体_GB2312"/>
          <w:sz w:val="24"/>
        </w:rPr>
      </w:pPr>
      <w:r>
        <w:rPr>
          <w:rFonts w:ascii="宋体_GB2312" w:hAnsi="宋体_GB2312" w:eastAsia="宋体_GB2312"/>
          <w:sz w:val="24"/>
        </w:rPr>
        <w:t xml:space="preserve">2.3.6 </w:t>
      </w:r>
      <w:r>
        <w:rPr>
          <w:rFonts w:hint="eastAsia" w:ascii="宋体_GB2312" w:hAnsi="宋体_GB2312" w:eastAsia="宋体_GB2312"/>
          <w:sz w:val="24"/>
        </w:rPr>
        <w:t>光分路器单元</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光分路器设备封装应经济高效、坚固且结构紧凑，设备内部光纤应保证一定的盘纤半径，保证盘绕的光纤不受损伤，所有器件应固定良好并可提供足够的供管理、连接、安装、维护、检验、测试用的空间。</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1）插片式</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插片式封装光分路器，提供光纤适配器，安装在分纤盒、光缆交接箱、</w:t>
      </w:r>
      <w:r>
        <w:rPr>
          <w:rFonts w:ascii="宋体_GB2312" w:hAnsi="宋体_GB2312" w:eastAsia="宋体_GB2312"/>
          <w:szCs w:val="24"/>
        </w:rPr>
        <w:t>ODF架等内置的插箱，配合导纤装置使用。</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插片式光分路器基本插片单元的外形尺寸应为</w:t>
      </w:r>
      <w:r>
        <w:rPr>
          <w:rFonts w:ascii="宋体_GB2312" w:hAnsi="宋体_GB2312" w:eastAsia="宋体_GB2312"/>
          <w:szCs w:val="24"/>
        </w:rPr>
        <w:t>130mm×100mm×25mm、占1个槽位。光分路比为16以上的插片式光分路器应占用L个槽位（L≥2），尺寸应为130mm×100mm×（26×L -2）mm。常用的光分路器的外形尺寸可参考表2</w:t>
      </w:r>
      <w:r>
        <w:rPr>
          <w:rFonts w:hint="eastAsia" w:ascii="宋体_GB2312" w:hAnsi="宋体_GB2312" w:eastAsia="宋体_GB2312"/>
          <w:szCs w:val="24"/>
        </w:rPr>
        <w:t>，但不限于表</w:t>
      </w:r>
      <w:r>
        <w:rPr>
          <w:rFonts w:ascii="宋体_GB2312" w:hAnsi="宋体_GB2312" w:eastAsia="宋体_GB2312"/>
          <w:szCs w:val="24"/>
        </w:rPr>
        <w:t>2</w:t>
      </w:r>
      <w:r>
        <w:rPr>
          <w:rFonts w:hint="eastAsia" w:ascii="宋体_GB2312" w:hAnsi="宋体_GB2312" w:eastAsia="宋体_GB2312"/>
          <w:szCs w:val="24"/>
        </w:rPr>
        <w:t>，可以采用紧凑排列方法，但必须保证操作的便利性。</w:t>
      </w:r>
    </w:p>
    <w:p>
      <w:pPr>
        <w:pStyle w:val="62"/>
        <w:spacing w:line="560" w:lineRule="exact"/>
        <w:ind w:firstLine="480" w:firstLineChars="200"/>
        <w:rPr>
          <w:rFonts w:ascii="宋体_GB2312" w:hAnsi="宋体_GB2312" w:eastAsia="宋体_GB2312"/>
          <w:sz w:val="24"/>
          <w:szCs w:val="24"/>
        </w:rPr>
      </w:pPr>
      <w:r>
        <w:rPr>
          <w:rFonts w:hint="eastAsia" w:ascii="宋体_GB2312" w:hAnsi="宋体_GB2312" w:eastAsia="宋体_GB2312"/>
          <w:sz w:val="24"/>
          <w:szCs w:val="24"/>
        </w:rPr>
        <w:t>表</w:t>
      </w:r>
      <w:r>
        <w:rPr>
          <w:rFonts w:ascii="宋体_GB2312" w:hAnsi="宋体_GB2312" w:eastAsia="宋体_GB2312"/>
          <w:sz w:val="24"/>
          <w:szCs w:val="24"/>
        </w:rPr>
        <w:t>2：常用插片式封装光分路器参考外形尺寸表</w:t>
      </w:r>
    </w:p>
    <w:tbl>
      <w:tblPr>
        <w:tblStyle w:val="37"/>
        <w:tblW w:w="9216" w:type="dxa"/>
        <w:jc w:val="center"/>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fixed"/>
        <w:tblCellMar>
          <w:top w:w="0" w:type="dxa"/>
          <w:left w:w="108" w:type="dxa"/>
          <w:bottom w:w="0" w:type="dxa"/>
          <w:right w:w="108" w:type="dxa"/>
        </w:tblCellMar>
      </w:tblPr>
      <w:tblGrid>
        <w:gridCol w:w="3515"/>
        <w:gridCol w:w="2037"/>
        <w:gridCol w:w="3664"/>
      </w:tblGrid>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3515" w:type="dxa"/>
            <w:vAlign w:val="center"/>
          </w:tcPr>
          <w:p>
            <w:pPr>
              <w:spacing w:line="360" w:lineRule="auto"/>
              <w:ind w:firstLine="420" w:firstLineChars="200"/>
              <w:jc w:val="center"/>
              <w:rPr>
                <w:rFonts w:ascii="宋体_GB2312" w:hAnsi="宋体_GB2312" w:eastAsia="宋体_GB2312"/>
                <w:sz w:val="21"/>
                <w:szCs w:val="21"/>
              </w:rPr>
            </w:pPr>
            <w:r>
              <w:rPr>
                <w:rFonts w:hint="eastAsia" w:ascii="宋体_GB2312" w:hAnsi="宋体_GB2312" w:eastAsia="宋体_GB2312"/>
                <w:sz w:val="21"/>
                <w:szCs w:val="21"/>
              </w:rPr>
              <w:t>光分路器插片型号</w:t>
            </w:r>
          </w:p>
        </w:tc>
        <w:tc>
          <w:tcPr>
            <w:tcW w:w="2037" w:type="dxa"/>
            <w:vAlign w:val="center"/>
          </w:tcPr>
          <w:p>
            <w:pPr>
              <w:spacing w:line="360" w:lineRule="auto"/>
              <w:jc w:val="center"/>
              <w:rPr>
                <w:rFonts w:ascii="宋体_GB2312" w:hAnsi="宋体_GB2312" w:eastAsia="宋体_GB2312"/>
                <w:sz w:val="21"/>
                <w:szCs w:val="21"/>
              </w:rPr>
            </w:pPr>
            <w:r>
              <w:rPr>
                <w:rFonts w:hint="eastAsia" w:ascii="宋体_GB2312" w:hAnsi="宋体_GB2312" w:eastAsia="宋体_GB2312"/>
                <w:sz w:val="21"/>
                <w:szCs w:val="21"/>
              </w:rPr>
              <w:t>插片占用槽位数</w:t>
            </w:r>
          </w:p>
        </w:tc>
        <w:tc>
          <w:tcPr>
            <w:tcW w:w="3664" w:type="dxa"/>
            <w:vAlign w:val="center"/>
          </w:tcPr>
          <w:p>
            <w:pPr>
              <w:spacing w:line="360" w:lineRule="auto"/>
              <w:ind w:firstLine="420" w:firstLineChars="200"/>
              <w:jc w:val="center"/>
              <w:rPr>
                <w:rFonts w:ascii="宋体_GB2312" w:hAnsi="宋体_GB2312" w:eastAsia="宋体_GB2312"/>
                <w:sz w:val="21"/>
                <w:szCs w:val="21"/>
              </w:rPr>
            </w:pPr>
            <w:r>
              <w:rPr>
                <w:rFonts w:hint="eastAsia" w:ascii="宋体_GB2312" w:hAnsi="宋体_GB2312" w:eastAsia="宋体_GB2312"/>
                <w:sz w:val="21"/>
                <w:szCs w:val="21"/>
              </w:rPr>
              <w:t>插片外形尺寸（</w:t>
            </w:r>
            <w:r>
              <w:rPr>
                <w:rFonts w:ascii="宋体_GB2312" w:hAnsi="宋体_GB2312" w:eastAsia="宋体_GB2312"/>
                <w:sz w:val="21"/>
                <w:szCs w:val="21"/>
              </w:rPr>
              <w:t>mm）</w:t>
            </w:r>
          </w:p>
          <w:p>
            <w:pPr>
              <w:spacing w:line="360" w:lineRule="auto"/>
              <w:ind w:firstLine="420" w:firstLineChars="200"/>
              <w:jc w:val="center"/>
              <w:rPr>
                <w:rFonts w:ascii="宋体_GB2312" w:hAnsi="宋体_GB2312" w:eastAsia="宋体_GB2312"/>
                <w:sz w:val="21"/>
                <w:szCs w:val="21"/>
              </w:rPr>
            </w:pPr>
            <w:r>
              <w:rPr>
                <w:rFonts w:ascii="宋体_GB2312" w:hAnsi="宋体_GB2312" w:eastAsia="宋体_GB2312"/>
                <w:sz w:val="21"/>
                <w:szCs w:val="21"/>
              </w:rPr>
              <w:t>(宽)×(深)×(厚)</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3515" w:type="dxa"/>
            <w:vAlign w:val="center"/>
          </w:tcPr>
          <w:p>
            <w:pPr>
              <w:spacing w:line="360" w:lineRule="auto"/>
              <w:rPr>
                <w:rFonts w:ascii="宋体_GB2312" w:hAnsi="宋体_GB2312" w:eastAsia="宋体_GB2312"/>
                <w:sz w:val="21"/>
                <w:szCs w:val="21"/>
              </w:rPr>
            </w:pPr>
            <w:r>
              <w:rPr>
                <w:rFonts w:ascii="宋体_GB2312" w:hAnsi="宋体_GB2312" w:eastAsia="宋体_GB2312"/>
                <w:sz w:val="21"/>
                <w:szCs w:val="21"/>
              </w:rPr>
              <w:t>1/2x4光分路器插片（SC、LC型）</w:t>
            </w:r>
          </w:p>
        </w:tc>
        <w:tc>
          <w:tcPr>
            <w:tcW w:w="2037" w:type="dxa"/>
            <w:vAlign w:val="center"/>
          </w:tcPr>
          <w:p>
            <w:pPr>
              <w:spacing w:line="360" w:lineRule="auto"/>
              <w:ind w:firstLine="420" w:firstLineChars="200"/>
              <w:jc w:val="center"/>
              <w:rPr>
                <w:rFonts w:ascii="宋体_GB2312" w:hAnsi="宋体_GB2312" w:eastAsia="宋体_GB2312"/>
                <w:sz w:val="21"/>
                <w:szCs w:val="21"/>
              </w:rPr>
            </w:pPr>
            <w:r>
              <w:rPr>
                <w:rFonts w:ascii="宋体_GB2312" w:hAnsi="宋体_GB2312" w:eastAsia="宋体_GB2312"/>
                <w:sz w:val="21"/>
                <w:szCs w:val="21"/>
              </w:rPr>
              <w:t>1</w:t>
            </w:r>
          </w:p>
        </w:tc>
        <w:tc>
          <w:tcPr>
            <w:tcW w:w="3664" w:type="dxa"/>
            <w:vAlign w:val="center"/>
          </w:tcPr>
          <w:p>
            <w:pPr>
              <w:spacing w:line="360" w:lineRule="auto"/>
              <w:ind w:firstLine="420" w:firstLineChars="200"/>
              <w:jc w:val="center"/>
              <w:rPr>
                <w:rFonts w:ascii="宋体_GB2312" w:hAnsi="宋体_GB2312" w:eastAsia="宋体_GB2312"/>
                <w:sz w:val="21"/>
                <w:szCs w:val="21"/>
              </w:rPr>
            </w:pPr>
            <w:r>
              <w:rPr>
                <w:rFonts w:ascii="宋体_GB2312" w:hAnsi="宋体_GB2312" w:eastAsia="宋体_GB2312"/>
                <w:sz w:val="21"/>
                <w:szCs w:val="21"/>
              </w:rPr>
              <w:t>130×100×25</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3515" w:type="dxa"/>
            <w:vAlign w:val="center"/>
          </w:tcPr>
          <w:p>
            <w:pPr>
              <w:spacing w:line="360" w:lineRule="auto"/>
              <w:rPr>
                <w:rFonts w:ascii="宋体_GB2312" w:hAnsi="宋体_GB2312" w:eastAsia="宋体_GB2312"/>
                <w:sz w:val="21"/>
                <w:szCs w:val="21"/>
              </w:rPr>
            </w:pPr>
            <w:r>
              <w:rPr>
                <w:rFonts w:ascii="宋体_GB2312" w:hAnsi="宋体_GB2312" w:eastAsia="宋体_GB2312"/>
                <w:sz w:val="21"/>
                <w:szCs w:val="21"/>
              </w:rPr>
              <w:t>1x8光分路器插片（SC、LC型）</w:t>
            </w:r>
          </w:p>
        </w:tc>
        <w:tc>
          <w:tcPr>
            <w:tcW w:w="2037" w:type="dxa"/>
            <w:vAlign w:val="center"/>
          </w:tcPr>
          <w:p>
            <w:pPr>
              <w:spacing w:line="360" w:lineRule="auto"/>
              <w:ind w:firstLine="420" w:firstLineChars="200"/>
              <w:jc w:val="center"/>
              <w:rPr>
                <w:rFonts w:ascii="宋体_GB2312" w:hAnsi="宋体_GB2312" w:eastAsia="宋体_GB2312"/>
                <w:sz w:val="21"/>
                <w:szCs w:val="21"/>
              </w:rPr>
            </w:pPr>
            <w:r>
              <w:rPr>
                <w:rFonts w:ascii="宋体_GB2312" w:hAnsi="宋体_GB2312" w:eastAsia="宋体_GB2312"/>
                <w:sz w:val="21"/>
                <w:szCs w:val="21"/>
              </w:rPr>
              <w:t>1</w:t>
            </w:r>
          </w:p>
        </w:tc>
        <w:tc>
          <w:tcPr>
            <w:tcW w:w="3664" w:type="dxa"/>
            <w:vAlign w:val="center"/>
          </w:tcPr>
          <w:p>
            <w:pPr>
              <w:spacing w:line="360" w:lineRule="auto"/>
              <w:ind w:firstLine="420" w:firstLineChars="200"/>
              <w:jc w:val="center"/>
              <w:rPr>
                <w:rFonts w:ascii="宋体_GB2312" w:hAnsi="宋体_GB2312" w:eastAsia="宋体_GB2312"/>
                <w:sz w:val="21"/>
                <w:szCs w:val="21"/>
              </w:rPr>
            </w:pPr>
            <w:r>
              <w:rPr>
                <w:rFonts w:ascii="宋体_GB2312" w:hAnsi="宋体_GB2312" w:eastAsia="宋体_GB2312"/>
                <w:sz w:val="21"/>
                <w:szCs w:val="21"/>
              </w:rPr>
              <w:t>130×100×25</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3515" w:type="dxa"/>
            <w:vAlign w:val="center"/>
          </w:tcPr>
          <w:p>
            <w:pPr>
              <w:spacing w:line="360" w:lineRule="auto"/>
              <w:rPr>
                <w:rFonts w:ascii="宋体_GB2312" w:hAnsi="宋体_GB2312" w:eastAsia="宋体_GB2312"/>
                <w:sz w:val="21"/>
                <w:szCs w:val="21"/>
              </w:rPr>
            </w:pPr>
            <w:r>
              <w:rPr>
                <w:rFonts w:ascii="宋体_GB2312" w:hAnsi="宋体_GB2312" w:eastAsia="宋体_GB2312"/>
                <w:sz w:val="21"/>
                <w:szCs w:val="21"/>
              </w:rPr>
              <w:t>1/2x16光分路器插片（SC、LC型）</w:t>
            </w:r>
          </w:p>
        </w:tc>
        <w:tc>
          <w:tcPr>
            <w:tcW w:w="2037" w:type="dxa"/>
            <w:vAlign w:val="center"/>
          </w:tcPr>
          <w:p>
            <w:pPr>
              <w:spacing w:line="360" w:lineRule="auto"/>
              <w:ind w:firstLine="420" w:firstLineChars="200"/>
              <w:jc w:val="center"/>
              <w:rPr>
                <w:rFonts w:ascii="宋体_GB2312" w:hAnsi="宋体_GB2312" w:eastAsia="宋体_GB2312"/>
                <w:sz w:val="21"/>
                <w:szCs w:val="21"/>
              </w:rPr>
            </w:pPr>
            <w:r>
              <w:rPr>
                <w:rFonts w:ascii="宋体_GB2312" w:hAnsi="宋体_GB2312" w:eastAsia="宋体_GB2312"/>
                <w:sz w:val="21"/>
                <w:szCs w:val="21"/>
              </w:rPr>
              <w:t>2</w:t>
            </w:r>
          </w:p>
        </w:tc>
        <w:tc>
          <w:tcPr>
            <w:tcW w:w="3664" w:type="dxa"/>
            <w:vAlign w:val="center"/>
          </w:tcPr>
          <w:p>
            <w:pPr>
              <w:spacing w:line="360" w:lineRule="auto"/>
              <w:ind w:firstLine="420" w:firstLineChars="200"/>
              <w:jc w:val="center"/>
              <w:rPr>
                <w:rFonts w:ascii="宋体_GB2312" w:hAnsi="宋体_GB2312" w:eastAsia="宋体_GB2312"/>
                <w:sz w:val="21"/>
                <w:szCs w:val="21"/>
              </w:rPr>
            </w:pPr>
            <w:r>
              <w:rPr>
                <w:rFonts w:ascii="宋体_GB2312" w:hAnsi="宋体_GB2312" w:eastAsia="宋体_GB2312"/>
                <w:sz w:val="21"/>
                <w:szCs w:val="21"/>
              </w:rPr>
              <w:t>130×100×50</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3515" w:type="dxa"/>
            <w:vAlign w:val="center"/>
          </w:tcPr>
          <w:p>
            <w:pPr>
              <w:spacing w:line="360" w:lineRule="auto"/>
              <w:rPr>
                <w:rFonts w:ascii="宋体_GB2312" w:hAnsi="宋体_GB2312" w:eastAsia="宋体_GB2312"/>
                <w:sz w:val="21"/>
                <w:szCs w:val="21"/>
              </w:rPr>
            </w:pPr>
            <w:r>
              <w:rPr>
                <w:rFonts w:ascii="宋体_GB2312" w:hAnsi="宋体_GB2312" w:eastAsia="宋体_GB2312"/>
                <w:sz w:val="21"/>
                <w:szCs w:val="21"/>
              </w:rPr>
              <w:t>1/2x32光分路器插片（SC、LC型）</w:t>
            </w:r>
          </w:p>
        </w:tc>
        <w:tc>
          <w:tcPr>
            <w:tcW w:w="2037" w:type="dxa"/>
            <w:vAlign w:val="center"/>
          </w:tcPr>
          <w:p>
            <w:pPr>
              <w:spacing w:line="360" w:lineRule="auto"/>
              <w:ind w:firstLine="420" w:firstLineChars="200"/>
              <w:jc w:val="center"/>
              <w:rPr>
                <w:rFonts w:ascii="宋体_GB2312" w:hAnsi="宋体_GB2312" w:eastAsia="宋体_GB2312"/>
                <w:sz w:val="21"/>
                <w:szCs w:val="21"/>
              </w:rPr>
            </w:pPr>
            <w:r>
              <w:rPr>
                <w:rFonts w:ascii="宋体_GB2312" w:hAnsi="宋体_GB2312" w:eastAsia="宋体_GB2312"/>
                <w:sz w:val="21"/>
                <w:szCs w:val="21"/>
              </w:rPr>
              <w:t>4</w:t>
            </w:r>
          </w:p>
        </w:tc>
        <w:tc>
          <w:tcPr>
            <w:tcW w:w="3664" w:type="dxa"/>
            <w:vAlign w:val="center"/>
          </w:tcPr>
          <w:p>
            <w:pPr>
              <w:spacing w:line="360" w:lineRule="auto"/>
              <w:ind w:firstLine="420" w:firstLineChars="200"/>
              <w:jc w:val="center"/>
              <w:rPr>
                <w:rFonts w:ascii="宋体_GB2312" w:hAnsi="宋体_GB2312" w:eastAsia="宋体_GB2312"/>
                <w:sz w:val="21"/>
                <w:szCs w:val="21"/>
              </w:rPr>
            </w:pPr>
            <w:r>
              <w:rPr>
                <w:rFonts w:ascii="宋体_GB2312" w:hAnsi="宋体_GB2312" w:eastAsia="宋体_GB2312"/>
                <w:sz w:val="21"/>
                <w:szCs w:val="21"/>
              </w:rPr>
              <w:t>130×100×102</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3515" w:type="dxa"/>
            <w:vAlign w:val="center"/>
          </w:tcPr>
          <w:p>
            <w:pPr>
              <w:spacing w:line="360" w:lineRule="auto"/>
              <w:rPr>
                <w:rFonts w:ascii="宋体_GB2312" w:hAnsi="宋体_GB2312" w:eastAsia="宋体_GB2312"/>
                <w:sz w:val="21"/>
                <w:szCs w:val="21"/>
              </w:rPr>
            </w:pPr>
            <w:r>
              <w:rPr>
                <w:rFonts w:ascii="宋体_GB2312" w:hAnsi="宋体_GB2312" w:eastAsia="宋体_GB2312"/>
                <w:sz w:val="21"/>
                <w:szCs w:val="21"/>
              </w:rPr>
              <w:t>1/2x64光分路器插片（SC型、LC型）</w:t>
            </w:r>
          </w:p>
        </w:tc>
        <w:tc>
          <w:tcPr>
            <w:tcW w:w="2037" w:type="dxa"/>
            <w:vAlign w:val="center"/>
          </w:tcPr>
          <w:p>
            <w:pPr>
              <w:spacing w:line="360" w:lineRule="auto"/>
              <w:ind w:firstLine="420" w:firstLineChars="200"/>
              <w:jc w:val="center"/>
              <w:rPr>
                <w:rFonts w:ascii="宋体_GB2312" w:hAnsi="宋体_GB2312" w:eastAsia="宋体_GB2312"/>
                <w:sz w:val="21"/>
                <w:szCs w:val="21"/>
              </w:rPr>
            </w:pPr>
            <w:r>
              <w:rPr>
                <w:rFonts w:ascii="宋体_GB2312" w:hAnsi="宋体_GB2312" w:eastAsia="宋体_GB2312"/>
                <w:sz w:val="21"/>
                <w:szCs w:val="21"/>
              </w:rPr>
              <w:t>8</w:t>
            </w:r>
          </w:p>
        </w:tc>
        <w:tc>
          <w:tcPr>
            <w:tcW w:w="3664" w:type="dxa"/>
            <w:vAlign w:val="center"/>
          </w:tcPr>
          <w:p>
            <w:pPr>
              <w:spacing w:line="360" w:lineRule="auto"/>
              <w:ind w:firstLine="420" w:firstLineChars="200"/>
              <w:jc w:val="center"/>
              <w:rPr>
                <w:rFonts w:ascii="宋体_GB2312" w:hAnsi="宋体_GB2312" w:eastAsia="宋体_GB2312"/>
                <w:sz w:val="21"/>
                <w:szCs w:val="21"/>
              </w:rPr>
            </w:pPr>
            <w:r>
              <w:rPr>
                <w:rFonts w:ascii="宋体_GB2312" w:hAnsi="宋体_GB2312" w:eastAsia="宋体_GB2312"/>
                <w:sz w:val="21"/>
                <w:szCs w:val="21"/>
              </w:rPr>
              <w:t>130×100×206</w:t>
            </w:r>
          </w:p>
        </w:tc>
      </w:tr>
    </w:tbl>
    <w:p>
      <w:pPr>
        <w:spacing w:line="360" w:lineRule="auto"/>
        <w:ind w:firstLine="420" w:firstLineChars="200"/>
        <w:rPr>
          <w:rFonts w:ascii="宋体_GB2312" w:hAnsi="宋体_GB2312" w:eastAsia="宋体_GB2312"/>
          <w:sz w:val="21"/>
          <w:szCs w:val="21"/>
        </w:rPr>
      </w:pP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常用插片式封装光分路器的具体尺寸如下：</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520315" cy="2846705"/>
            <wp:effectExtent l="0" t="0" r="0" b="0"/>
            <wp:docPr id="15" name="图片 15" descr="}}BE`VKDDDASM3W~0)`U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BE`VKDDDASM3W~0)`U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520315" cy="2846705"/>
                    </a:xfrm>
                    <a:prstGeom prst="rect">
                      <a:avLst/>
                    </a:prstGeom>
                    <a:noFill/>
                    <a:ln>
                      <a:noFill/>
                    </a:ln>
                  </pic:spPr>
                </pic:pic>
              </a:graphicData>
            </a:graphic>
          </wp:inline>
        </w:drawing>
      </w:r>
    </w:p>
    <w:p>
      <w:pPr>
        <w:spacing w:line="360" w:lineRule="auto"/>
        <w:ind w:firstLine="2880" w:firstLineChars="1200"/>
        <w:rPr>
          <w:rFonts w:ascii="宋体_GB2312" w:hAnsi="宋体_GB2312" w:eastAsia="宋体_GB2312"/>
          <w:kern w:val="21"/>
        </w:rPr>
      </w:pPr>
      <w:r>
        <w:rPr>
          <w:rFonts w:hint="eastAsia" w:ascii="宋体_GB2312" w:hAnsi="宋体_GB2312" w:eastAsia="宋体_GB2312"/>
          <w:kern w:val="21"/>
        </w:rPr>
        <w:t>图</w:t>
      </w:r>
      <w:r>
        <w:rPr>
          <w:rFonts w:ascii="宋体_GB2312" w:hAnsi="宋体_GB2312" w:eastAsia="宋体_GB2312"/>
          <w:kern w:val="21"/>
        </w:rPr>
        <w:t xml:space="preserve">12 </w:t>
      </w:r>
      <w:r>
        <w:rPr>
          <w:rFonts w:hint="eastAsia" w:ascii="宋体_GB2312" w:hAnsi="宋体_GB2312" w:eastAsia="宋体_GB2312"/>
          <w:kern w:val="21"/>
        </w:rPr>
        <w:t>光分路器插片尺寸（</w:t>
      </w:r>
      <w:r>
        <w:rPr>
          <w:rFonts w:ascii="宋体_GB2312" w:hAnsi="宋体_GB2312" w:eastAsia="宋体_GB2312"/>
          <w:kern w:val="21"/>
        </w:rPr>
        <w:t>1槽位）</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377440" cy="2941955"/>
            <wp:effectExtent l="0" t="0" r="0" b="0"/>
            <wp:docPr id="16" name="图片 16" descr="QC%6N53HWX[Z2~8NH1Q}QY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QC%6N53HWX[Z2~8NH1Q}QYV"/>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377440" cy="2941955"/>
                    </a:xfrm>
                    <a:prstGeom prst="rect">
                      <a:avLst/>
                    </a:prstGeom>
                    <a:noFill/>
                    <a:ln>
                      <a:noFill/>
                    </a:ln>
                  </pic:spPr>
                </pic:pic>
              </a:graphicData>
            </a:graphic>
          </wp:inline>
        </w:drawing>
      </w:r>
    </w:p>
    <w:p>
      <w:pPr>
        <w:spacing w:line="360" w:lineRule="auto"/>
        <w:ind w:firstLine="2760" w:firstLineChars="1150"/>
        <w:rPr>
          <w:rFonts w:ascii="宋体_GB2312" w:hAnsi="宋体_GB2312" w:eastAsia="宋体_GB2312"/>
          <w:kern w:val="21"/>
        </w:rPr>
      </w:pPr>
      <w:r>
        <w:rPr>
          <w:rFonts w:hint="eastAsia" w:ascii="宋体_GB2312" w:hAnsi="宋体_GB2312" w:eastAsia="宋体_GB2312"/>
          <w:kern w:val="21"/>
        </w:rPr>
        <w:t>图</w:t>
      </w:r>
      <w:r>
        <w:rPr>
          <w:rFonts w:ascii="宋体_GB2312" w:hAnsi="宋体_GB2312" w:eastAsia="宋体_GB2312"/>
          <w:kern w:val="21"/>
        </w:rPr>
        <w:t xml:space="preserve">13 </w:t>
      </w:r>
      <w:r>
        <w:rPr>
          <w:rFonts w:hint="eastAsia" w:ascii="宋体_GB2312" w:hAnsi="宋体_GB2312" w:eastAsia="宋体_GB2312"/>
          <w:kern w:val="21"/>
        </w:rPr>
        <w:t>光分路器插片尺寸（</w:t>
      </w:r>
      <w:r>
        <w:rPr>
          <w:rFonts w:ascii="宋体_GB2312" w:hAnsi="宋体_GB2312" w:eastAsia="宋体_GB2312"/>
          <w:kern w:val="21"/>
        </w:rPr>
        <w:t>2槽位）</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759075" cy="3427095"/>
            <wp:effectExtent l="0" t="0" r="0" b="0"/>
            <wp:docPr id="17" name="图片 17" descr="TTHCA0[AMM{TEK1@73T3Y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TTHCA0[AMM{TEK1@73T3YK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759075" cy="3427095"/>
                    </a:xfrm>
                    <a:prstGeom prst="rect">
                      <a:avLst/>
                    </a:prstGeom>
                    <a:noFill/>
                    <a:ln>
                      <a:noFill/>
                    </a:ln>
                  </pic:spPr>
                </pic:pic>
              </a:graphicData>
            </a:graphic>
          </wp:inline>
        </w:drawing>
      </w:r>
    </w:p>
    <w:p>
      <w:pPr>
        <w:spacing w:line="360" w:lineRule="auto"/>
        <w:ind w:firstLine="3240" w:firstLineChars="1350"/>
        <w:rPr>
          <w:rFonts w:ascii="宋体_GB2312" w:hAnsi="宋体_GB2312" w:eastAsia="宋体_GB2312"/>
          <w:kern w:val="21"/>
        </w:rPr>
      </w:pPr>
      <w:r>
        <w:rPr>
          <w:rFonts w:hint="eastAsia" w:ascii="宋体_GB2312" w:hAnsi="宋体_GB2312" w:eastAsia="宋体_GB2312"/>
          <w:kern w:val="21"/>
        </w:rPr>
        <w:t>图</w:t>
      </w:r>
      <w:r>
        <w:rPr>
          <w:rFonts w:ascii="宋体_GB2312" w:hAnsi="宋体_GB2312" w:eastAsia="宋体_GB2312"/>
          <w:kern w:val="21"/>
        </w:rPr>
        <w:t>14光分路器插片尺寸（4槽位）</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552065" cy="3363595"/>
            <wp:effectExtent l="0" t="0" r="0" b="0"/>
            <wp:docPr id="18" name="图片 18" descr="[GT@849Z~`KQL{2E{(}L{Q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GT@849Z~`KQL{2E{(}L{Q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552065" cy="3363595"/>
                    </a:xfrm>
                    <a:prstGeom prst="rect">
                      <a:avLst/>
                    </a:prstGeom>
                    <a:noFill/>
                    <a:ln>
                      <a:noFill/>
                    </a:ln>
                  </pic:spPr>
                </pic:pic>
              </a:graphicData>
            </a:graphic>
          </wp:inline>
        </w:drawing>
      </w:r>
    </w:p>
    <w:p>
      <w:pPr>
        <w:pStyle w:val="55"/>
        <w:spacing w:line="360" w:lineRule="auto"/>
        <w:ind w:firstLine="420"/>
        <w:jc w:val="center"/>
        <w:rPr>
          <w:rFonts w:ascii="宋体_GB2312" w:hAnsi="宋体_GB2312" w:eastAsia="宋体_GB2312"/>
          <w:kern w:val="21"/>
        </w:rPr>
      </w:pPr>
      <w:r>
        <w:rPr>
          <w:rFonts w:ascii="宋体_GB2312" w:hAnsi="宋体_GB2312" w:eastAsia="宋体_GB2312"/>
          <w:szCs w:val="21"/>
        </w:rPr>
        <w:t xml:space="preserve">  </w:t>
      </w:r>
      <w:r>
        <w:rPr>
          <w:rFonts w:hint="eastAsia" w:ascii="宋体_GB2312" w:hAnsi="宋体_GB2312" w:eastAsia="宋体_GB2312"/>
          <w:sz w:val="24"/>
          <w:szCs w:val="24"/>
        </w:rPr>
        <w:t>图</w:t>
      </w:r>
      <w:r>
        <w:rPr>
          <w:rFonts w:ascii="宋体_GB2312" w:hAnsi="宋体_GB2312" w:eastAsia="宋体_GB2312"/>
          <w:sz w:val="24"/>
          <w:szCs w:val="24"/>
        </w:rPr>
        <w:t xml:space="preserve">15 </w:t>
      </w:r>
      <w:r>
        <w:rPr>
          <w:rFonts w:hint="eastAsia" w:ascii="宋体_GB2312" w:hAnsi="宋体_GB2312" w:eastAsia="宋体_GB2312"/>
          <w:sz w:val="24"/>
          <w:szCs w:val="24"/>
        </w:rPr>
        <w:t>光分路器插片尺寸（</w:t>
      </w:r>
      <w:r>
        <w:rPr>
          <w:rFonts w:ascii="宋体_GB2312" w:hAnsi="宋体_GB2312" w:eastAsia="宋体_GB2312"/>
          <w:sz w:val="24"/>
          <w:szCs w:val="24"/>
        </w:rPr>
        <w:t>8槽位）</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2）盒式</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盒式封装光分路器直接出Φ</w:t>
      </w:r>
      <w:r>
        <w:rPr>
          <w:rFonts w:ascii="宋体_GB2312" w:hAnsi="宋体_GB2312" w:eastAsia="宋体_GB2312"/>
          <w:szCs w:val="24"/>
        </w:rPr>
        <w:t>2.0mm尾纤插头。</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盒式封装光分路器外形、尺寸要求：</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1/2×2/4/8盒式光分路器盒体尺寸应不大于130mm×80mm×10mm；</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1/2×16/32盒式光分路器盒体尺寸应不大于130mm×80mm×18mm；</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1/2×64盒式光分路器盒体尺寸应不大于141mm×115mm×18mm；</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1/2×128盒式光分路器盒体尺寸暂不作规定。</w:t>
      </w:r>
    </w:p>
    <w:p>
      <w:pPr>
        <w:pStyle w:val="62"/>
        <w:spacing w:line="560" w:lineRule="exact"/>
        <w:rPr>
          <w:rFonts w:ascii="宋体_GB2312" w:hAnsi="宋体_GB2312" w:eastAsia="宋体_GB2312"/>
          <w:sz w:val="24"/>
        </w:rPr>
      </w:pPr>
      <w:r>
        <w:rPr>
          <w:rFonts w:ascii="宋体_GB2312" w:hAnsi="宋体_GB2312" w:eastAsia="宋体_GB2312"/>
          <w:sz w:val="24"/>
        </w:rPr>
        <w:t>2.3.7  6位导轨板结构图</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安装在箱体内的左右立柱上，每组（含</w:t>
      </w:r>
      <w:r>
        <w:rPr>
          <w:rFonts w:ascii="宋体_GB2312" w:hAnsi="宋体_GB2312" w:eastAsia="宋体_GB2312"/>
          <w:szCs w:val="24"/>
        </w:rPr>
        <w:t>2个）6位导轨板，可安装6个12芯熔配一体化托盘或6个1/2×16分路器托盘，如果安装1/2×32分路器托盘，最大可安装3个。</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790825" cy="3077210"/>
            <wp:effectExtent l="0" t="0" r="0" b="0"/>
            <wp:docPr id="19" name="图片 19" descr="W`Z}[ZRA9VZ{PB]L`INWNG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Z}[ZRA9VZ{PB]L`INWNG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790825" cy="307721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16  6位导轨板结构图</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28" w:name="_Toc20289"/>
      <w:bookmarkStart w:id="29" w:name="_Toc24318"/>
      <w:bookmarkStart w:id="30" w:name="_Toc27401409"/>
      <w:bookmarkStart w:id="31" w:name="_Toc4874"/>
      <w:r>
        <w:rPr>
          <w:rFonts w:ascii="宋体_GB2312" w:hAnsi="宋体_GB2312" w:eastAsia="宋体_GB2312"/>
          <w:bCs/>
          <w:sz w:val="24"/>
          <w:szCs w:val="24"/>
        </w:rPr>
        <w:t xml:space="preserve">3 </w:t>
      </w:r>
      <w:bookmarkStart w:id="32" w:name="_Toc322287266"/>
      <w:r>
        <w:rPr>
          <w:rFonts w:ascii="宋体_GB2312" w:hAnsi="宋体_GB2312" w:eastAsia="宋体_GB2312"/>
          <w:bCs/>
          <w:sz w:val="24"/>
          <w:szCs w:val="24"/>
        </w:rPr>
        <w:t>技术要求</w:t>
      </w:r>
      <w:bookmarkEnd w:id="28"/>
      <w:bookmarkEnd w:id="29"/>
      <w:bookmarkEnd w:id="30"/>
      <w:bookmarkEnd w:id="31"/>
      <w:bookmarkEnd w:id="32"/>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33" w:name="_Toc16870"/>
      <w:bookmarkStart w:id="34" w:name="_Toc27401410"/>
      <w:bookmarkStart w:id="35" w:name="_Toc12174"/>
      <w:bookmarkStart w:id="36" w:name="_Toc322287268"/>
      <w:bookmarkStart w:id="37" w:name="_Toc30124"/>
      <w:r>
        <w:rPr>
          <w:rFonts w:ascii="宋体_GB2312" w:hAnsi="宋体_GB2312" w:eastAsia="宋体_GB2312"/>
          <w:bCs/>
          <w:sz w:val="24"/>
          <w:szCs w:val="24"/>
        </w:rPr>
        <w:t>3.1 外观与结构</w:t>
      </w:r>
      <w:bookmarkEnd w:id="33"/>
      <w:bookmarkEnd w:id="34"/>
      <w:bookmarkEnd w:id="35"/>
      <w:bookmarkEnd w:id="36"/>
      <w:bookmarkEnd w:id="37"/>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（1）外形尺寸符合表1要求。</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（2）所有紧固件联结应牢固可靠。</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（3）箱体装配结束后，金属件不得有毛刺，结构件不扭曲，箱体表面平整光滑、颜色均匀，不存在机械划伤痕迹、箱体各部件不得有明显色差。</w:t>
      </w:r>
    </w:p>
    <w:p>
      <w:pPr>
        <w:spacing w:before="163" w:beforeLines="50" w:line="300" w:lineRule="auto"/>
        <w:ind w:firstLine="480" w:firstLineChars="200"/>
        <w:rPr>
          <w:rFonts w:ascii="宋体_GB2312" w:hAnsi="宋体_GB2312" w:eastAsia="宋体_GB2312"/>
        </w:rPr>
      </w:pPr>
      <w:bookmarkStart w:id="38" w:name="_Hlk535503574"/>
      <w:r>
        <w:rPr>
          <w:rFonts w:hint="eastAsia" w:ascii="宋体_GB2312" w:hAnsi="宋体_GB2312" w:eastAsia="宋体_GB2312"/>
        </w:rPr>
        <w:t>（4</w:t>
      </w:r>
      <w:r>
        <w:rPr>
          <w:rFonts w:ascii="宋体_GB2312" w:hAnsi="宋体_GB2312" w:eastAsia="宋体_GB2312"/>
        </w:rPr>
        <w:t>）</w:t>
      </w:r>
      <w:r>
        <w:rPr>
          <w:rFonts w:hint="eastAsia" w:ascii="宋体_GB2312" w:hAnsi="宋体_GB2312" w:eastAsia="宋体_GB2312"/>
        </w:rPr>
        <w:t>箱门开启后应有可靠的门限位固定保护，固定后的开启角度应不小于</w:t>
      </w:r>
      <w:r>
        <w:rPr>
          <w:rFonts w:ascii="宋体_GB2312" w:hAnsi="宋体_GB2312" w:eastAsia="宋体_GB2312"/>
        </w:rPr>
        <w:t>120°。</w:t>
      </w:r>
    </w:p>
    <w:bookmarkEnd w:id="38"/>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（5）箱体密封条粘结应平整牢固，门锁的启闭灵活可靠。</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（6）光缆引入时其弯曲半径应不小于光缆直径的20倍。</w:t>
      </w:r>
    </w:p>
    <w:p>
      <w:pPr>
        <w:spacing w:before="163" w:beforeLines="50" w:line="300" w:lineRule="auto"/>
        <w:ind w:firstLine="480" w:firstLineChars="200"/>
        <w:rPr>
          <w:rFonts w:ascii="宋体_GB2312" w:hAnsi="宋体_GB2312" w:eastAsia="宋体_GB2312"/>
        </w:rPr>
      </w:pPr>
      <w:bookmarkStart w:id="39" w:name="_Hlk535503760"/>
      <w:r>
        <w:rPr>
          <w:rFonts w:hint="eastAsia" w:ascii="宋体_GB2312" w:hAnsi="宋体_GB2312" w:eastAsia="宋体_GB2312"/>
        </w:rPr>
        <w:t>（7</w:t>
      </w:r>
      <w:r>
        <w:rPr>
          <w:rFonts w:ascii="宋体_GB2312" w:hAnsi="宋体_GB2312" w:eastAsia="宋体_GB2312"/>
        </w:rPr>
        <w:t>）</w:t>
      </w:r>
      <w:r>
        <w:rPr>
          <w:rFonts w:hint="eastAsia" w:ascii="宋体_GB2312" w:hAnsi="宋体_GB2312" w:eastAsia="宋体_GB2312"/>
        </w:rPr>
        <w:t>光缆及尾纤在设备内布放时，不论在何处转弯，其弯曲半径应不小于</w:t>
      </w:r>
      <w:r>
        <w:rPr>
          <w:rFonts w:ascii="宋体_GB2312" w:hAnsi="宋体_GB2312" w:eastAsia="宋体_GB2312"/>
        </w:rPr>
        <w:t xml:space="preserve"> 30mm</w:t>
      </w:r>
      <w:r>
        <w:rPr>
          <w:rFonts w:hint="eastAsia" w:ascii="宋体_GB2312" w:hAnsi="宋体_GB2312" w:eastAsia="宋体_GB2312"/>
        </w:rPr>
        <w:t>；对弯曲损耗不敏感光纤，其弯曲半径应不小于</w:t>
      </w:r>
      <w:r>
        <w:rPr>
          <w:rFonts w:ascii="宋体_GB2312" w:hAnsi="宋体_GB2312" w:eastAsia="宋体_GB2312"/>
        </w:rPr>
        <w:t>15mm</w:t>
      </w:r>
      <w:r>
        <w:rPr>
          <w:rFonts w:hint="eastAsia" w:ascii="宋体_GB2312" w:hAnsi="宋体_GB2312" w:eastAsia="宋体_GB2312"/>
        </w:rPr>
        <w:t>。</w:t>
      </w:r>
    </w:p>
    <w:bookmarkEnd w:id="39"/>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（8）设备应有明晰的线序示名标志。</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40" w:name="_Toc32191"/>
      <w:bookmarkStart w:id="41" w:name="_Toc20742"/>
      <w:bookmarkStart w:id="42" w:name="_Toc27401411"/>
      <w:bookmarkStart w:id="43" w:name="_Toc322287269"/>
      <w:bookmarkStart w:id="44" w:name="_Toc4804"/>
      <w:r>
        <w:rPr>
          <w:rFonts w:ascii="宋体_GB2312" w:hAnsi="宋体_GB2312" w:eastAsia="宋体_GB2312"/>
          <w:bCs/>
          <w:sz w:val="24"/>
          <w:szCs w:val="24"/>
        </w:rPr>
        <w:t>3.2 机械性能</w:t>
      </w:r>
      <w:bookmarkEnd w:id="40"/>
      <w:bookmarkEnd w:id="41"/>
      <w:bookmarkEnd w:id="42"/>
      <w:bookmarkEnd w:id="43"/>
      <w:bookmarkEnd w:id="44"/>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采用地坑安装方式的箱体顶端表面应能承受不小于</w:t>
      </w:r>
      <w:r>
        <w:rPr>
          <w:rFonts w:ascii="宋体_GB2312" w:hAnsi="宋体_GB2312" w:eastAsia="宋体_GB2312"/>
          <w:szCs w:val="24"/>
        </w:rPr>
        <w:t xml:space="preserve"> 2000N 的垂直压力</w:t>
      </w:r>
      <w:r>
        <w:rPr>
          <w:rFonts w:hint="eastAsia" w:ascii="宋体_GB2312" w:hAnsi="宋体_GB2312" w:eastAsia="宋体_GB2312"/>
          <w:szCs w:val="24"/>
        </w:rPr>
        <w:t>，</w:t>
      </w:r>
      <w:r>
        <w:rPr>
          <w:rFonts w:ascii="宋体_GB2312" w:hAnsi="宋体_GB2312" w:eastAsia="宋体_GB2312"/>
          <w:szCs w:val="24"/>
        </w:rPr>
        <w:t>采用其</w:t>
      </w:r>
      <w:r>
        <w:rPr>
          <w:rFonts w:hint="eastAsia" w:ascii="宋体_GB2312" w:hAnsi="宋体_GB2312" w:eastAsia="宋体_GB2312"/>
          <w:szCs w:val="24"/>
        </w:rPr>
        <w:t>它</w:t>
      </w:r>
      <w:r>
        <w:rPr>
          <w:rFonts w:ascii="宋体_GB2312" w:hAnsi="宋体_GB2312" w:eastAsia="宋体_GB2312"/>
          <w:szCs w:val="24"/>
        </w:rPr>
        <w:t>安装方式的箱体顶端表面应能承受不小于 1000N 的垂直压力，箱门打开后</w:t>
      </w:r>
      <w:r>
        <w:rPr>
          <w:rFonts w:hint="eastAsia" w:ascii="宋体_GB2312" w:hAnsi="宋体_GB2312" w:eastAsia="宋体_GB2312"/>
          <w:szCs w:val="24"/>
        </w:rPr>
        <w:t>，</w:t>
      </w:r>
      <w:r>
        <w:rPr>
          <w:rFonts w:ascii="宋体_GB2312" w:hAnsi="宋体_GB2312" w:eastAsia="宋体_GB2312"/>
          <w:szCs w:val="24"/>
        </w:rPr>
        <w:t>在门的最外端应能承受不小于 200N 的垂直压力。卸去载荷后</w:t>
      </w:r>
      <w:r>
        <w:rPr>
          <w:rFonts w:hint="eastAsia" w:ascii="宋体_GB2312" w:hAnsi="宋体_GB2312" w:eastAsia="宋体_GB2312"/>
          <w:szCs w:val="24"/>
        </w:rPr>
        <w:t>，</w:t>
      </w:r>
      <w:r>
        <w:rPr>
          <w:rFonts w:ascii="宋体_GB2312" w:hAnsi="宋体_GB2312" w:eastAsia="宋体_GB2312"/>
          <w:szCs w:val="24"/>
        </w:rPr>
        <w:t>箱体无破坏痕迹和永久变形。当有光缆引入时，光缆固定后应能承受不小于 1000N 的轴向拉力。经拉伸、扭转试验后检查光缆固定处，光缆应无任何松动、破坏现象。箱体的门限位经固定后，应能在箱门的最外侧边沿中部承受如下大小的垂直推力后箱门应无破坏，限位处应无松动或脱落现象。</w:t>
      </w:r>
    </w:p>
    <w:p>
      <w:pPr>
        <w:pStyle w:val="62"/>
        <w:spacing w:line="560" w:lineRule="exact"/>
        <w:ind w:firstLine="480" w:firstLineChars="200"/>
        <w:jc w:val="center"/>
        <w:rPr>
          <w:rFonts w:ascii="宋体_GB2312" w:hAnsi="宋体_GB2312" w:eastAsia="宋体_GB2312"/>
          <w:sz w:val="24"/>
          <w:szCs w:val="24"/>
        </w:rPr>
      </w:pPr>
      <w:r>
        <w:rPr>
          <w:rFonts w:ascii="宋体_GB2312" w:hAnsi="宋体_GB2312" w:eastAsia="宋体_GB2312"/>
          <w:sz w:val="24"/>
          <w:szCs w:val="24"/>
        </w:rPr>
        <w:t>F=176.2×W</w:t>
      </w:r>
      <w:r>
        <w:rPr>
          <w:rFonts w:hint="eastAsia" w:ascii="宋体_GB2312" w:hAnsi="宋体_GB2312" w:eastAsia="宋体_GB2312"/>
          <w:sz w:val="24"/>
          <w:szCs w:val="24"/>
        </w:rPr>
        <w:t>×</w:t>
      </w:r>
      <w:r>
        <w:rPr>
          <w:rFonts w:ascii="宋体_GB2312" w:hAnsi="宋体_GB2312" w:eastAsia="宋体_GB2312"/>
          <w:sz w:val="24"/>
          <w:szCs w:val="24"/>
        </w:rPr>
        <w:t>H</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式中：</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F — 压力，单位N；</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W — 门的宽度，单位m ；</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H — 门的高度，单位 m。</w:t>
      </w:r>
    </w:p>
    <w:p>
      <w:pPr>
        <w:pStyle w:val="62"/>
        <w:spacing w:line="560" w:lineRule="exact"/>
        <w:ind w:firstLine="480" w:firstLineChars="200"/>
        <w:rPr>
          <w:rFonts w:ascii="宋体_GB2312" w:hAnsi="宋体_GB2312" w:eastAsia="宋体_GB2312"/>
          <w:sz w:val="24"/>
          <w:szCs w:val="24"/>
        </w:rPr>
      </w:pP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45" w:name="_Toc322287270"/>
      <w:bookmarkStart w:id="46" w:name="_Toc17011"/>
      <w:bookmarkStart w:id="47" w:name="_Toc27401412"/>
      <w:bookmarkStart w:id="48" w:name="_Toc11572"/>
      <w:bookmarkStart w:id="49" w:name="_Toc21043"/>
      <w:r>
        <w:rPr>
          <w:rFonts w:hint="eastAsia" w:ascii="宋体_GB2312" w:hAnsi="宋体_GB2312" w:eastAsia="宋体_GB2312"/>
          <w:bCs/>
          <w:color w:val="FF0000"/>
          <w:sz w:val="24"/>
          <w:szCs w:val="24"/>
        </w:rPr>
        <w:t>★</w:t>
      </w:r>
      <w:r>
        <w:rPr>
          <w:rFonts w:ascii="宋体_GB2312" w:hAnsi="宋体_GB2312" w:eastAsia="宋体_GB2312"/>
          <w:bCs/>
          <w:sz w:val="24"/>
          <w:szCs w:val="24"/>
        </w:rPr>
        <w:t xml:space="preserve"> 3.3密封性能</w:t>
      </w:r>
      <w:bookmarkEnd w:id="45"/>
      <w:bookmarkEnd w:id="46"/>
      <w:bookmarkEnd w:id="47"/>
      <w:bookmarkEnd w:id="48"/>
      <w:bookmarkEnd w:id="49"/>
    </w:p>
    <w:p>
      <w:pPr>
        <w:spacing w:before="163" w:beforeLines="50" w:line="300" w:lineRule="auto"/>
        <w:ind w:firstLine="480" w:firstLineChars="200"/>
        <w:rPr>
          <w:rFonts w:ascii="宋体_GB2312" w:hAnsi="宋体_GB2312" w:eastAsia="宋体_GB2312"/>
        </w:rPr>
      </w:pPr>
      <w:bookmarkStart w:id="50" w:name="_Hlk535498206"/>
      <w:r>
        <w:rPr>
          <w:rFonts w:hint="eastAsia" w:ascii="宋体_GB2312" w:hAnsi="宋体_GB2312" w:eastAsia="宋体_GB2312"/>
        </w:rPr>
        <w:t>（1）</w:t>
      </w:r>
      <w:r>
        <w:rPr>
          <w:rFonts w:ascii="宋体_GB2312" w:hAnsi="宋体_GB2312" w:eastAsia="宋体_GB2312"/>
        </w:rPr>
        <w:t>地坑安装的</w:t>
      </w:r>
      <w:r>
        <w:rPr>
          <w:rFonts w:hint="eastAsia" w:ascii="宋体_GB2312" w:hAnsi="宋体_GB2312" w:eastAsia="宋体_GB2312"/>
        </w:rPr>
        <w:t>光缆交接箱</w:t>
      </w:r>
      <w:r>
        <w:rPr>
          <w:rFonts w:ascii="宋体_GB2312" w:hAnsi="宋体_GB2312" w:eastAsia="宋体_GB2312"/>
        </w:rPr>
        <w:t>箱体密封性能应达到GB/T 4208-2017</w:t>
      </w:r>
      <w:r>
        <w:rPr>
          <w:rFonts w:hint="eastAsia" w:ascii="宋体_GB2312" w:hAnsi="宋体_GB2312" w:eastAsia="宋体_GB2312"/>
        </w:rPr>
        <w:t>《</w:t>
      </w:r>
      <w:r>
        <w:rPr>
          <w:rFonts w:hint="eastAsia" w:ascii="宋体_GB2312" w:hAnsi="宋体_GB2312" w:eastAsia="宋体_GB2312"/>
          <w:szCs w:val="24"/>
        </w:rPr>
        <w:t>外壳防护等级（</w:t>
      </w:r>
      <w:r>
        <w:rPr>
          <w:rFonts w:ascii="宋体_GB2312" w:hAnsi="宋体_GB2312" w:eastAsia="宋体_GB2312"/>
          <w:szCs w:val="24"/>
        </w:rPr>
        <w:t>IP</w:t>
      </w:r>
      <w:r>
        <w:rPr>
          <w:rFonts w:hint="eastAsia" w:ascii="宋体_GB2312" w:hAnsi="宋体_GB2312" w:eastAsia="宋体_GB2312"/>
          <w:szCs w:val="24"/>
        </w:rPr>
        <w:t>代码）</w:t>
      </w:r>
      <w:r>
        <w:rPr>
          <w:rFonts w:hint="eastAsia" w:ascii="宋体_GB2312" w:hAnsi="宋体_GB2312" w:eastAsia="宋体_GB2312"/>
        </w:rPr>
        <w:t>》</w:t>
      </w:r>
      <w:r>
        <w:rPr>
          <w:rFonts w:ascii="宋体_GB2312" w:hAnsi="宋体_GB2312" w:eastAsia="宋体_GB2312"/>
        </w:rPr>
        <w:t>标准中IPX8级要求</w:t>
      </w:r>
      <w:r>
        <w:rPr>
          <w:rFonts w:hint="eastAsia" w:ascii="宋体_GB2312" w:hAnsi="宋体_GB2312" w:eastAsia="宋体_GB2312"/>
        </w:rPr>
        <w:t>。</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（2）其它安装方式的箱体的</w:t>
      </w:r>
      <w:r>
        <w:rPr>
          <w:rFonts w:ascii="宋体_GB2312" w:hAnsi="宋体_GB2312" w:eastAsia="宋体_GB2312"/>
        </w:rPr>
        <w:t>密封性能</w:t>
      </w:r>
      <w:r>
        <w:rPr>
          <w:rFonts w:hint="eastAsia" w:ascii="宋体_GB2312" w:hAnsi="宋体_GB2312" w:eastAsia="宋体_GB2312"/>
        </w:rPr>
        <w:t>应达到</w:t>
      </w:r>
      <w:r>
        <w:rPr>
          <w:rFonts w:ascii="宋体_GB2312" w:hAnsi="宋体_GB2312" w:eastAsia="宋体_GB2312"/>
        </w:rPr>
        <w:t>GB/T 4208-2017</w:t>
      </w:r>
      <w:r>
        <w:rPr>
          <w:rFonts w:hint="eastAsia" w:ascii="宋体_GB2312" w:hAnsi="宋体_GB2312" w:eastAsia="宋体_GB2312"/>
        </w:rPr>
        <w:t>《</w:t>
      </w:r>
      <w:r>
        <w:rPr>
          <w:rFonts w:hint="eastAsia" w:ascii="宋体_GB2312" w:hAnsi="宋体_GB2312" w:eastAsia="宋体_GB2312"/>
          <w:szCs w:val="24"/>
        </w:rPr>
        <w:t>外壳防护等级（</w:t>
      </w:r>
      <w:r>
        <w:rPr>
          <w:rFonts w:ascii="宋体_GB2312" w:hAnsi="宋体_GB2312" w:eastAsia="宋体_GB2312"/>
          <w:szCs w:val="24"/>
        </w:rPr>
        <w:t>IP</w:t>
      </w:r>
      <w:r>
        <w:rPr>
          <w:rFonts w:hint="eastAsia" w:ascii="宋体_GB2312" w:hAnsi="宋体_GB2312" w:eastAsia="宋体_GB2312"/>
          <w:szCs w:val="24"/>
        </w:rPr>
        <w:t>代码）</w:t>
      </w:r>
      <w:r>
        <w:rPr>
          <w:rFonts w:hint="eastAsia" w:ascii="宋体_GB2312" w:hAnsi="宋体_GB2312" w:eastAsia="宋体_GB2312"/>
        </w:rPr>
        <w:t>》标准中</w:t>
      </w:r>
      <w:r>
        <w:rPr>
          <w:rFonts w:ascii="宋体_GB2312" w:hAnsi="宋体_GB2312" w:eastAsia="宋体_GB2312"/>
        </w:rPr>
        <w:t>IP65级要求。</w:t>
      </w:r>
    </w:p>
    <w:bookmarkEnd w:id="50"/>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51" w:name="_Toc322287271"/>
      <w:bookmarkStart w:id="52" w:name="_Toc22989"/>
      <w:bookmarkStart w:id="53" w:name="_Toc27401413"/>
      <w:bookmarkStart w:id="54" w:name="_Toc32729"/>
      <w:bookmarkStart w:id="55" w:name="_Toc24241"/>
      <w:r>
        <w:rPr>
          <w:rFonts w:ascii="宋体_GB2312" w:hAnsi="宋体_GB2312" w:eastAsia="宋体_GB2312"/>
          <w:bCs/>
          <w:sz w:val="24"/>
          <w:szCs w:val="24"/>
        </w:rPr>
        <w:t>3.4 功能要求</w:t>
      </w:r>
      <w:bookmarkEnd w:id="51"/>
      <w:bookmarkEnd w:id="52"/>
      <w:bookmarkEnd w:id="53"/>
      <w:bookmarkEnd w:id="54"/>
      <w:bookmarkEnd w:id="55"/>
    </w:p>
    <w:p>
      <w:pPr>
        <w:pStyle w:val="62"/>
        <w:spacing w:line="560" w:lineRule="exact"/>
        <w:rPr>
          <w:rFonts w:ascii="宋体_GB2312" w:hAnsi="宋体_GB2312" w:eastAsia="宋体_GB2312"/>
          <w:sz w:val="24"/>
        </w:rPr>
      </w:pPr>
      <w:bookmarkStart w:id="56" w:name="_Toc322287272"/>
      <w:r>
        <w:rPr>
          <w:rFonts w:ascii="宋体_GB2312" w:hAnsi="宋体_GB2312" w:eastAsia="宋体_GB2312"/>
          <w:sz w:val="24"/>
        </w:rPr>
        <w:t>3.4.1 光缆的固定和保护功能</w:t>
      </w:r>
      <w:bookmarkEnd w:id="56"/>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光缆引入箱体时，应有可靠的固定与保护装置，固定后的光缆金属拦潮层、铠装层及加强芯应可靠连接至高压防护接地装置，光缆开剥后应用塑料套管或螺旋管保护并固定引入光纤熔接装置。</w:t>
      </w:r>
    </w:p>
    <w:p>
      <w:pPr>
        <w:pStyle w:val="62"/>
        <w:spacing w:line="560" w:lineRule="exact"/>
        <w:rPr>
          <w:rFonts w:ascii="宋体_GB2312" w:hAnsi="宋体_GB2312" w:eastAsia="宋体_GB2312"/>
          <w:sz w:val="24"/>
        </w:rPr>
      </w:pPr>
      <w:bookmarkStart w:id="57" w:name="_Toc322287273"/>
      <w:r>
        <w:rPr>
          <w:rFonts w:ascii="宋体_GB2312" w:hAnsi="宋体_GB2312" w:eastAsia="宋体_GB2312"/>
          <w:sz w:val="24"/>
        </w:rPr>
        <w:t>3.4.2 光缆纤芯的终接功能</w:t>
      </w:r>
      <w:bookmarkEnd w:id="57"/>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箱体的光缆终接装置应便于光缆光纤与光缆光纤或尾纤的熔接、安装和维护等操作，同时应具备富余光缆光纤的储存空间。</w:t>
      </w:r>
    </w:p>
    <w:p>
      <w:pPr>
        <w:pStyle w:val="62"/>
        <w:spacing w:line="560" w:lineRule="exact"/>
        <w:rPr>
          <w:rFonts w:ascii="宋体_GB2312" w:hAnsi="宋体_GB2312" w:eastAsia="宋体_GB2312"/>
          <w:sz w:val="24"/>
        </w:rPr>
      </w:pPr>
      <w:r>
        <w:rPr>
          <w:rFonts w:ascii="宋体_GB2312" w:hAnsi="宋体_GB2312" w:eastAsia="宋体_GB2312"/>
          <w:sz w:val="24"/>
        </w:rPr>
        <w:t>3.4.3 光纤熔接接头保护功能</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光纤与光纤熔接后，接头部分应用熔接保护套管加以保护。</w:t>
      </w:r>
    </w:p>
    <w:p>
      <w:pPr>
        <w:pStyle w:val="62"/>
        <w:spacing w:line="560" w:lineRule="exact"/>
        <w:rPr>
          <w:rFonts w:ascii="宋体_GB2312" w:hAnsi="宋体_GB2312" w:eastAsia="宋体_GB2312"/>
          <w:sz w:val="24"/>
        </w:rPr>
      </w:pPr>
      <w:bookmarkStart w:id="58" w:name="_Toc322287274"/>
      <w:r>
        <w:rPr>
          <w:rFonts w:ascii="宋体_GB2312" w:hAnsi="宋体_GB2312" w:eastAsia="宋体_GB2312"/>
          <w:sz w:val="24"/>
        </w:rPr>
        <w:t>3.4.4 调纤功能</w:t>
      </w:r>
      <w:bookmarkEnd w:id="58"/>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通过跳纤和尾纤能迅速方便地调度光缆中光纤序号以及改变传输系统的路由，跳纤和尾纤长度应满足调纤操作要求。应具备方便地进行光纤识别、查找、调配、更换等管理功能。</w:t>
      </w:r>
    </w:p>
    <w:p>
      <w:pPr>
        <w:pStyle w:val="62"/>
        <w:spacing w:line="560" w:lineRule="exact"/>
        <w:rPr>
          <w:rFonts w:ascii="宋体_GB2312" w:hAnsi="宋体_GB2312" w:eastAsia="宋体_GB2312"/>
          <w:sz w:val="24"/>
        </w:rPr>
      </w:pPr>
      <w:r>
        <w:rPr>
          <w:rFonts w:ascii="宋体_GB2312" w:hAnsi="宋体_GB2312" w:eastAsia="宋体_GB2312"/>
          <w:sz w:val="24"/>
        </w:rPr>
        <w:t>3.4.5 尾纤存储功能</w:t>
      </w:r>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箱体内应设置储纤装置，用于存储管理实现无跳接功能的尾纤。</w:t>
      </w:r>
    </w:p>
    <w:p>
      <w:pPr>
        <w:pStyle w:val="62"/>
        <w:spacing w:line="560" w:lineRule="exact"/>
        <w:rPr>
          <w:rFonts w:ascii="宋体_GB2312" w:hAnsi="宋体_GB2312" w:eastAsia="宋体_GB2312"/>
          <w:sz w:val="24"/>
        </w:rPr>
      </w:pPr>
      <w:bookmarkStart w:id="59" w:name="_Toc322287275"/>
      <w:r>
        <w:rPr>
          <w:rFonts w:ascii="宋体_GB2312" w:hAnsi="宋体_GB2312" w:eastAsia="宋体_GB2312"/>
          <w:sz w:val="24"/>
        </w:rPr>
        <w:t>3.4.6 光纤分路功能</w:t>
      </w:r>
      <w:bookmarkEnd w:id="59"/>
    </w:p>
    <w:p>
      <w:pPr>
        <w:spacing w:before="163" w:beforeLines="50" w:line="300" w:lineRule="auto"/>
        <w:ind w:firstLine="480" w:firstLineChars="200"/>
        <w:rPr>
          <w:rFonts w:ascii="宋体_GB2312" w:hAnsi="宋体_GB2312" w:eastAsia="宋体_GB2312"/>
          <w:szCs w:val="24"/>
          <w:highlight w:val="none"/>
        </w:rPr>
      </w:pPr>
      <w:r>
        <w:rPr>
          <w:rFonts w:ascii="宋体_GB2312" w:hAnsi="宋体_GB2312" w:eastAsia="宋体_GB2312"/>
          <w:szCs w:val="24"/>
        </w:rPr>
        <w:t>箱体应有安装光分路器</w:t>
      </w:r>
      <w:r>
        <w:rPr>
          <w:rFonts w:ascii="宋体_GB2312" w:hAnsi="宋体_GB2312" w:eastAsia="宋体_GB2312"/>
          <w:szCs w:val="24"/>
          <w:highlight w:val="none"/>
        </w:rPr>
        <w:t>的区域，实现点到多点的光纤分路功能。光分路器在满容量范围内应方便地成套配置。</w:t>
      </w:r>
    </w:p>
    <w:p>
      <w:pPr>
        <w:pStyle w:val="62"/>
        <w:spacing w:line="560" w:lineRule="exact"/>
        <w:rPr>
          <w:rFonts w:ascii="宋体_GB2312" w:hAnsi="宋体_GB2312" w:eastAsia="宋体_GB2312"/>
          <w:sz w:val="24"/>
          <w:highlight w:val="none"/>
        </w:rPr>
      </w:pPr>
      <w:bookmarkStart w:id="60" w:name="_Toc362878570"/>
      <w:bookmarkStart w:id="61" w:name="_Toc322287276"/>
      <w:r>
        <w:rPr>
          <w:rFonts w:hint="eastAsia" w:ascii="宋体_GB2312" w:hAnsi="宋体_GB2312" w:eastAsia="宋体_GB2312"/>
          <w:sz w:val="24"/>
          <w:highlight w:val="none"/>
        </w:rPr>
        <w:t>3.4.</w:t>
      </w:r>
      <w:r>
        <w:rPr>
          <w:rFonts w:ascii="宋体_GB2312" w:hAnsi="宋体_GB2312" w:eastAsia="宋体_GB2312"/>
          <w:sz w:val="24"/>
          <w:highlight w:val="none"/>
        </w:rPr>
        <w:t>7</w:t>
      </w:r>
      <w:r>
        <w:rPr>
          <w:rFonts w:hint="eastAsia" w:ascii="宋体_GB2312" w:hAnsi="宋体_GB2312" w:eastAsia="宋体_GB2312"/>
          <w:sz w:val="24"/>
          <w:highlight w:val="none"/>
        </w:rPr>
        <w:t>箱体、门锁及监控功能</w:t>
      </w:r>
      <w:bookmarkEnd w:id="60"/>
    </w:p>
    <w:p>
      <w:pPr>
        <w:spacing w:before="163" w:beforeLines="50" w:line="300" w:lineRule="auto"/>
        <w:ind w:firstLine="480" w:firstLineChars="200"/>
        <w:rPr>
          <w:rFonts w:ascii="宋体_GB2312" w:hAnsi="宋体_GB2312" w:eastAsia="宋体_GB2312"/>
          <w:highlight w:val="none"/>
        </w:rPr>
      </w:pPr>
      <w:r>
        <w:rPr>
          <w:rFonts w:hint="eastAsia" w:ascii="宋体_GB2312" w:hAnsi="宋体_GB2312" w:eastAsia="宋体_GB2312"/>
          <w:highlight w:val="none"/>
        </w:rPr>
        <w:t>（1）箱体应具有良好的抗腐蚀耐老化性能，门锁可为机械式或电子式，应为防盗结构，具有良好的抗破坏能力，抗破坏性能应符合</w:t>
      </w:r>
      <w:r>
        <w:rPr>
          <w:rFonts w:ascii="宋体_GB2312" w:hAnsi="宋体_GB2312" w:eastAsia="宋体_GB2312"/>
          <w:highlight w:val="none"/>
        </w:rPr>
        <w:t>GA/T 73-2015</w:t>
      </w:r>
      <w:r>
        <w:rPr>
          <w:rFonts w:hint="eastAsia" w:ascii="宋体_GB2312" w:hAnsi="宋体_GB2312" w:eastAsia="宋体_GB2312"/>
          <w:highlight w:val="none"/>
        </w:rPr>
        <w:t>《机械防盗锁》中的</w:t>
      </w:r>
      <w:r>
        <w:rPr>
          <w:rFonts w:ascii="宋体_GB2312" w:hAnsi="宋体_GB2312" w:eastAsia="宋体_GB2312"/>
          <w:highlight w:val="none"/>
        </w:rPr>
        <w:t xml:space="preserve">B </w:t>
      </w:r>
      <w:r>
        <w:rPr>
          <w:rFonts w:hint="eastAsia" w:ascii="宋体_GB2312" w:hAnsi="宋体_GB2312" w:eastAsia="宋体_GB2312"/>
          <w:highlight w:val="none"/>
        </w:rPr>
        <w:t>级要求。并应外加门吊，但应隐蔽美观。</w:t>
      </w:r>
    </w:p>
    <w:p>
      <w:pPr>
        <w:spacing w:before="163" w:beforeLines="50" w:line="300" w:lineRule="auto"/>
        <w:ind w:firstLine="480" w:firstLineChars="200"/>
        <w:rPr>
          <w:rFonts w:ascii="宋体_GB2312" w:hAnsi="宋体_GB2312" w:eastAsia="宋体_GB2312"/>
          <w:szCs w:val="24"/>
          <w:highlight w:val="none"/>
        </w:rPr>
      </w:pPr>
      <w:r>
        <w:rPr>
          <w:rFonts w:hint="eastAsia" w:ascii="宋体_GB2312" w:hAnsi="宋体_GB2312" w:eastAsia="宋体_GB2312"/>
          <w:highlight w:val="none"/>
        </w:rPr>
        <w:t>（2）</w:t>
      </w:r>
      <w:r>
        <w:rPr>
          <w:rFonts w:hint="eastAsia" w:ascii="宋体_GB2312" w:hAnsi="宋体_GB2312" w:eastAsia="宋体_GB2312"/>
          <w:szCs w:val="24"/>
          <w:highlight w:val="none"/>
        </w:rPr>
        <w:t>箱体密封条粘结应平整牢固，门锁的启闭灵活可靠。当有需要时，门锁应具备门禁管理的功能，实现可控制密码的开锁，对锁的开关信息进行计算机管理</w:t>
      </w:r>
      <w:r>
        <w:rPr>
          <w:rFonts w:hint="eastAsia" w:ascii="宋体_GB2312" w:hAnsi="宋体_GB2312" w:eastAsia="宋体_GB2312"/>
          <w:highlight w:val="none"/>
        </w:rPr>
        <w:t>。</w:t>
      </w:r>
      <w:r>
        <w:rPr>
          <w:rFonts w:hint="eastAsia" w:ascii="宋体_GB2312" w:hAnsi="宋体_GB2312" w:eastAsia="宋体_GB2312"/>
          <w:szCs w:val="24"/>
          <w:highlight w:val="none"/>
        </w:rPr>
        <w:t>箱体使用的门锁及门上的开孔应满足无需新增开孔及其它结构件可更换为智能锁。</w:t>
      </w:r>
    </w:p>
    <w:bookmarkEnd w:id="61"/>
    <w:p>
      <w:pPr>
        <w:pStyle w:val="62"/>
        <w:spacing w:line="560" w:lineRule="exact"/>
        <w:rPr>
          <w:rFonts w:ascii="宋体_GB2312" w:hAnsi="宋体_GB2312" w:eastAsia="宋体_GB2312"/>
          <w:sz w:val="24"/>
          <w:highlight w:val="none"/>
        </w:rPr>
      </w:pPr>
      <w:bookmarkStart w:id="62" w:name="_Toc362878571"/>
      <w:r>
        <w:rPr>
          <w:rFonts w:hint="eastAsia" w:ascii="宋体_GB2312" w:hAnsi="宋体_GB2312" w:eastAsia="宋体_GB2312"/>
          <w:sz w:val="24"/>
          <w:highlight w:val="none"/>
        </w:rPr>
        <w:t>3.4.</w:t>
      </w:r>
      <w:r>
        <w:rPr>
          <w:rFonts w:ascii="宋体_GB2312" w:hAnsi="宋体_GB2312" w:eastAsia="宋体_GB2312"/>
          <w:sz w:val="24"/>
          <w:highlight w:val="none"/>
        </w:rPr>
        <w:t xml:space="preserve">8 </w:t>
      </w:r>
      <w:r>
        <w:rPr>
          <w:rFonts w:hint="eastAsia" w:ascii="宋体_GB2312" w:hAnsi="宋体_GB2312" w:eastAsia="宋体_GB2312"/>
          <w:sz w:val="24"/>
          <w:highlight w:val="none"/>
        </w:rPr>
        <w:t>适用性要求</w:t>
      </w:r>
      <w:bookmarkEnd w:id="62"/>
    </w:p>
    <w:p>
      <w:pPr>
        <w:spacing w:before="163" w:beforeLines="50" w:line="300" w:lineRule="auto"/>
        <w:ind w:firstLine="480" w:firstLineChars="200"/>
        <w:rPr>
          <w:rFonts w:ascii="宋体_GB2312" w:hAnsi="宋体_GB2312" w:eastAsia="宋体_GB2312"/>
          <w:szCs w:val="24"/>
          <w:highlight w:val="none"/>
        </w:rPr>
      </w:pPr>
      <w:r>
        <w:rPr>
          <w:rFonts w:hint="eastAsia" w:ascii="宋体_GB2312" w:hAnsi="宋体_GB2312" w:eastAsia="宋体_GB2312"/>
          <w:highlight w:val="none"/>
        </w:rPr>
        <w:t>应能适用符合GB/T 7424.1-200</w:t>
      </w:r>
      <w:r>
        <w:rPr>
          <w:rFonts w:ascii="宋体_GB2312" w:hAnsi="宋体_GB2312" w:eastAsia="宋体_GB2312"/>
          <w:highlight w:val="none"/>
        </w:rPr>
        <w:t>3</w:t>
      </w:r>
      <w:r>
        <w:rPr>
          <w:rFonts w:hint="eastAsia" w:ascii="宋体_GB2312" w:hAnsi="宋体_GB2312" w:eastAsia="宋体_GB2312"/>
          <w:highlight w:val="none"/>
        </w:rPr>
        <w:t>《</w:t>
      </w:r>
      <w:r>
        <w:rPr>
          <w:rFonts w:ascii="宋体_GB2312" w:hAnsi="宋体_GB2312" w:eastAsia="宋体_GB2312"/>
          <w:szCs w:val="24"/>
          <w:highlight w:val="none"/>
        </w:rPr>
        <w:t>光缆总规范 第1部分：总则</w:t>
      </w:r>
      <w:r>
        <w:rPr>
          <w:rFonts w:hint="eastAsia" w:ascii="宋体_GB2312" w:hAnsi="宋体_GB2312" w:eastAsia="宋体_GB2312"/>
          <w:highlight w:val="none"/>
        </w:rPr>
        <w:t>》标准中规定的光缆和GB/T</w:t>
      </w:r>
      <w:r>
        <w:rPr>
          <w:rFonts w:ascii="宋体_GB2312" w:hAnsi="宋体_GB2312" w:eastAsia="宋体_GB2312"/>
          <w:highlight w:val="none"/>
        </w:rPr>
        <w:t xml:space="preserve"> </w:t>
      </w:r>
      <w:r>
        <w:rPr>
          <w:rFonts w:hint="eastAsia" w:ascii="宋体_GB2312" w:hAnsi="宋体_GB2312" w:eastAsia="宋体_GB2312"/>
          <w:highlight w:val="none"/>
        </w:rPr>
        <w:t>15972规定的光纤。</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highlight w:val="none"/>
        </w:rPr>
      </w:pPr>
      <w:bookmarkStart w:id="63" w:name="_Toc27401414"/>
      <w:bookmarkStart w:id="64" w:name="_Toc14540"/>
      <w:bookmarkStart w:id="65" w:name="_Toc6027"/>
      <w:bookmarkStart w:id="66" w:name="_Toc27655"/>
      <w:r>
        <w:rPr>
          <w:rFonts w:ascii="宋体_GB2312" w:hAnsi="宋体_GB2312" w:eastAsia="宋体_GB2312"/>
          <w:bCs/>
          <w:sz w:val="24"/>
          <w:szCs w:val="24"/>
        </w:rPr>
        <w:t>3.5光纤活动连接器技术指标</w:t>
      </w:r>
      <w:bookmarkEnd w:id="63"/>
      <w:bookmarkEnd w:id="64"/>
      <w:bookmarkEnd w:id="65"/>
      <w:bookmarkEnd w:id="66"/>
    </w:p>
    <w:p>
      <w:pPr>
        <w:pStyle w:val="62"/>
        <w:spacing w:line="560" w:lineRule="exact"/>
        <w:rPr>
          <w:rFonts w:ascii="宋体_GB2312" w:hAnsi="宋体_GB2312" w:eastAsia="宋体_GB2312"/>
          <w:sz w:val="24"/>
          <w:highlight w:val="none"/>
        </w:rPr>
      </w:pPr>
      <w:bookmarkStart w:id="67" w:name="_Toc362878573"/>
      <w:r>
        <w:rPr>
          <w:rFonts w:hint="eastAsia" w:ascii="宋体_GB2312" w:hAnsi="宋体_GB2312" w:eastAsia="宋体_GB2312"/>
          <w:sz w:val="24"/>
          <w:highlight w:val="none"/>
        </w:rPr>
        <w:t>3</w:t>
      </w:r>
      <w:r>
        <w:rPr>
          <w:rFonts w:ascii="宋体_GB2312" w:hAnsi="宋体_GB2312" w:eastAsia="宋体_GB2312"/>
          <w:sz w:val="24"/>
          <w:highlight w:val="none"/>
        </w:rPr>
        <w:t>.</w:t>
      </w:r>
      <w:r>
        <w:rPr>
          <w:rFonts w:hint="eastAsia" w:ascii="宋体_GB2312" w:hAnsi="宋体_GB2312" w:eastAsia="宋体_GB2312"/>
          <w:sz w:val="24"/>
          <w:highlight w:val="none"/>
        </w:rPr>
        <w:t>5</w:t>
      </w:r>
      <w:r>
        <w:rPr>
          <w:rFonts w:ascii="宋体_GB2312" w:hAnsi="宋体_GB2312" w:eastAsia="宋体_GB2312"/>
          <w:sz w:val="24"/>
          <w:highlight w:val="none"/>
        </w:rPr>
        <w:t>.1</w:t>
      </w:r>
      <w:r>
        <w:rPr>
          <w:rFonts w:hint="eastAsia" w:ascii="宋体_GB2312" w:hAnsi="宋体_GB2312" w:eastAsia="宋体_GB2312"/>
          <w:sz w:val="24"/>
          <w:highlight w:val="none"/>
        </w:rPr>
        <w:t xml:space="preserve"> 光纤连接器型号</w:t>
      </w:r>
      <w:bookmarkEnd w:id="67"/>
    </w:p>
    <w:p>
      <w:pPr>
        <w:spacing w:before="163" w:beforeLines="50" w:line="300" w:lineRule="auto"/>
        <w:ind w:firstLine="480" w:firstLineChars="200"/>
        <w:rPr>
          <w:rFonts w:ascii="宋体_GB2312" w:hAnsi="宋体_GB2312" w:eastAsia="宋体_GB2312"/>
          <w:highlight w:val="none"/>
        </w:rPr>
      </w:pPr>
      <w:r>
        <w:rPr>
          <w:rFonts w:hint="eastAsia" w:ascii="宋体_GB2312" w:hAnsi="宋体_GB2312" w:eastAsia="宋体_GB2312"/>
          <w:highlight w:val="none"/>
        </w:rPr>
        <w:t>FC、SC型光纤连接器。</w:t>
      </w:r>
    </w:p>
    <w:p>
      <w:pPr>
        <w:pStyle w:val="62"/>
        <w:spacing w:line="560" w:lineRule="exact"/>
        <w:rPr>
          <w:rFonts w:ascii="宋体_GB2312" w:hAnsi="宋体_GB2312" w:eastAsia="宋体_GB2312"/>
          <w:sz w:val="24"/>
          <w:highlight w:val="none"/>
        </w:rPr>
      </w:pPr>
      <w:bookmarkStart w:id="68" w:name="_Toc362878574"/>
      <w:r>
        <w:rPr>
          <w:rFonts w:hint="eastAsia" w:ascii="宋体_GB2312" w:hAnsi="宋体_GB2312" w:eastAsia="宋体_GB2312"/>
          <w:sz w:val="24"/>
          <w:highlight w:val="none"/>
        </w:rPr>
        <w:t>3</w:t>
      </w:r>
      <w:r>
        <w:rPr>
          <w:rFonts w:ascii="宋体_GB2312" w:hAnsi="宋体_GB2312" w:eastAsia="宋体_GB2312"/>
          <w:sz w:val="24"/>
          <w:highlight w:val="none"/>
        </w:rPr>
        <w:t>.</w:t>
      </w:r>
      <w:r>
        <w:rPr>
          <w:rFonts w:hint="eastAsia" w:ascii="宋体_GB2312" w:hAnsi="宋体_GB2312" w:eastAsia="宋体_GB2312"/>
          <w:sz w:val="24"/>
          <w:highlight w:val="none"/>
        </w:rPr>
        <w:t>5</w:t>
      </w:r>
      <w:r>
        <w:rPr>
          <w:rFonts w:ascii="宋体_GB2312" w:hAnsi="宋体_GB2312" w:eastAsia="宋体_GB2312"/>
          <w:sz w:val="24"/>
          <w:highlight w:val="none"/>
        </w:rPr>
        <w:t>.</w:t>
      </w:r>
      <w:r>
        <w:rPr>
          <w:rFonts w:hint="eastAsia" w:ascii="宋体_GB2312" w:hAnsi="宋体_GB2312" w:eastAsia="宋体_GB2312"/>
          <w:sz w:val="24"/>
          <w:highlight w:val="none"/>
        </w:rPr>
        <w:t>2 光纤连接器、尾纤光学性能及外观要求</w:t>
      </w:r>
      <w:bookmarkEnd w:id="68"/>
    </w:p>
    <w:p>
      <w:pPr>
        <w:spacing w:before="163" w:beforeLines="50" w:line="300" w:lineRule="auto"/>
        <w:ind w:firstLine="480" w:firstLineChars="200"/>
        <w:rPr>
          <w:rFonts w:ascii="宋体_GB2312" w:hAnsi="宋体_GB2312" w:eastAsia="宋体_GB2312"/>
          <w:highlight w:val="none"/>
        </w:rPr>
      </w:pPr>
      <w:r>
        <w:rPr>
          <w:rFonts w:hint="eastAsia" w:ascii="宋体_GB2312" w:hAnsi="宋体_GB2312" w:eastAsia="宋体_GB2312"/>
          <w:highlight w:val="none"/>
        </w:rPr>
        <w:t>（1）光纤连接器是由跳纤和适配器组成，其光学性能及外观要求应满足表3要求。</w:t>
      </w:r>
    </w:p>
    <w:p>
      <w:pPr>
        <w:spacing w:before="163" w:beforeLines="50" w:line="300" w:lineRule="auto"/>
        <w:ind w:firstLine="480" w:firstLineChars="200"/>
        <w:rPr>
          <w:rFonts w:ascii="宋体_GB2312" w:hAnsi="宋体_GB2312" w:eastAsia="宋体_GB2312"/>
          <w:highlight w:val="none"/>
        </w:rPr>
      </w:pPr>
      <w:r>
        <w:rPr>
          <w:rFonts w:hint="eastAsia" w:ascii="宋体_GB2312" w:hAnsi="宋体_GB2312" w:eastAsia="宋体_GB2312"/>
          <w:highlight w:val="none"/>
        </w:rPr>
        <w:t>（2）对于尾纤，应与同批次尾纤熔接并与适配器组成光纤连接器，其光学性能及外观要求应符合表3的技术要求。</w:t>
      </w:r>
    </w:p>
    <w:p>
      <w:pPr>
        <w:widowControl/>
        <w:tabs>
          <w:tab w:val="left" w:pos="9072"/>
        </w:tabs>
        <w:autoSpaceDE w:val="0"/>
        <w:autoSpaceDN w:val="0"/>
        <w:spacing w:line="360" w:lineRule="auto"/>
        <w:ind w:right="26" w:firstLine="1848" w:firstLineChars="770"/>
        <w:jc w:val="left"/>
        <w:textAlignment w:val="bottom"/>
        <w:rPr>
          <w:rFonts w:ascii="宋体_GB2312" w:hAnsi="宋体_GB2312" w:eastAsia="宋体_GB2312" w:cs="宋体"/>
          <w:kern w:val="0"/>
          <w:szCs w:val="21"/>
          <w:highlight w:val="none"/>
        </w:rPr>
      </w:pPr>
      <w:r>
        <w:rPr>
          <w:rFonts w:hint="eastAsia" w:ascii="宋体_GB2312" w:hAnsi="宋体_GB2312" w:eastAsia="宋体_GB2312"/>
          <w:highlight w:val="none"/>
        </w:rPr>
        <w:t xml:space="preserve">表3 光纤活动连接器及尾纤光学性能及外观要求  </w:t>
      </w:r>
      <w:r>
        <w:rPr>
          <w:rFonts w:hint="eastAsia" w:ascii="宋体_GB2312" w:hAnsi="宋体_GB2312" w:eastAsia="宋体_GB2312" w:cs="宋体"/>
          <w:kern w:val="0"/>
          <w:szCs w:val="21"/>
          <w:highlight w:val="none"/>
        </w:rPr>
        <w:t xml:space="preserve">      单位：dB</w:t>
      </w:r>
    </w:p>
    <w:tbl>
      <w:tblPr>
        <w:tblStyle w:val="37"/>
        <w:tblW w:w="10058" w:type="dxa"/>
        <w:jc w:val="center"/>
        <w:tblLayout w:type="fixed"/>
        <w:tblCellMar>
          <w:top w:w="0" w:type="dxa"/>
          <w:left w:w="108" w:type="dxa"/>
          <w:bottom w:w="0" w:type="dxa"/>
          <w:right w:w="108" w:type="dxa"/>
        </w:tblCellMar>
      </w:tblPr>
      <w:tblGrid>
        <w:gridCol w:w="625"/>
        <w:gridCol w:w="810"/>
        <w:gridCol w:w="959"/>
        <w:gridCol w:w="899"/>
        <w:gridCol w:w="729"/>
        <w:gridCol w:w="652"/>
        <w:gridCol w:w="884"/>
        <w:gridCol w:w="864"/>
        <w:gridCol w:w="863"/>
        <w:gridCol w:w="9"/>
        <w:gridCol w:w="2755"/>
        <w:gridCol w:w="9"/>
      </w:tblGrid>
      <w:tr>
        <w:tblPrEx>
          <w:tblCellMar>
            <w:top w:w="0" w:type="dxa"/>
            <w:left w:w="108" w:type="dxa"/>
            <w:bottom w:w="0" w:type="dxa"/>
            <w:right w:w="108" w:type="dxa"/>
          </w:tblCellMar>
        </w:tblPrEx>
        <w:trPr>
          <w:trHeight w:val="333" w:hRule="atLeast"/>
          <w:tblHeader/>
          <w:jc w:val="center"/>
        </w:trPr>
        <w:tc>
          <w:tcPr>
            <w:tcW w:w="143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bookmarkStart w:id="69" w:name="_Toc362878575"/>
            <w:bookmarkStart w:id="70" w:name="_Toc361901852"/>
            <w:r>
              <w:rPr>
                <w:rFonts w:hint="eastAsia" w:ascii="宋体_GB2312" w:hAnsi="宋体_GB2312" w:eastAsia="宋体_GB2312" w:cs="宋体"/>
                <w:kern w:val="0"/>
                <w:sz w:val="18"/>
                <w:szCs w:val="18"/>
                <w:highlight w:val="none"/>
              </w:rPr>
              <w:t>检验项目</w:t>
            </w:r>
          </w:p>
        </w:tc>
        <w:tc>
          <w:tcPr>
            <w:tcW w:w="5859" w:type="dxa"/>
            <w:gridSpan w:val="8"/>
            <w:tcBorders>
              <w:top w:val="single" w:color="auto" w:sz="4" w:space="0"/>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单模（1310nm及1550nm)</w:t>
            </w:r>
          </w:p>
        </w:tc>
        <w:tc>
          <w:tcPr>
            <w:tcW w:w="2764" w:type="dxa"/>
            <w:gridSpan w:val="2"/>
            <w:tcBorders>
              <w:top w:val="single" w:color="auto" w:sz="4" w:space="0"/>
              <w:left w:val="nil"/>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外观要求</w:t>
            </w:r>
            <w:r>
              <w:rPr>
                <w:rFonts w:ascii="宋体_GB2312" w:hAnsi="宋体_GB2312" w:eastAsia="宋体_GB2312" w:cs="宋体"/>
                <w:b/>
                <w:color w:val="FF0000"/>
                <w:kern w:val="0"/>
                <w:sz w:val="18"/>
                <w:szCs w:val="18"/>
                <w:highlight w:val="none"/>
              </w:rPr>
              <w:t>(该项为B类指标)</w:t>
            </w:r>
          </w:p>
        </w:tc>
      </w:tr>
      <w:tr>
        <w:tblPrEx>
          <w:tblCellMar>
            <w:top w:w="0" w:type="dxa"/>
            <w:left w:w="108" w:type="dxa"/>
            <w:bottom w:w="0" w:type="dxa"/>
            <w:right w:w="108" w:type="dxa"/>
          </w:tblCellMar>
        </w:tblPrEx>
        <w:trPr>
          <w:gridAfter w:val="1"/>
          <w:wAfter w:w="9" w:type="dxa"/>
          <w:trHeight w:val="333" w:hRule="atLeast"/>
          <w:tblHeader/>
          <w:jc w:val="center"/>
        </w:trPr>
        <w:tc>
          <w:tcPr>
            <w:tcW w:w="625"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编码</w:t>
            </w:r>
          </w:p>
        </w:tc>
        <w:tc>
          <w:tcPr>
            <w:tcW w:w="81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项目名称</w:t>
            </w:r>
          </w:p>
        </w:tc>
        <w:tc>
          <w:tcPr>
            <w:tcW w:w="1858"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插入损耗</w:t>
            </w:r>
          </w:p>
        </w:tc>
        <w:tc>
          <w:tcPr>
            <w:tcW w:w="72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附加</w:t>
            </w:r>
          </w:p>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损耗</w:t>
            </w:r>
          </w:p>
        </w:tc>
        <w:tc>
          <w:tcPr>
            <w:tcW w:w="2400" w:type="dxa"/>
            <w:gridSpan w:val="3"/>
            <w:tcBorders>
              <w:top w:val="single" w:color="auto" w:sz="4" w:space="0"/>
              <w:left w:val="nil"/>
              <w:bottom w:val="single" w:color="auto" w:sz="4" w:space="0"/>
              <w:right w:val="single" w:color="auto" w:sz="4" w:space="0"/>
            </w:tcBorders>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回波损耗</w:t>
            </w:r>
          </w:p>
        </w:tc>
        <w:tc>
          <w:tcPr>
            <w:tcW w:w="863"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回波损耗变化量</w:t>
            </w:r>
          </w:p>
        </w:tc>
        <w:tc>
          <w:tcPr>
            <w:tcW w:w="2764" w:type="dxa"/>
            <w:gridSpan w:val="2"/>
            <w:vMerge w:val="restart"/>
            <w:tcBorders>
              <w:left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p>
        </w:tc>
      </w:tr>
      <w:tr>
        <w:tblPrEx>
          <w:tblCellMar>
            <w:top w:w="0" w:type="dxa"/>
            <w:left w:w="108" w:type="dxa"/>
            <w:bottom w:w="0" w:type="dxa"/>
            <w:right w:w="108" w:type="dxa"/>
          </w:tblCellMar>
        </w:tblPrEx>
        <w:trPr>
          <w:gridAfter w:val="1"/>
          <w:wAfter w:w="9" w:type="dxa"/>
          <w:trHeight w:val="655" w:hRule="atLeast"/>
          <w:tblHeader/>
          <w:jc w:val="center"/>
        </w:trPr>
        <w:tc>
          <w:tcPr>
            <w:tcW w:w="625" w:type="dxa"/>
            <w:vMerge w:val="continue"/>
            <w:tcBorders>
              <w:top w:val="nil"/>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highlight w:val="none"/>
              </w:rPr>
            </w:pPr>
          </w:p>
        </w:tc>
        <w:tc>
          <w:tcPr>
            <w:tcW w:w="810" w:type="dxa"/>
            <w:vMerge w:val="continue"/>
            <w:tcBorders>
              <w:top w:val="nil"/>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highlight w:val="none"/>
              </w:rPr>
            </w:pP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PC、UPC型</w:t>
            </w:r>
          </w:p>
        </w:tc>
        <w:tc>
          <w:tcPr>
            <w:tcW w:w="899" w:type="dxa"/>
            <w:tcBorders>
              <w:top w:val="nil"/>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highlight w:val="none"/>
              </w:rPr>
            </w:pPr>
            <w:r>
              <w:rPr>
                <w:rFonts w:hint="eastAsia"/>
                <w:kern w:val="0"/>
                <w:sz w:val="18"/>
                <w:szCs w:val="18"/>
                <w:highlight w:val="none"/>
              </w:rPr>
              <w:t>APC型</w:t>
            </w:r>
          </w:p>
        </w:tc>
        <w:tc>
          <w:tcPr>
            <w:tcW w:w="729" w:type="dxa"/>
            <w:vMerge w:val="continue"/>
            <w:tcBorders>
              <w:top w:val="nil"/>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highlight w:val="none"/>
              </w:rPr>
            </w:pP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PC型</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UPC型</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ascii="宋体_GB2312" w:hAnsi="宋体_GB2312" w:eastAsia="宋体_GB2312" w:cs="宋体"/>
                <w:kern w:val="0"/>
                <w:sz w:val="18"/>
                <w:szCs w:val="18"/>
                <w:highlight w:val="none"/>
              </w:rPr>
              <w:t>A</w:t>
            </w:r>
            <w:r>
              <w:rPr>
                <w:rFonts w:hint="eastAsia" w:ascii="宋体_GB2312" w:hAnsi="宋体_GB2312" w:eastAsia="宋体_GB2312" w:cs="宋体"/>
                <w:kern w:val="0"/>
                <w:sz w:val="18"/>
                <w:szCs w:val="18"/>
                <w:highlight w:val="none"/>
              </w:rPr>
              <w:t>PC型</w:t>
            </w:r>
          </w:p>
        </w:tc>
        <w:tc>
          <w:tcPr>
            <w:tcW w:w="863" w:type="dxa"/>
            <w:vMerge w:val="continue"/>
            <w:tcBorders>
              <w:top w:val="nil"/>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highlight w:val="none"/>
              </w:rPr>
            </w:pPr>
          </w:p>
        </w:tc>
        <w:tc>
          <w:tcPr>
            <w:tcW w:w="2764" w:type="dxa"/>
            <w:gridSpan w:val="2"/>
            <w:vMerge w:val="continue"/>
            <w:tcBorders>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highlight w:val="none"/>
              </w:rPr>
            </w:pPr>
          </w:p>
        </w:tc>
      </w:tr>
      <w:tr>
        <w:tblPrEx>
          <w:tblCellMar>
            <w:top w:w="0" w:type="dxa"/>
            <w:left w:w="108" w:type="dxa"/>
            <w:bottom w:w="0" w:type="dxa"/>
            <w:right w:w="108" w:type="dxa"/>
          </w:tblCellMar>
        </w:tblPrEx>
        <w:trPr>
          <w:gridAfter w:val="1"/>
          <w:wAfter w:w="9" w:type="dxa"/>
          <w:trHeight w:val="333"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olor w:val="FF0000"/>
                <w:highlight w:val="none"/>
              </w:rPr>
              <w:t>★</w:t>
            </w:r>
            <w:r>
              <w:rPr>
                <w:rFonts w:hint="eastAsia" w:ascii="宋体_GB2312" w:hAnsi="宋体_GB2312" w:eastAsia="宋体_GB2312" w:cs="宋体"/>
                <w:kern w:val="0"/>
                <w:sz w:val="18"/>
                <w:szCs w:val="18"/>
                <w:highlight w:val="none"/>
              </w:rPr>
              <w:t>1</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试验前</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hint="default" w:ascii="宋体_GB2312" w:hAnsi="宋体_GB2312" w:eastAsia="宋体_GB2312" w:cs="宋体"/>
                <w:kern w:val="0"/>
                <w:sz w:val="18"/>
                <w:szCs w:val="18"/>
                <w:highlight w:val="none"/>
                <w:lang w:val="en-US" w:eastAsia="zh-CN"/>
              </w:rPr>
            </w:pPr>
            <w:r>
              <w:rPr>
                <w:rFonts w:hint="eastAsia" w:ascii="宋体_GB2312" w:hAnsi="宋体_GB2312" w:eastAsia="宋体_GB2312" w:cs="宋体"/>
                <w:kern w:val="0"/>
                <w:sz w:val="18"/>
                <w:szCs w:val="18"/>
                <w:highlight w:val="none"/>
              </w:rPr>
              <w:t>≤0.</w:t>
            </w:r>
            <w:r>
              <w:rPr>
                <w:rFonts w:hint="eastAsia" w:ascii="宋体_GB2312" w:hAnsi="宋体_GB2312" w:eastAsia="宋体_GB2312" w:cs="宋体"/>
                <w:kern w:val="0"/>
                <w:sz w:val="18"/>
                <w:szCs w:val="18"/>
                <w:highlight w:val="none"/>
                <w:lang w:val="en-US" w:eastAsia="zh-CN"/>
              </w:rPr>
              <w:t>35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≤0.45</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≥45</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≥50</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6</w:t>
            </w:r>
            <w:r>
              <w:rPr>
                <w:rFonts w:hint="eastAsia" w:ascii="宋体_GB2312" w:hAnsi="宋体_GB2312" w:eastAsia="宋体_GB2312" w:cs="宋体"/>
                <w:kern w:val="0"/>
                <w:sz w:val="18"/>
                <w:szCs w:val="18"/>
                <w:highlight w:val="none"/>
              </w:rPr>
              <w:t>0</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p>
        </w:tc>
        <w:tc>
          <w:tcPr>
            <w:tcW w:w="2764" w:type="dxa"/>
            <w:gridSpan w:val="2"/>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p>
        </w:tc>
      </w:tr>
      <w:tr>
        <w:tblPrEx>
          <w:tblCellMar>
            <w:top w:w="0" w:type="dxa"/>
            <w:left w:w="108" w:type="dxa"/>
            <w:bottom w:w="0" w:type="dxa"/>
            <w:right w:w="108" w:type="dxa"/>
          </w:tblCellMar>
        </w:tblPrEx>
        <w:trPr>
          <w:gridAfter w:val="1"/>
          <w:wAfter w:w="9" w:type="dxa"/>
          <w:trHeight w:val="655"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2</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互换性试验</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≤0.6</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　</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≥43</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≥48</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58</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　</w:t>
            </w:r>
          </w:p>
        </w:tc>
        <w:tc>
          <w:tcPr>
            <w:tcW w:w="2764"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试验后，不得有机械损伤，插针表面无明显划痕</w:t>
            </w:r>
          </w:p>
        </w:tc>
      </w:tr>
      <w:tr>
        <w:tblPrEx>
          <w:tblCellMar>
            <w:top w:w="0" w:type="dxa"/>
            <w:left w:w="108" w:type="dxa"/>
            <w:bottom w:w="0" w:type="dxa"/>
            <w:right w:w="108" w:type="dxa"/>
          </w:tblCellMar>
        </w:tblPrEx>
        <w:trPr>
          <w:gridAfter w:val="1"/>
          <w:wAfter w:w="9" w:type="dxa"/>
          <w:trHeight w:val="655"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3</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机械耐久性</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≤0.6</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≤0.2</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≥43</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≥48</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58</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w:t>
            </w:r>
          </w:p>
        </w:tc>
        <w:tc>
          <w:tcPr>
            <w:tcW w:w="2764"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试验后，不得有机械损伤，插针表面无明显划痕</w:t>
            </w:r>
          </w:p>
        </w:tc>
      </w:tr>
      <w:tr>
        <w:tblPrEx>
          <w:tblCellMar>
            <w:top w:w="0" w:type="dxa"/>
            <w:left w:w="108" w:type="dxa"/>
            <w:bottom w:w="0" w:type="dxa"/>
            <w:right w:w="108" w:type="dxa"/>
          </w:tblCellMar>
        </w:tblPrEx>
        <w:trPr>
          <w:gridAfter w:val="1"/>
          <w:wAfter w:w="9" w:type="dxa"/>
          <w:trHeight w:val="655"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抗拉试验</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≤0.6</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≤0.1</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≥43</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≥48</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58</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w:t>
            </w:r>
          </w:p>
        </w:tc>
        <w:tc>
          <w:tcPr>
            <w:tcW w:w="2764"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试验后，不得有机械损伤，插针表面无明显划痕</w:t>
            </w:r>
          </w:p>
        </w:tc>
      </w:tr>
      <w:tr>
        <w:tblPrEx>
          <w:tblCellMar>
            <w:top w:w="0" w:type="dxa"/>
            <w:left w:w="108" w:type="dxa"/>
            <w:bottom w:w="0" w:type="dxa"/>
            <w:right w:w="108" w:type="dxa"/>
          </w:tblCellMar>
        </w:tblPrEx>
        <w:trPr>
          <w:gridAfter w:val="1"/>
          <w:wAfter w:w="9" w:type="dxa"/>
          <w:trHeight w:val="655"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扭转试验</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≤0.6</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≤0.2</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≥43</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≥48</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58</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w:t>
            </w:r>
          </w:p>
        </w:tc>
        <w:tc>
          <w:tcPr>
            <w:tcW w:w="2764"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试验后，不得有机械损伤，插针表面无明显划痕</w:t>
            </w:r>
          </w:p>
        </w:tc>
      </w:tr>
      <w:tr>
        <w:tblPrEx>
          <w:tblCellMar>
            <w:top w:w="0" w:type="dxa"/>
            <w:left w:w="108" w:type="dxa"/>
            <w:bottom w:w="0" w:type="dxa"/>
            <w:right w:w="108" w:type="dxa"/>
          </w:tblCellMar>
        </w:tblPrEx>
        <w:trPr>
          <w:gridAfter w:val="1"/>
          <w:wAfter w:w="9" w:type="dxa"/>
          <w:trHeight w:val="655"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6</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跌落试验</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≤0.6</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≤0.2</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≥43</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≥48</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58</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w:t>
            </w:r>
          </w:p>
        </w:tc>
        <w:tc>
          <w:tcPr>
            <w:tcW w:w="2764"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试验后，不得有机械损伤，插针表面无明显划痕</w:t>
            </w:r>
          </w:p>
        </w:tc>
      </w:tr>
      <w:tr>
        <w:tblPrEx>
          <w:tblCellMar>
            <w:top w:w="0" w:type="dxa"/>
            <w:left w:w="108" w:type="dxa"/>
            <w:bottom w:w="0" w:type="dxa"/>
            <w:right w:w="108" w:type="dxa"/>
          </w:tblCellMar>
        </w:tblPrEx>
        <w:trPr>
          <w:gridAfter w:val="1"/>
          <w:wAfter w:w="9" w:type="dxa"/>
          <w:trHeight w:val="655"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7</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重复性</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≤0.6</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≤0.2</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≥43</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≥48</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58</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w:t>
            </w:r>
          </w:p>
        </w:tc>
        <w:tc>
          <w:tcPr>
            <w:tcW w:w="2764"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试验后，不得有机械损伤，插针表面无明显划痕</w:t>
            </w:r>
          </w:p>
        </w:tc>
      </w:tr>
      <w:tr>
        <w:tblPrEx>
          <w:tblCellMar>
            <w:top w:w="0" w:type="dxa"/>
            <w:left w:w="108" w:type="dxa"/>
            <w:bottom w:w="0" w:type="dxa"/>
            <w:right w:w="108" w:type="dxa"/>
          </w:tblCellMar>
        </w:tblPrEx>
        <w:trPr>
          <w:gridAfter w:val="1"/>
          <w:wAfter w:w="9" w:type="dxa"/>
          <w:trHeight w:val="655"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8</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运输试验</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≤0.6</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≤0.1</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≥43</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≥48</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58</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w:t>
            </w:r>
          </w:p>
        </w:tc>
        <w:tc>
          <w:tcPr>
            <w:tcW w:w="2764"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试验后，不得有机械损伤，插针表面无明显划痕</w:t>
            </w:r>
          </w:p>
        </w:tc>
      </w:tr>
      <w:tr>
        <w:tblPrEx>
          <w:tblCellMar>
            <w:top w:w="0" w:type="dxa"/>
            <w:left w:w="108" w:type="dxa"/>
            <w:bottom w:w="0" w:type="dxa"/>
            <w:right w:w="108" w:type="dxa"/>
          </w:tblCellMar>
        </w:tblPrEx>
        <w:trPr>
          <w:gridAfter w:val="1"/>
          <w:wAfter w:w="9" w:type="dxa"/>
          <w:trHeight w:val="655"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9</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高温试验</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≤0.6</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≤0.2</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≥43</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≥48</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58</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w:t>
            </w:r>
          </w:p>
        </w:tc>
        <w:tc>
          <w:tcPr>
            <w:tcW w:w="2764"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试验后，不得有机械损伤，插针表面无明显划痕</w:t>
            </w:r>
          </w:p>
        </w:tc>
      </w:tr>
      <w:tr>
        <w:tblPrEx>
          <w:tblCellMar>
            <w:top w:w="0" w:type="dxa"/>
            <w:left w:w="108" w:type="dxa"/>
            <w:bottom w:w="0" w:type="dxa"/>
            <w:right w:w="108" w:type="dxa"/>
          </w:tblCellMar>
        </w:tblPrEx>
        <w:trPr>
          <w:gridAfter w:val="1"/>
          <w:wAfter w:w="9" w:type="dxa"/>
          <w:trHeight w:val="655"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10</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低温试验</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≤0.6</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≤0.2</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≥43</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≥48</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58</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w:t>
            </w:r>
          </w:p>
        </w:tc>
        <w:tc>
          <w:tcPr>
            <w:tcW w:w="2764"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试验后，不得有机械损伤，插针表面无明显划痕</w:t>
            </w:r>
          </w:p>
        </w:tc>
      </w:tr>
      <w:tr>
        <w:tblPrEx>
          <w:tblCellMar>
            <w:top w:w="0" w:type="dxa"/>
            <w:left w:w="108" w:type="dxa"/>
            <w:bottom w:w="0" w:type="dxa"/>
            <w:right w:w="108" w:type="dxa"/>
          </w:tblCellMar>
        </w:tblPrEx>
        <w:trPr>
          <w:gridAfter w:val="1"/>
          <w:wAfter w:w="9" w:type="dxa"/>
          <w:trHeight w:val="655"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ascii="宋体_GB2312" w:hAnsi="宋体_GB2312" w:eastAsia="宋体_GB2312" w:cs="宋体"/>
                <w:kern w:val="0"/>
                <w:sz w:val="18"/>
                <w:szCs w:val="18"/>
                <w:highlight w:val="none"/>
              </w:rPr>
              <w:t>1</w:t>
            </w:r>
            <w:r>
              <w:rPr>
                <w:rFonts w:hint="eastAsia" w:ascii="宋体_GB2312" w:hAnsi="宋体_GB2312" w:eastAsia="宋体_GB2312" w:cs="宋体"/>
                <w:kern w:val="0"/>
                <w:sz w:val="18"/>
                <w:szCs w:val="18"/>
                <w:highlight w:val="none"/>
              </w:rPr>
              <w:t>1</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湿热试验</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≤0.6</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≤0.2</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≥43</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≥48</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58</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w:t>
            </w:r>
          </w:p>
        </w:tc>
        <w:tc>
          <w:tcPr>
            <w:tcW w:w="2764"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试验后，不得有机械损伤，插针表面无明显划痕</w:t>
            </w:r>
          </w:p>
        </w:tc>
      </w:tr>
      <w:tr>
        <w:tblPrEx>
          <w:tblCellMar>
            <w:top w:w="0" w:type="dxa"/>
            <w:left w:w="108" w:type="dxa"/>
            <w:bottom w:w="0" w:type="dxa"/>
            <w:right w:w="108" w:type="dxa"/>
          </w:tblCellMar>
        </w:tblPrEx>
        <w:trPr>
          <w:gridAfter w:val="1"/>
          <w:wAfter w:w="9" w:type="dxa"/>
          <w:trHeight w:val="665" w:hRule="atLeast"/>
          <w:jc w:val="center"/>
        </w:trPr>
        <w:tc>
          <w:tcPr>
            <w:tcW w:w="625"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12</w:t>
            </w:r>
          </w:p>
        </w:tc>
        <w:tc>
          <w:tcPr>
            <w:tcW w:w="81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盐雾试验</w:t>
            </w:r>
          </w:p>
        </w:tc>
        <w:tc>
          <w:tcPr>
            <w:tcW w:w="959"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≤0.5</w:t>
            </w:r>
          </w:p>
        </w:tc>
        <w:tc>
          <w:tcPr>
            <w:tcW w:w="899"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kern w:val="0"/>
                <w:sz w:val="18"/>
                <w:szCs w:val="18"/>
                <w:highlight w:val="none"/>
              </w:rPr>
              <w:t>≤0.6</w:t>
            </w:r>
          </w:p>
        </w:tc>
        <w:tc>
          <w:tcPr>
            <w:tcW w:w="72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≤0.2</w:t>
            </w:r>
          </w:p>
        </w:tc>
        <w:tc>
          <w:tcPr>
            <w:tcW w:w="652"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≥43</w:t>
            </w:r>
          </w:p>
        </w:tc>
        <w:tc>
          <w:tcPr>
            <w:tcW w:w="884"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≥48</w:t>
            </w:r>
          </w:p>
        </w:tc>
        <w:tc>
          <w:tcPr>
            <w:tcW w:w="864"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w:t>
            </w:r>
            <w:r>
              <w:rPr>
                <w:rFonts w:ascii="宋体_GB2312" w:hAnsi="宋体_GB2312" w:eastAsia="宋体_GB2312" w:cs="宋体"/>
                <w:kern w:val="0"/>
                <w:sz w:val="18"/>
                <w:szCs w:val="18"/>
                <w:highlight w:val="none"/>
              </w:rPr>
              <w:t>58</w:t>
            </w:r>
          </w:p>
        </w:tc>
        <w:tc>
          <w:tcPr>
            <w:tcW w:w="863"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≤5</w:t>
            </w:r>
          </w:p>
        </w:tc>
        <w:tc>
          <w:tcPr>
            <w:tcW w:w="2764"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highlight w:val="none"/>
              </w:rPr>
            </w:pPr>
            <w:r>
              <w:rPr>
                <w:rFonts w:hint="eastAsia" w:ascii="宋体_GB2312" w:hAnsi="宋体_GB2312" w:eastAsia="宋体_GB2312" w:cs="宋体"/>
                <w:kern w:val="0"/>
                <w:sz w:val="18"/>
                <w:szCs w:val="18"/>
                <w:highlight w:val="none"/>
              </w:rPr>
              <w:t>试验后，不得有机械损伤，插针表面无明显划痕</w:t>
            </w:r>
          </w:p>
        </w:tc>
      </w:tr>
    </w:tbl>
    <w:p>
      <w:pPr>
        <w:pStyle w:val="62"/>
        <w:spacing w:line="560" w:lineRule="exact"/>
        <w:rPr>
          <w:rFonts w:ascii="宋体_GB2312" w:hAnsi="宋体_GB2312" w:eastAsia="宋体_GB2312"/>
          <w:sz w:val="24"/>
          <w:highlight w:val="none"/>
        </w:rPr>
      </w:pPr>
      <w:r>
        <w:rPr>
          <w:rFonts w:hint="eastAsia" w:ascii="宋体_GB2312" w:hAnsi="宋体_GB2312" w:eastAsia="宋体_GB2312"/>
          <w:sz w:val="24"/>
          <w:highlight w:val="none"/>
        </w:rPr>
        <w:t>3</w:t>
      </w:r>
      <w:r>
        <w:rPr>
          <w:rFonts w:ascii="宋体_GB2312" w:hAnsi="宋体_GB2312" w:eastAsia="宋体_GB2312"/>
          <w:sz w:val="24"/>
          <w:highlight w:val="none"/>
        </w:rPr>
        <w:t>.</w:t>
      </w:r>
      <w:r>
        <w:rPr>
          <w:rFonts w:hint="eastAsia" w:ascii="宋体_GB2312" w:hAnsi="宋体_GB2312" w:eastAsia="宋体_GB2312"/>
          <w:sz w:val="24"/>
          <w:highlight w:val="none"/>
        </w:rPr>
        <w:t>5</w:t>
      </w:r>
      <w:r>
        <w:rPr>
          <w:rFonts w:ascii="宋体_GB2312" w:hAnsi="宋体_GB2312" w:eastAsia="宋体_GB2312"/>
          <w:sz w:val="24"/>
          <w:highlight w:val="none"/>
        </w:rPr>
        <w:t>.</w:t>
      </w:r>
      <w:r>
        <w:rPr>
          <w:rFonts w:hint="eastAsia" w:ascii="宋体_GB2312" w:hAnsi="宋体_GB2312" w:eastAsia="宋体_GB2312"/>
          <w:sz w:val="24"/>
          <w:highlight w:val="none"/>
        </w:rPr>
        <w:t>3 光纤连接器及尾纤几何尺寸指标</w:t>
      </w:r>
      <w:bookmarkEnd w:id="69"/>
    </w:p>
    <w:p>
      <w:pPr>
        <w:spacing w:before="163" w:beforeLines="50" w:line="300" w:lineRule="auto"/>
        <w:ind w:firstLine="480" w:firstLineChars="200"/>
        <w:rPr>
          <w:rFonts w:ascii="宋体_GB2312" w:hAnsi="宋体_GB2312" w:eastAsia="宋体_GB2312"/>
          <w:highlight w:val="none"/>
        </w:rPr>
      </w:pPr>
      <w:r>
        <w:rPr>
          <w:rFonts w:hint="eastAsia" w:ascii="宋体_GB2312" w:hAnsi="宋体_GB2312" w:eastAsia="宋体_GB2312"/>
          <w:highlight w:val="none"/>
        </w:rPr>
        <w:t>光纤连接器及尾纤端面几何尺寸指标应符合表4的要求。</w:t>
      </w:r>
    </w:p>
    <w:p>
      <w:pPr>
        <w:widowControl/>
        <w:spacing w:line="360" w:lineRule="auto"/>
        <w:jc w:val="center"/>
        <w:rPr>
          <w:rFonts w:ascii="宋体_GB2312" w:hAnsi="宋体_GB2312" w:eastAsia="宋体_GB2312"/>
          <w:kern w:val="21"/>
          <w:highlight w:val="none"/>
        </w:rPr>
      </w:pPr>
      <w:r>
        <w:rPr>
          <w:rFonts w:hint="eastAsia" w:ascii="宋体_GB2312" w:hAnsi="宋体_GB2312" w:eastAsia="宋体_GB2312"/>
          <w:kern w:val="21"/>
          <w:highlight w:val="none"/>
        </w:rPr>
        <w:t>表4  光纤连接器端面几何尺寸指标</w:t>
      </w:r>
    </w:p>
    <w:tbl>
      <w:tblPr>
        <w:tblStyle w:val="37"/>
        <w:tblW w:w="95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7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6" w:hRule="atLeast"/>
        </w:trPr>
        <w:tc>
          <w:tcPr>
            <w:tcW w:w="1951" w:type="dxa"/>
            <w:shd w:val="clear" w:color="auto" w:fill="auto"/>
            <w:vAlign w:val="center"/>
          </w:tcPr>
          <w:p>
            <w:pPr>
              <w:spacing w:line="360" w:lineRule="auto"/>
              <w:jc w:val="center"/>
              <w:rPr>
                <w:rFonts w:ascii="宋体_GB2312" w:hAnsi="宋体_GB2312" w:eastAsia="宋体_GB2312"/>
                <w:kern w:val="0"/>
                <w:highlight w:val="none"/>
              </w:rPr>
            </w:pPr>
            <w:r>
              <w:rPr>
                <w:rFonts w:ascii="宋体_GB2312" w:hAnsi="宋体_GB2312" w:eastAsia="宋体_GB2312"/>
                <w:kern w:val="0"/>
                <w:highlight w:val="none"/>
              </w:rPr>
              <w:t>PC</w:t>
            </w:r>
            <w:r>
              <w:rPr>
                <w:rFonts w:hint="eastAsia" w:ascii="宋体_GB2312" w:hAnsi="宋体_GB2312" w:eastAsia="宋体_GB2312"/>
                <w:kern w:val="0"/>
                <w:highlight w:val="none"/>
                <w:lang w:eastAsia="zh-CN"/>
              </w:rPr>
              <w:t>、</w:t>
            </w:r>
            <w:r>
              <w:rPr>
                <w:rFonts w:hint="eastAsia" w:ascii="宋体_GB2312" w:hAnsi="宋体_GB2312" w:eastAsia="宋体_GB2312"/>
                <w:kern w:val="0"/>
                <w:highlight w:val="none"/>
                <w:lang w:val="en-US" w:eastAsia="zh-CN"/>
              </w:rPr>
              <w:t>UPC</w:t>
            </w:r>
            <w:r>
              <w:rPr>
                <w:rFonts w:ascii="宋体_GB2312" w:hAnsi="宋体_GB2312" w:eastAsia="宋体_GB2312"/>
                <w:kern w:val="0"/>
                <w:highlight w:val="none"/>
              </w:rPr>
              <w:t>端面</w:t>
            </w:r>
          </w:p>
          <w:p>
            <w:pPr>
              <w:spacing w:line="360" w:lineRule="auto"/>
              <w:jc w:val="center"/>
              <w:rPr>
                <w:rFonts w:ascii="宋体_GB2312" w:hAnsi="宋体_GB2312" w:eastAsia="宋体_GB2312"/>
                <w:kern w:val="21"/>
                <w:highlight w:val="none"/>
              </w:rPr>
            </w:pPr>
            <w:r>
              <w:rPr>
                <w:rFonts w:ascii="宋体_GB2312" w:hAnsi="宋体_GB2312" w:eastAsia="宋体_GB2312"/>
                <w:kern w:val="0"/>
                <w:highlight w:val="none"/>
              </w:rPr>
              <w:t>几何尺寸</w:t>
            </w:r>
          </w:p>
        </w:tc>
        <w:tc>
          <w:tcPr>
            <w:tcW w:w="7563" w:type="dxa"/>
            <w:shd w:val="clear" w:color="auto" w:fill="auto"/>
          </w:tcPr>
          <w:p>
            <w:pPr>
              <w:spacing w:line="360" w:lineRule="auto"/>
              <w:rPr>
                <w:rFonts w:ascii="宋体_GB2312" w:hAnsi="宋体_GB2312" w:eastAsia="宋体_GB2312"/>
                <w:kern w:val="21"/>
                <w:highlight w:val="none"/>
              </w:rPr>
            </w:pPr>
            <w:r>
              <w:rPr>
                <w:rFonts w:ascii="宋体_GB2312" w:hAnsi="宋体_GB2312" w:eastAsia="宋体_GB2312"/>
                <w:kern w:val="21"/>
                <w:highlight w:val="none"/>
              </w:rPr>
              <w:t>试验条件: 试验前用端面几何尺寸测量仪检测，打印测量结果。</w:t>
            </w:r>
          </w:p>
          <w:p>
            <w:pPr>
              <w:spacing w:line="360" w:lineRule="auto"/>
              <w:rPr>
                <w:rFonts w:ascii="宋体_GB2312" w:hAnsi="宋体_GB2312" w:eastAsia="宋体_GB2312"/>
                <w:kern w:val="21"/>
                <w:highlight w:val="none"/>
              </w:rPr>
            </w:pPr>
            <w:r>
              <w:rPr>
                <w:rFonts w:ascii="宋体_GB2312" w:hAnsi="宋体_GB2312" w:eastAsia="宋体_GB2312"/>
                <w:kern w:val="21"/>
                <w:highlight w:val="none"/>
              </w:rPr>
              <w:t>判定标准：</w:t>
            </w:r>
          </w:p>
          <w:tbl>
            <w:tblPr>
              <w:tblStyle w:val="37"/>
              <w:tblW w:w="6407" w:type="dxa"/>
              <w:tblInd w:w="32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5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vMerge w:val="restart"/>
                  <w:shd w:val="clear" w:color="auto" w:fill="auto"/>
                  <w:vAlign w:val="center"/>
                </w:tcPr>
                <w:p>
                  <w:pPr>
                    <w:spacing w:line="360" w:lineRule="auto"/>
                    <w:jc w:val="center"/>
                    <w:rPr>
                      <w:rFonts w:ascii="宋体_GB2312" w:hAnsi="宋体_GB2312" w:eastAsia="宋体_GB2312"/>
                      <w:kern w:val="21"/>
                      <w:highlight w:val="none"/>
                    </w:rPr>
                  </w:pPr>
                  <w:r>
                    <w:rPr>
                      <w:rFonts w:ascii="宋体_GB2312" w:hAnsi="宋体_GB2312" w:eastAsia="宋体_GB2312"/>
                      <w:kern w:val="21"/>
                      <w:highlight w:val="none"/>
                    </w:rPr>
                    <w:t>纤芯下陷</w:t>
                  </w:r>
                </w:p>
              </w:tc>
              <w:tc>
                <w:tcPr>
                  <w:tcW w:w="5103" w:type="dxa"/>
                  <w:shd w:val="clear" w:color="auto" w:fill="auto"/>
                </w:tcPr>
                <w:p>
                  <w:pPr>
                    <w:spacing w:line="360" w:lineRule="auto"/>
                    <w:rPr>
                      <w:rFonts w:ascii="宋体_GB2312" w:hAnsi="宋体_GB2312" w:eastAsia="宋体_GB2312"/>
                      <w:kern w:val="21"/>
                      <w:highlight w:val="none"/>
                    </w:rPr>
                  </w:pPr>
                  <w:r>
                    <w:rPr>
                      <w:rFonts w:ascii="宋体_GB2312" w:hAnsi="宋体_GB2312" w:eastAsia="宋体_GB2312"/>
                      <w:i/>
                      <w:kern w:val="0"/>
                      <w:highlight w:val="none"/>
                    </w:rPr>
                    <w:t>X</w:t>
                  </w:r>
                  <w:r>
                    <w:rPr>
                      <w:rFonts w:ascii="宋体_GB2312" w:hAnsi="宋体_GB2312" w:eastAsia="宋体_GB2312"/>
                      <w:kern w:val="0"/>
                      <w:highlight w:val="none"/>
                    </w:rPr>
                    <w:t>≤125nm(</w:t>
                  </w:r>
                  <w:r>
                    <w:rPr>
                      <w:rFonts w:ascii="宋体_GB2312" w:hAnsi="宋体_GB2312" w:eastAsia="宋体_GB2312"/>
                      <w:kern w:val="21"/>
                      <w:highlight w:val="none"/>
                    </w:rPr>
                    <w:t>曲率半径在7～10mm)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vMerge w:val="continue"/>
                  <w:shd w:val="clear" w:color="auto" w:fill="auto"/>
                </w:tcPr>
                <w:p>
                  <w:pPr>
                    <w:spacing w:line="360" w:lineRule="auto"/>
                    <w:rPr>
                      <w:rFonts w:ascii="宋体_GB2312" w:hAnsi="宋体_GB2312" w:eastAsia="宋体_GB2312"/>
                      <w:kern w:val="21"/>
                      <w:highlight w:val="none"/>
                    </w:rPr>
                  </w:pPr>
                </w:p>
              </w:tc>
              <w:tc>
                <w:tcPr>
                  <w:tcW w:w="5103" w:type="dxa"/>
                  <w:shd w:val="clear" w:color="auto" w:fill="auto"/>
                </w:tcPr>
                <w:p>
                  <w:pPr>
                    <w:spacing w:line="360" w:lineRule="auto"/>
                    <w:rPr>
                      <w:rFonts w:ascii="宋体_GB2312" w:hAnsi="宋体_GB2312" w:eastAsia="宋体_GB2312"/>
                      <w:kern w:val="21"/>
                      <w:highlight w:val="none"/>
                    </w:rPr>
                  </w:pPr>
                  <w:r>
                    <w:rPr>
                      <w:rFonts w:ascii="宋体_GB2312" w:hAnsi="宋体_GB2312" w:eastAsia="宋体_GB2312"/>
                      <w:i/>
                      <w:kern w:val="0"/>
                      <w:highlight w:val="none"/>
                    </w:rPr>
                    <w:t>X</w:t>
                  </w:r>
                  <w:r>
                    <w:rPr>
                      <w:rFonts w:ascii="宋体_GB2312" w:hAnsi="宋体_GB2312" w:eastAsia="宋体_GB2312"/>
                      <w:kern w:val="0"/>
                      <w:highlight w:val="none"/>
                    </w:rPr>
                    <w:t>≤-0.02R</w:t>
                  </w:r>
                  <w:r>
                    <w:rPr>
                      <w:rFonts w:ascii="宋体_GB2312" w:hAnsi="宋体_GB2312" w:eastAsia="宋体_GB2312"/>
                      <w:kern w:val="0"/>
                      <w:highlight w:val="none"/>
                      <w:vertAlign w:val="superscript"/>
                    </w:rPr>
                    <w:t>3</w:t>
                  </w:r>
                  <w:r>
                    <w:rPr>
                      <w:rFonts w:ascii="宋体_GB2312" w:hAnsi="宋体_GB2312" w:eastAsia="宋体_GB2312"/>
                      <w:kern w:val="0"/>
                      <w:highlight w:val="none"/>
                    </w:rPr>
                    <w:t>+1.3R</w:t>
                  </w:r>
                  <w:r>
                    <w:rPr>
                      <w:rFonts w:ascii="宋体_GB2312" w:hAnsi="宋体_GB2312" w:eastAsia="宋体_GB2312"/>
                      <w:kern w:val="0"/>
                      <w:highlight w:val="none"/>
                      <w:vertAlign w:val="superscript"/>
                    </w:rPr>
                    <w:t>2</w:t>
                  </w:r>
                  <w:r>
                    <w:rPr>
                      <w:rFonts w:ascii="宋体_GB2312" w:hAnsi="宋体_GB2312" w:eastAsia="宋体_GB2312"/>
                      <w:kern w:val="0"/>
                      <w:highlight w:val="none"/>
                    </w:rPr>
                    <w:t>-31R+325</w:t>
                  </w:r>
                  <w:r>
                    <w:rPr>
                      <w:rFonts w:hint="eastAsia" w:ascii="宋体_GB2312" w:hAnsi="宋体_GB2312" w:eastAsia="宋体_GB2312"/>
                      <w:kern w:val="0"/>
                      <w:highlight w:val="none"/>
                    </w:rPr>
                    <w:t>（</w:t>
                  </w:r>
                  <w:r>
                    <w:rPr>
                      <w:rFonts w:ascii="宋体_GB2312" w:hAnsi="宋体_GB2312" w:eastAsia="宋体_GB2312"/>
                      <w:kern w:val="0"/>
                      <w:highlight w:val="none"/>
                    </w:rPr>
                    <w:t>nm</w:t>
                  </w:r>
                  <w:r>
                    <w:rPr>
                      <w:rFonts w:hint="eastAsia" w:ascii="宋体_GB2312" w:hAnsi="宋体_GB2312" w:eastAsia="宋体_GB2312"/>
                      <w:kern w:val="0"/>
                      <w:highlight w:val="none"/>
                    </w:rPr>
                    <w:t>）</w:t>
                  </w:r>
                  <w:r>
                    <w:rPr>
                      <w:rFonts w:ascii="宋体_GB2312" w:hAnsi="宋体_GB2312" w:eastAsia="宋体_GB2312"/>
                      <w:kern w:val="0"/>
                      <w:highlight w:val="none"/>
                    </w:rPr>
                    <w:t>(其</w:t>
                  </w:r>
                  <w:r>
                    <w:rPr>
                      <w:rFonts w:hint="eastAsia" w:ascii="宋体_GB2312" w:hAnsi="宋体_GB2312" w:eastAsia="宋体_GB2312"/>
                      <w:kern w:val="0"/>
                      <w:highlight w:val="none"/>
                    </w:rPr>
                    <w:t>它</w:t>
                  </w:r>
                  <w:r>
                    <w:rPr>
                      <w:rFonts w:ascii="宋体_GB2312" w:hAnsi="宋体_GB2312" w:eastAsia="宋体_GB2312"/>
                      <w:kern w:val="21"/>
                      <w:highlight w:val="none"/>
                    </w:rPr>
                    <w:t>曲率半径)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shd w:val="clear" w:color="auto" w:fill="auto"/>
                </w:tcPr>
                <w:p>
                  <w:pPr>
                    <w:spacing w:line="360" w:lineRule="auto"/>
                    <w:jc w:val="center"/>
                    <w:rPr>
                      <w:rFonts w:ascii="宋体_GB2312" w:hAnsi="宋体_GB2312" w:eastAsia="宋体_GB2312"/>
                      <w:kern w:val="21"/>
                      <w:highlight w:val="none"/>
                    </w:rPr>
                  </w:pPr>
                  <w:r>
                    <w:rPr>
                      <w:rFonts w:ascii="宋体_GB2312" w:hAnsi="宋体_GB2312" w:eastAsia="宋体_GB2312"/>
                      <w:kern w:val="21"/>
                      <w:highlight w:val="none"/>
                    </w:rPr>
                    <w:t>纤芯突出</w:t>
                  </w:r>
                </w:p>
              </w:tc>
              <w:tc>
                <w:tcPr>
                  <w:tcW w:w="5103" w:type="dxa"/>
                  <w:shd w:val="clear" w:color="auto" w:fill="auto"/>
                </w:tcPr>
                <w:p>
                  <w:pPr>
                    <w:spacing w:line="360" w:lineRule="auto"/>
                    <w:rPr>
                      <w:rFonts w:ascii="宋体_GB2312" w:hAnsi="宋体_GB2312" w:eastAsia="宋体_GB2312"/>
                      <w:kern w:val="21"/>
                      <w:highlight w:val="none"/>
                    </w:rPr>
                  </w:pPr>
                  <w:r>
                    <w:rPr>
                      <w:rFonts w:ascii="宋体_GB2312" w:hAnsi="宋体_GB2312" w:eastAsia="宋体_GB2312"/>
                      <w:i/>
                      <w:kern w:val="21"/>
                      <w:highlight w:val="none"/>
                    </w:rPr>
                    <w:t>Y</w:t>
                  </w:r>
                  <w:r>
                    <w:rPr>
                      <w:rFonts w:ascii="宋体_GB2312" w:hAnsi="宋体_GB2312" w:eastAsia="宋体_GB2312"/>
                      <w:kern w:val="0"/>
                      <w:highlight w:val="none"/>
                    </w:rPr>
                    <w:t>≤50nm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shd w:val="clear" w:color="auto" w:fill="auto"/>
                </w:tcPr>
                <w:p>
                  <w:pPr>
                    <w:spacing w:line="360" w:lineRule="auto"/>
                    <w:jc w:val="center"/>
                    <w:rPr>
                      <w:rFonts w:ascii="宋体_GB2312" w:hAnsi="宋体_GB2312" w:eastAsia="宋体_GB2312"/>
                      <w:kern w:val="21"/>
                      <w:highlight w:val="none"/>
                    </w:rPr>
                  </w:pPr>
                  <w:r>
                    <w:rPr>
                      <w:rFonts w:ascii="宋体_GB2312" w:hAnsi="宋体_GB2312" w:eastAsia="宋体_GB2312"/>
                      <w:kern w:val="21"/>
                      <w:highlight w:val="none"/>
                    </w:rPr>
                    <w:t>曲率半径</w:t>
                  </w:r>
                </w:p>
              </w:tc>
              <w:tc>
                <w:tcPr>
                  <w:tcW w:w="5103" w:type="dxa"/>
                  <w:shd w:val="clear" w:color="auto" w:fill="auto"/>
                </w:tcPr>
                <w:p>
                  <w:pPr>
                    <w:spacing w:line="360" w:lineRule="auto"/>
                    <w:rPr>
                      <w:rFonts w:ascii="宋体_GB2312" w:hAnsi="宋体_GB2312" w:eastAsia="宋体_GB2312"/>
                      <w:kern w:val="21"/>
                      <w:highlight w:val="none"/>
                    </w:rPr>
                  </w:pPr>
                  <w:r>
                    <w:rPr>
                      <w:rFonts w:ascii="宋体_GB2312" w:hAnsi="宋体_GB2312" w:eastAsia="宋体_GB2312"/>
                      <w:i/>
                      <w:kern w:val="21"/>
                      <w:highlight w:val="none"/>
                    </w:rPr>
                    <w:t>R</w:t>
                  </w:r>
                  <w:r>
                    <w:rPr>
                      <w:rFonts w:ascii="宋体_GB2312" w:hAnsi="宋体_GB2312" w:eastAsia="宋体_GB2312"/>
                      <w:kern w:val="21"/>
                      <w:highlight w:val="none"/>
                    </w:rPr>
                    <w:t>=7～25mm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shd w:val="clear" w:color="auto" w:fill="auto"/>
                </w:tcPr>
                <w:p>
                  <w:pPr>
                    <w:spacing w:line="360" w:lineRule="auto"/>
                    <w:jc w:val="center"/>
                    <w:rPr>
                      <w:rFonts w:ascii="宋体_GB2312" w:hAnsi="宋体_GB2312" w:eastAsia="宋体_GB2312"/>
                      <w:kern w:val="21"/>
                      <w:highlight w:val="none"/>
                    </w:rPr>
                  </w:pPr>
                  <w:r>
                    <w:rPr>
                      <w:rFonts w:ascii="宋体_GB2312" w:hAnsi="宋体_GB2312" w:eastAsia="宋体_GB2312"/>
                      <w:kern w:val="21"/>
                      <w:highlight w:val="none"/>
                    </w:rPr>
                    <w:t>顶点偏移</w:t>
                  </w:r>
                </w:p>
              </w:tc>
              <w:tc>
                <w:tcPr>
                  <w:tcW w:w="5103" w:type="dxa"/>
                  <w:shd w:val="clear" w:color="auto" w:fill="auto"/>
                </w:tcPr>
                <w:p>
                  <w:pPr>
                    <w:spacing w:line="360" w:lineRule="auto"/>
                    <w:rPr>
                      <w:rFonts w:ascii="宋体_GB2312" w:hAnsi="宋体_GB2312" w:eastAsia="宋体_GB2312"/>
                      <w:kern w:val="21"/>
                      <w:highlight w:val="none"/>
                    </w:rPr>
                  </w:pPr>
                  <w:r>
                    <w:rPr>
                      <w:rFonts w:ascii="宋体_GB2312" w:hAnsi="宋体_GB2312" w:eastAsia="宋体_GB2312"/>
                      <w:kern w:val="21"/>
                      <w:highlight w:val="none"/>
                    </w:rPr>
                    <w:t>0～50μm</w:t>
                  </w:r>
                </w:p>
              </w:tc>
            </w:tr>
          </w:tbl>
          <w:p>
            <w:pPr>
              <w:spacing w:line="360" w:lineRule="auto"/>
              <w:rPr>
                <w:rFonts w:ascii="宋体_GB2312" w:hAnsi="宋体_GB2312" w:eastAsia="宋体_GB2312"/>
                <w:kern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trPr>
        <w:tc>
          <w:tcPr>
            <w:tcW w:w="1951" w:type="dxa"/>
            <w:shd w:val="clear" w:color="auto" w:fill="auto"/>
            <w:vAlign w:val="center"/>
          </w:tcPr>
          <w:p>
            <w:pPr>
              <w:spacing w:line="360" w:lineRule="auto"/>
              <w:jc w:val="center"/>
              <w:rPr>
                <w:rFonts w:ascii="宋体_GB2312" w:hAnsi="宋体_GB2312" w:eastAsia="宋体_GB2312"/>
                <w:kern w:val="0"/>
                <w:highlight w:val="none"/>
              </w:rPr>
            </w:pPr>
            <w:r>
              <w:rPr>
                <w:rFonts w:ascii="宋体_GB2312" w:hAnsi="宋体_GB2312" w:eastAsia="宋体_GB2312"/>
                <w:kern w:val="0"/>
                <w:highlight w:val="none"/>
              </w:rPr>
              <w:t>APC端面</w:t>
            </w:r>
          </w:p>
          <w:p>
            <w:pPr>
              <w:spacing w:line="360" w:lineRule="auto"/>
              <w:jc w:val="center"/>
              <w:rPr>
                <w:rFonts w:ascii="宋体_GB2312" w:hAnsi="宋体_GB2312" w:eastAsia="宋体_GB2312"/>
                <w:kern w:val="21"/>
                <w:highlight w:val="none"/>
              </w:rPr>
            </w:pPr>
            <w:r>
              <w:rPr>
                <w:rFonts w:ascii="宋体_GB2312" w:hAnsi="宋体_GB2312" w:eastAsia="宋体_GB2312"/>
                <w:kern w:val="0"/>
                <w:highlight w:val="none"/>
              </w:rPr>
              <w:t>几何尺寸</w:t>
            </w:r>
          </w:p>
        </w:tc>
        <w:tc>
          <w:tcPr>
            <w:tcW w:w="7563" w:type="dxa"/>
            <w:shd w:val="clear" w:color="auto" w:fill="auto"/>
          </w:tcPr>
          <w:p>
            <w:pPr>
              <w:spacing w:line="360" w:lineRule="auto"/>
              <w:rPr>
                <w:rFonts w:ascii="宋体_GB2312" w:hAnsi="宋体_GB2312" w:eastAsia="宋体_GB2312"/>
                <w:kern w:val="21"/>
                <w:highlight w:val="none"/>
              </w:rPr>
            </w:pPr>
            <w:r>
              <w:rPr>
                <w:rFonts w:ascii="宋体_GB2312" w:hAnsi="宋体_GB2312" w:eastAsia="宋体_GB2312"/>
                <w:kern w:val="21"/>
                <w:highlight w:val="none"/>
              </w:rPr>
              <w:t>试验条件：试验前用端面几何尺寸测量仪检测，打印测量结果。</w:t>
            </w:r>
          </w:p>
          <w:p>
            <w:pPr>
              <w:spacing w:line="360" w:lineRule="auto"/>
              <w:rPr>
                <w:rFonts w:ascii="宋体_GB2312" w:hAnsi="宋体_GB2312" w:eastAsia="宋体_GB2312"/>
                <w:kern w:val="21"/>
                <w:highlight w:val="none"/>
              </w:rPr>
            </w:pPr>
            <w:r>
              <w:rPr>
                <w:rFonts w:ascii="宋体_GB2312" w:hAnsi="宋体_GB2312" w:eastAsia="宋体_GB2312"/>
                <w:kern w:val="21"/>
                <w:highlight w:val="none"/>
              </w:rPr>
              <w:t>判定标准：1 曲率半径:5～12mm；2 顶点偏移:0～50μm；3 纤芯凹陷:±100nm。</w:t>
            </w:r>
          </w:p>
        </w:tc>
      </w:tr>
      <w:bookmarkEnd w:id="70"/>
    </w:tbl>
    <w:p>
      <w:pPr>
        <w:pStyle w:val="62"/>
        <w:spacing w:line="560" w:lineRule="exact"/>
        <w:rPr>
          <w:rFonts w:ascii="宋体_GB2312" w:hAnsi="宋体_GB2312" w:eastAsia="宋体_GB2312"/>
          <w:sz w:val="24"/>
          <w:szCs w:val="24"/>
          <w:highlight w:val="none"/>
        </w:rPr>
      </w:pPr>
      <w:bookmarkStart w:id="71" w:name="_Toc362878576"/>
      <w:bookmarkStart w:id="72" w:name="_Toc361901853"/>
      <w:r>
        <w:rPr>
          <w:rFonts w:hint="eastAsia" w:ascii="宋体_GB2312" w:hAnsi="宋体_GB2312" w:eastAsia="宋体_GB2312"/>
          <w:sz w:val="24"/>
          <w:highlight w:val="none"/>
        </w:rPr>
        <w:t>3</w:t>
      </w:r>
      <w:r>
        <w:rPr>
          <w:rFonts w:ascii="宋体_GB2312" w:hAnsi="宋体_GB2312" w:eastAsia="宋体_GB2312"/>
          <w:sz w:val="24"/>
          <w:highlight w:val="none"/>
        </w:rPr>
        <w:t>.</w:t>
      </w:r>
      <w:r>
        <w:rPr>
          <w:rFonts w:hint="eastAsia" w:ascii="宋体_GB2312" w:hAnsi="宋体_GB2312" w:eastAsia="宋体_GB2312"/>
          <w:sz w:val="24"/>
          <w:highlight w:val="none"/>
        </w:rPr>
        <w:t>5</w:t>
      </w:r>
      <w:r>
        <w:rPr>
          <w:rFonts w:ascii="宋体_GB2312" w:hAnsi="宋体_GB2312" w:eastAsia="宋体_GB2312"/>
          <w:sz w:val="24"/>
          <w:highlight w:val="none"/>
        </w:rPr>
        <w:t>.</w:t>
      </w:r>
      <w:r>
        <w:rPr>
          <w:rFonts w:hint="eastAsia" w:ascii="宋体_GB2312" w:hAnsi="宋体_GB2312" w:eastAsia="宋体_GB2312"/>
          <w:sz w:val="24"/>
          <w:highlight w:val="none"/>
        </w:rPr>
        <w:t xml:space="preserve">4 </w:t>
      </w:r>
      <w:bookmarkEnd w:id="71"/>
      <w:r>
        <w:rPr>
          <w:rFonts w:hint="eastAsia" w:ascii="宋体_GB2312" w:hAnsi="宋体_GB2312" w:eastAsia="宋体_GB2312"/>
          <w:sz w:val="24"/>
          <w:szCs w:val="24"/>
          <w:highlight w:val="none"/>
        </w:rPr>
        <w:t>光纤活动连接器及尾纤各试验条件见表5。</w:t>
      </w:r>
    </w:p>
    <w:p>
      <w:pPr>
        <w:spacing w:line="360" w:lineRule="auto"/>
        <w:ind w:firstLine="960" w:firstLineChars="400"/>
        <w:jc w:val="center"/>
        <w:rPr>
          <w:rFonts w:ascii="宋体_GB2312" w:hAnsi="宋体_GB2312" w:eastAsia="宋体_GB2312"/>
          <w:kern w:val="21"/>
          <w:highlight w:val="none"/>
        </w:rPr>
      </w:pPr>
      <w:r>
        <w:rPr>
          <w:rFonts w:ascii="宋体_GB2312" w:hAnsi="宋体_GB2312" w:eastAsia="宋体_GB2312"/>
          <w:kern w:val="21"/>
          <w:highlight w:val="none"/>
        </w:rPr>
        <w:t>表5  光纤活动连接器及尾纤各试验条件</w:t>
      </w:r>
    </w:p>
    <w:tbl>
      <w:tblPr>
        <w:tblStyle w:val="37"/>
        <w:tblW w:w="8884" w:type="dxa"/>
        <w:jc w:val="center"/>
        <w:tblLayout w:type="fixed"/>
        <w:tblCellMar>
          <w:top w:w="0" w:type="dxa"/>
          <w:left w:w="108" w:type="dxa"/>
          <w:bottom w:w="0" w:type="dxa"/>
          <w:right w:w="108" w:type="dxa"/>
        </w:tblCellMar>
      </w:tblPr>
      <w:tblGrid>
        <w:gridCol w:w="753"/>
        <w:gridCol w:w="2160"/>
        <w:gridCol w:w="5971"/>
      </w:tblGrid>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编号</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项目名称</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条件要求</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1</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机械耐久性</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插拔</w:t>
            </w:r>
            <w:r>
              <w:rPr>
                <w:rFonts w:ascii="宋体_GB2312" w:hAnsi="宋体_GB2312" w:eastAsia="宋体_GB2312"/>
                <w:kern w:val="0"/>
                <w:szCs w:val="21"/>
                <w:highlight w:val="none"/>
              </w:rPr>
              <w:t>1000</w:t>
            </w:r>
            <w:r>
              <w:rPr>
                <w:rFonts w:hint="eastAsia" w:ascii="宋体_GB2312" w:hAnsi="宋体_GB2312" w:eastAsia="宋体_GB2312"/>
                <w:kern w:val="0"/>
                <w:szCs w:val="21"/>
                <w:highlight w:val="none"/>
              </w:rPr>
              <w:t>次</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2</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抗拉试验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center"/>
              <w:rPr>
                <w:rFonts w:ascii="宋体_GB2312" w:hAnsi="宋体_GB2312" w:eastAsia="宋体_GB2312"/>
                <w:kern w:val="0"/>
                <w:szCs w:val="21"/>
                <w:highlight w:val="none"/>
              </w:rPr>
            </w:pPr>
            <w:r>
              <w:rPr>
                <w:rFonts w:hint="eastAsia" w:ascii="宋体_GB2312" w:hAnsi="宋体_GB2312" w:eastAsia="宋体_GB2312"/>
                <w:sz w:val="24"/>
                <w:lang w:val="en-US" w:eastAsia="zh-CN"/>
              </w:rPr>
              <w:t>按</w:t>
            </w:r>
            <w:r>
              <w:rPr>
                <w:rFonts w:ascii="宋体_GB2312" w:hAnsi="宋体_GB2312" w:eastAsia="宋体_GB2312"/>
                <w:sz w:val="24"/>
              </w:rPr>
              <w:t>YD/T 1272</w:t>
            </w:r>
            <w:r>
              <w:rPr>
                <w:rFonts w:hint="eastAsia" w:ascii="宋体_GB2312" w:hAnsi="宋体_GB2312" w:eastAsia="宋体_GB2312"/>
                <w:sz w:val="24"/>
                <w:lang w:val="en-US" w:eastAsia="zh-CN"/>
              </w:rPr>
              <w:t>要求</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3</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高温试验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交接箱+60℃±2℃</w:t>
            </w:r>
            <w:r>
              <w:rPr>
                <w:rFonts w:ascii="宋体_GB2312" w:hAnsi="宋体_GB2312" w:eastAsia="宋体_GB2312"/>
                <w:kern w:val="0"/>
                <w:szCs w:val="21"/>
                <w:highlight w:val="none"/>
              </w:rPr>
              <w:t>，8h</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4</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低温试验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center"/>
              <w:rPr>
                <w:rFonts w:ascii="宋体_GB2312" w:hAnsi="宋体_GB2312" w:eastAsia="宋体_GB2312"/>
                <w:kern w:val="0"/>
                <w:szCs w:val="21"/>
                <w:highlight w:val="none"/>
              </w:rPr>
            </w:pPr>
            <w:r>
              <w:rPr>
                <w:rFonts w:hint="eastAsia" w:ascii="宋体_GB2312" w:hAnsi="宋体_GB2312" w:eastAsia="宋体_GB2312" w:cs="宋体"/>
                <w:kern w:val="0"/>
                <w:szCs w:val="21"/>
                <w:highlight w:val="none"/>
              </w:rPr>
              <w:t>交接箱-40℃±3℃，8h</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5</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湿热试验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Cs w:val="21"/>
                <w:highlight w:val="none"/>
              </w:rPr>
            </w:pPr>
            <w:r>
              <w:rPr>
                <w:rFonts w:hint="eastAsia" w:ascii="宋体_GB2312" w:hAnsi="宋体_GB2312" w:eastAsia="宋体_GB2312" w:cs="宋体"/>
                <w:kern w:val="0"/>
                <w:szCs w:val="21"/>
                <w:highlight w:val="none"/>
              </w:rPr>
              <w:t>交接箱+40℃±2℃</w:t>
            </w:r>
            <w:r>
              <w:rPr>
                <w:rFonts w:ascii="宋体_GB2312" w:hAnsi="宋体_GB2312" w:eastAsia="宋体_GB2312" w:cs="宋体"/>
                <w:kern w:val="0"/>
                <w:szCs w:val="21"/>
                <w:highlight w:val="none"/>
              </w:rPr>
              <w:t>，</w:t>
            </w:r>
            <w:r>
              <w:rPr>
                <w:rFonts w:hint="eastAsia" w:ascii="宋体_GB2312" w:hAnsi="宋体_GB2312" w:eastAsia="宋体_GB2312" w:cs="宋体"/>
                <w:kern w:val="0"/>
                <w:szCs w:val="21"/>
                <w:highlight w:val="none"/>
              </w:rPr>
              <w:t>1</w:t>
            </w:r>
            <w:r>
              <w:rPr>
                <w:rFonts w:ascii="宋体_GB2312" w:hAnsi="宋体_GB2312" w:eastAsia="宋体_GB2312" w:cs="宋体"/>
                <w:kern w:val="0"/>
                <w:szCs w:val="21"/>
                <w:highlight w:val="none"/>
              </w:rPr>
              <w:t>44</w:t>
            </w:r>
            <w:r>
              <w:rPr>
                <w:rFonts w:hint="eastAsia" w:ascii="宋体_GB2312" w:hAnsi="宋体_GB2312" w:eastAsia="宋体_GB2312" w:cs="宋体"/>
                <w:kern w:val="0"/>
                <w:szCs w:val="21"/>
                <w:highlight w:val="none"/>
              </w:rPr>
              <w:t>h</w:t>
            </w:r>
          </w:p>
          <w:p>
            <w:pPr>
              <w:widowControl/>
              <w:ind w:firstLine="480" w:firstLineChars="200"/>
              <w:jc w:val="center"/>
              <w:rPr>
                <w:rFonts w:ascii="宋体_GB2312" w:hAnsi="宋体_GB2312" w:eastAsia="宋体_GB2312"/>
                <w:kern w:val="0"/>
                <w:szCs w:val="21"/>
                <w:highlight w:val="none"/>
              </w:rPr>
            </w:pPr>
            <w:r>
              <w:rPr>
                <w:rFonts w:hint="eastAsia" w:ascii="宋体_GB2312" w:hAnsi="宋体_GB2312" w:eastAsia="宋体_GB2312" w:cs="宋体"/>
                <w:kern w:val="0"/>
                <w:szCs w:val="21"/>
                <w:highlight w:val="none"/>
              </w:rPr>
              <w:t>相对湿度93%±3%，48</w:t>
            </w:r>
            <w:r>
              <w:rPr>
                <w:rFonts w:ascii="宋体_GB2312" w:hAnsi="宋体_GB2312" w:eastAsia="宋体_GB2312" w:cs="宋体"/>
                <w:kern w:val="0"/>
                <w:szCs w:val="21"/>
                <w:highlight w:val="none"/>
              </w:rPr>
              <w:t>h</w:t>
            </w:r>
            <w:r>
              <w:rPr>
                <w:rFonts w:hint="eastAsia" w:ascii="宋体_GB2312" w:hAnsi="宋体_GB2312" w:eastAsia="宋体_GB2312" w:cs="宋体"/>
                <w:kern w:val="0"/>
                <w:szCs w:val="21"/>
                <w:highlight w:val="none"/>
              </w:rPr>
              <w:t>（GB/T 2423.3）</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6</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盐雾试验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盐水浓度5%（质量百分比），PH值6.5～7.2（35±2℃）之间，48h</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7</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运输试验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频率</w:t>
            </w:r>
            <w:r>
              <w:rPr>
                <w:rFonts w:ascii="宋体_GB2312" w:hAnsi="宋体_GB2312" w:eastAsia="宋体_GB2312"/>
                <w:kern w:val="0"/>
                <w:szCs w:val="21"/>
                <w:highlight w:val="none"/>
              </w:rPr>
              <w:t>(10</w:t>
            </w:r>
            <w:r>
              <w:rPr>
                <w:rFonts w:hint="eastAsia" w:ascii="宋体_GB2312" w:hAnsi="宋体_GB2312" w:eastAsia="宋体_GB2312"/>
                <w:kern w:val="0"/>
                <w:szCs w:val="21"/>
                <w:highlight w:val="none"/>
              </w:rPr>
              <w:t>～</w:t>
            </w:r>
            <w:r>
              <w:rPr>
                <w:rFonts w:ascii="宋体_GB2312" w:hAnsi="宋体_GB2312" w:eastAsia="宋体_GB2312"/>
                <w:kern w:val="0"/>
                <w:szCs w:val="21"/>
                <w:highlight w:val="none"/>
              </w:rPr>
              <w:t>55)Hz</w:t>
            </w:r>
            <w:r>
              <w:rPr>
                <w:rFonts w:hint="eastAsia" w:ascii="宋体_GB2312" w:hAnsi="宋体_GB2312" w:eastAsia="宋体_GB2312"/>
                <w:kern w:val="0"/>
                <w:szCs w:val="21"/>
                <w:highlight w:val="none"/>
              </w:rPr>
              <w:t>；振幅0.75</w:t>
            </w:r>
            <w:r>
              <w:rPr>
                <w:rFonts w:ascii="宋体_GB2312" w:hAnsi="宋体_GB2312" w:eastAsia="宋体_GB2312"/>
                <w:kern w:val="0"/>
                <w:szCs w:val="21"/>
                <w:highlight w:val="none"/>
              </w:rPr>
              <w:t>mm</w:t>
            </w:r>
            <w:r>
              <w:rPr>
                <w:rFonts w:hint="eastAsia" w:ascii="宋体_GB2312" w:hAnsi="宋体_GB2312" w:eastAsia="宋体_GB2312"/>
                <w:kern w:val="0"/>
                <w:szCs w:val="21"/>
                <w:highlight w:val="none"/>
              </w:rPr>
              <w:t>；扫描速度</w:t>
            </w:r>
            <w:r>
              <w:rPr>
                <w:rFonts w:ascii="宋体_GB2312" w:hAnsi="宋体_GB2312" w:eastAsia="宋体_GB2312"/>
                <w:kern w:val="0"/>
                <w:szCs w:val="21"/>
                <w:highlight w:val="none"/>
              </w:rPr>
              <w:t>loct/min</w:t>
            </w:r>
            <w:r>
              <w:rPr>
                <w:rFonts w:hint="eastAsia" w:ascii="宋体_GB2312" w:hAnsi="宋体_GB2312" w:eastAsia="宋体_GB2312"/>
                <w:kern w:val="0"/>
                <w:szCs w:val="21"/>
                <w:highlight w:val="none"/>
              </w:rPr>
              <w:t>，容差10%；每个方向持续30min</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8</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扭转试验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负载量</w:t>
            </w:r>
            <w:r>
              <w:rPr>
                <w:rFonts w:ascii="宋体_GB2312" w:hAnsi="宋体_GB2312" w:eastAsia="宋体_GB2312"/>
                <w:kern w:val="0"/>
                <w:szCs w:val="21"/>
                <w:highlight w:val="none"/>
              </w:rPr>
              <w:t>14.7N，10次/min，200次（Φ1.0mm以下尾纤（缆）的连接器不适用）</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9</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跌落试验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高度1m，跌落5次</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10</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left"/>
              <w:rPr>
                <w:rFonts w:ascii="宋体_GB2312" w:hAnsi="宋体_GB2312" w:eastAsia="宋体_GB2312"/>
                <w:kern w:val="0"/>
                <w:szCs w:val="21"/>
                <w:highlight w:val="none"/>
              </w:rPr>
            </w:pPr>
            <w:r>
              <w:rPr>
                <w:rFonts w:hint="eastAsia" w:ascii="宋体_GB2312" w:hAnsi="宋体_GB2312" w:eastAsia="宋体_GB2312"/>
                <w:kern w:val="0"/>
                <w:szCs w:val="21"/>
                <w:highlight w:val="none"/>
              </w:rPr>
              <w:t>重复性</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center"/>
              <w:rPr>
                <w:rFonts w:ascii="宋体_GB2312" w:hAnsi="宋体_GB2312" w:eastAsia="宋体_GB2312"/>
                <w:kern w:val="0"/>
                <w:szCs w:val="21"/>
                <w:highlight w:val="none"/>
              </w:rPr>
            </w:pPr>
            <w:r>
              <w:rPr>
                <w:rFonts w:hint="eastAsia" w:ascii="宋体_GB2312" w:hAnsi="宋体_GB2312" w:eastAsia="宋体_GB2312"/>
                <w:kern w:val="0"/>
                <w:szCs w:val="21"/>
                <w:highlight w:val="none"/>
              </w:rPr>
              <w:t>连续插拔10次</w:t>
            </w:r>
          </w:p>
        </w:tc>
      </w:tr>
      <w:bookmarkEnd w:id="72"/>
    </w:tbl>
    <w:p>
      <w:pPr>
        <w:pStyle w:val="62"/>
        <w:spacing w:line="560" w:lineRule="exact"/>
        <w:rPr>
          <w:rFonts w:ascii="宋体_GB2312" w:hAnsi="宋体_GB2312" w:eastAsia="宋体_GB2312"/>
          <w:sz w:val="24"/>
          <w:highlight w:val="none"/>
        </w:rPr>
      </w:pPr>
      <w:r>
        <w:rPr>
          <w:rFonts w:hint="eastAsia" w:ascii="宋体_GB2312" w:hAnsi="宋体_GB2312" w:eastAsia="宋体_GB2312"/>
          <w:sz w:val="24"/>
          <w:highlight w:val="none"/>
        </w:rPr>
        <w:t>3</w:t>
      </w:r>
      <w:r>
        <w:rPr>
          <w:rFonts w:ascii="宋体_GB2312" w:hAnsi="宋体_GB2312" w:eastAsia="宋体_GB2312"/>
          <w:sz w:val="24"/>
          <w:highlight w:val="none"/>
        </w:rPr>
        <w:t>.</w:t>
      </w:r>
      <w:r>
        <w:rPr>
          <w:rFonts w:hint="eastAsia" w:ascii="宋体_GB2312" w:hAnsi="宋体_GB2312" w:eastAsia="宋体_GB2312"/>
          <w:sz w:val="24"/>
          <w:highlight w:val="none"/>
        </w:rPr>
        <w:t>5</w:t>
      </w:r>
      <w:r>
        <w:rPr>
          <w:rFonts w:ascii="宋体_GB2312" w:hAnsi="宋体_GB2312" w:eastAsia="宋体_GB2312"/>
          <w:sz w:val="24"/>
          <w:highlight w:val="none"/>
        </w:rPr>
        <w:t>.</w:t>
      </w:r>
      <w:r>
        <w:rPr>
          <w:rFonts w:hint="eastAsia" w:ascii="宋体_GB2312" w:hAnsi="宋体_GB2312" w:eastAsia="宋体_GB2312"/>
          <w:sz w:val="24"/>
          <w:highlight w:val="none"/>
        </w:rPr>
        <w:t>5 护套外径</w:t>
      </w:r>
    </w:p>
    <w:p>
      <w:pPr>
        <w:spacing w:before="163" w:beforeLines="50" w:line="300" w:lineRule="auto"/>
        <w:ind w:firstLine="480" w:firstLineChars="200"/>
        <w:rPr>
          <w:rFonts w:ascii="宋体_GB2312" w:hAnsi="宋体_GB2312" w:eastAsia="宋体_GB2312"/>
          <w:szCs w:val="24"/>
          <w:highlight w:val="none"/>
        </w:rPr>
      </w:pPr>
      <w:r>
        <w:rPr>
          <w:rFonts w:hint="eastAsia" w:ascii="宋体_GB2312" w:hAnsi="宋体_GB2312" w:eastAsia="宋体_GB2312"/>
          <w:szCs w:val="24"/>
          <w:highlight w:val="none"/>
        </w:rPr>
        <w:t>护套外径：标称值为Φ</w:t>
      </w:r>
      <w:r>
        <w:rPr>
          <w:rFonts w:ascii="宋体_GB2312" w:hAnsi="宋体_GB2312" w:eastAsia="宋体_GB2312"/>
          <w:szCs w:val="24"/>
          <w:highlight w:val="none"/>
        </w:rPr>
        <w:t>0.9mm、Φ2.0mm、Φ3.0mm，最大值偏差不超过标称值的10%。</w:t>
      </w:r>
    </w:p>
    <w:p>
      <w:pPr>
        <w:pStyle w:val="62"/>
        <w:spacing w:line="560" w:lineRule="exact"/>
        <w:rPr>
          <w:rFonts w:ascii="宋体_GB2312" w:hAnsi="宋体_GB2312" w:eastAsia="宋体_GB2312"/>
          <w:sz w:val="24"/>
          <w:highlight w:val="none"/>
        </w:rPr>
      </w:pPr>
      <w:r>
        <w:rPr>
          <w:rFonts w:ascii="宋体_GB2312" w:hAnsi="宋体_GB2312" w:eastAsia="宋体_GB2312"/>
          <w:sz w:val="24"/>
          <w:highlight w:val="none"/>
        </w:rPr>
        <w:t xml:space="preserve">3.5.6 </w:t>
      </w:r>
      <w:r>
        <w:rPr>
          <w:rFonts w:hint="eastAsia" w:ascii="宋体_GB2312" w:hAnsi="宋体_GB2312" w:eastAsia="宋体_GB2312"/>
          <w:sz w:val="24"/>
          <w:highlight w:val="none"/>
        </w:rPr>
        <w:t>尾纤及软光纤的</w:t>
      </w:r>
      <w:r>
        <w:rPr>
          <w:rFonts w:ascii="宋体_GB2312" w:hAnsi="宋体_GB2312" w:eastAsia="宋体_GB2312"/>
          <w:sz w:val="24"/>
          <w:highlight w:val="none"/>
        </w:rPr>
        <w:t>2m</w:t>
      </w:r>
      <w:r>
        <w:rPr>
          <w:rFonts w:hint="eastAsia" w:ascii="宋体_GB2312" w:hAnsi="宋体_GB2312" w:eastAsia="宋体_GB2312"/>
          <w:sz w:val="24"/>
          <w:highlight w:val="none"/>
        </w:rPr>
        <w:t>截止波长</w:t>
      </w:r>
      <w:r>
        <w:rPr>
          <w:rFonts w:ascii="宋体_GB2312" w:hAnsi="宋体_GB2312" w:eastAsia="宋体_GB2312"/>
          <w:sz w:val="24"/>
          <w:highlight w:val="none"/>
        </w:rPr>
        <w:t xml:space="preserve"> </w:t>
      </w:r>
    </w:p>
    <w:p>
      <w:pPr>
        <w:spacing w:before="163" w:beforeLines="50" w:line="300" w:lineRule="auto"/>
        <w:ind w:firstLine="480" w:firstLineChars="200"/>
        <w:rPr>
          <w:rFonts w:ascii="宋体_GB2312" w:hAnsi="宋体_GB2312" w:eastAsia="宋体_GB2312"/>
          <w:szCs w:val="24"/>
          <w:highlight w:val="none"/>
        </w:rPr>
      </w:pPr>
      <w:r>
        <w:rPr>
          <w:rFonts w:hint="eastAsia" w:ascii="宋体_GB2312" w:hAnsi="宋体_GB2312" w:eastAsia="宋体_GB2312"/>
          <w:szCs w:val="24"/>
          <w:highlight w:val="none"/>
        </w:rPr>
        <w:t>λ</w:t>
      </w:r>
      <w:r>
        <w:rPr>
          <w:rFonts w:ascii="宋体_GB2312" w:hAnsi="宋体_GB2312" w:eastAsia="宋体_GB2312"/>
          <w:szCs w:val="24"/>
          <w:highlight w:val="none"/>
        </w:rPr>
        <w:t>c</w:t>
      </w:r>
      <w:r>
        <w:rPr>
          <w:rFonts w:hint="eastAsia" w:ascii="宋体_GB2312" w:hAnsi="宋体_GB2312" w:eastAsia="宋体_GB2312"/>
          <w:szCs w:val="24"/>
          <w:highlight w:val="none"/>
        </w:rPr>
        <w:t>≤</w:t>
      </w:r>
      <w:r>
        <w:rPr>
          <w:rFonts w:ascii="宋体_GB2312" w:hAnsi="宋体_GB2312" w:eastAsia="宋体_GB2312"/>
          <w:szCs w:val="24"/>
          <w:highlight w:val="none"/>
        </w:rPr>
        <w:t xml:space="preserve">1250nm(G.652D光纤)         </w:t>
      </w:r>
      <w:r>
        <w:rPr>
          <w:rFonts w:hint="eastAsia" w:ascii="宋体_GB2312" w:hAnsi="宋体_GB2312" w:eastAsia="宋体_GB2312"/>
          <w:szCs w:val="24"/>
          <w:highlight w:val="none"/>
        </w:rPr>
        <w:t>λ</w:t>
      </w:r>
      <w:r>
        <w:rPr>
          <w:rFonts w:ascii="宋体_GB2312" w:hAnsi="宋体_GB2312" w:eastAsia="宋体_GB2312"/>
          <w:szCs w:val="24"/>
          <w:highlight w:val="none"/>
        </w:rPr>
        <w:t>c</w:t>
      </w:r>
      <w:r>
        <w:rPr>
          <w:rFonts w:hint="eastAsia" w:ascii="宋体_GB2312" w:hAnsi="宋体_GB2312" w:eastAsia="宋体_GB2312"/>
          <w:szCs w:val="24"/>
          <w:highlight w:val="none"/>
        </w:rPr>
        <w:t>≤</w:t>
      </w:r>
      <w:r>
        <w:rPr>
          <w:rFonts w:ascii="宋体_GB2312" w:hAnsi="宋体_GB2312" w:eastAsia="宋体_GB2312"/>
          <w:szCs w:val="24"/>
          <w:highlight w:val="none"/>
        </w:rPr>
        <w:t>1260nm(G.657A2</w:t>
      </w:r>
      <w:r>
        <w:rPr>
          <w:rFonts w:hint="eastAsia" w:ascii="宋体_GB2312" w:hAnsi="宋体_GB2312" w:eastAsia="宋体_GB2312"/>
          <w:szCs w:val="24"/>
          <w:highlight w:val="none"/>
        </w:rPr>
        <w:t>光纤</w:t>
      </w:r>
      <w:r>
        <w:rPr>
          <w:rFonts w:ascii="宋体_GB2312" w:hAnsi="宋体_GB2312" w:eastAsia="宋体_GB2312"/>
          <w:szCs w:val="24"/>
          <w:highlight w:val="none"/>
        </w:rPr>
        <w:t>)</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73" w:name="_Toc27738"/>
      <w:bookmarkStart w:id="74" w:name="_Toc210015729"/>
      <w:bookmarkStart w:id="75" w:name="_Toc4611"/>
      <w:bookmarkStart w:id="76" w:name="_Toc27401415"/>
      <w:bookmarkStart w:id="77" w:name="_Toc205178977"/>
      <w:bookmarkStart w:id="78" w:name="_Toc12806"/>
      <w:r>
        <w:rPr>
          <w:rFonts w:hint="eastAsia" w:ascii="宋体_GB2312" w:hAnsi="宋体_GB2312" w:eastAsia="宋体_GB2312"/>
          <w:color w:val="FF0000"/>
          <w:szCs w:val="24"/>
        </w:rPr>
        <w:t>★</w:t>
      </w:r>
      <w:r>
        <w:rPr>
          <w:rFonts w:ascii="宋体_GB2312" w:hAnsi="宋体_GB2312" w:eastAsia="宋体_GB2312"/>
          <w:bCs/>
          <w:sz w:val="24"/>
          <w:szCs w:val="24"/>
        </w:rPr>
        <w:t xml:space="preserve">3.6 </w:t>
      </w:r>
      <w:r>
        <w:rPr>
          <w:rFonts w:hint="eastAsia" w:ascii="宋体_GB2312" w:hAnsi="宋体_GB2312" w:eastAsia="宋体_GB2312"/>
          <w:bCs/>
          <w:sz w:val="24"/>
          <w:szCs w:val="24"/>
        </w:rPr>
        <w:t>高压防护接地装置</w:t>
      </w:r>
      <w:bookmarkEnd w:id="73"/>
      <w:bookmarkEnd w:id="74"/>
      <w:bookmarkEnd w:id="75"/>
      <w:bookmarkEnd w:id="76"/>
      <w:bookmarkEnd w:id="77"/>
      <w:bookmarkEnd w:id="78"/>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1）高压防护接地装置与光缆中金属加强芯及金属挡潮层、</w:t>
      </w:r>
      <w:r>
        <w:rPr>
          <w:rFonts w:hint="eastAsia" w:ascii="宋体_GB2312" w:hAnsi="宋体_GB2312" w:eastAsia="宋体_GB2312"/>
          <w:szCs w:val="24"/>
        </w:rPr>
        <w:t>铠</w:t>
      </w:r>
      <w:r>
        <w:rPr>
          <w:rFonts w:ascii="宋体_GB2312" w:hAnsi="宋体_GB2312" w:eastAsia="宋体_GB2312"/>
          <w:szCs w:val="24"/>
        </w:rPr>
        <w:t>装层相连，连接导线或导体的截面积 应不小于6mm</w:t>
      </w:r>
      <w:r>
        <w:rPr>
          <w:rFonts w:ascii="宋体_GB2312" w:hAnsi="宋体_GB2312" w:eastAsia="宋体_GB2312"/>
          <w:szCs w:val="24"/>
          <w:vertAlign w:val="superscript"/>
        </w:rPr>
        <w:t>2</w:t>
      </w:r>
      <w:r>
        <w:rPr>
          <w:rFonts w:hint="eastAsia" w:ascii="宋体_GB2312" w:hAnsi="宋体_GB2312" w:eastAsia="宋体_GB2312"/>
          <w:szCs w:val="24"/>
        </w:rPr>
        <w:t>。</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2）</w:t>
      </w:r>
      <w:r>
        <w:rPr>
          <w:rFonts w:hint="eastAsia" w:ascii="宋体_GB2312" w:hAnsi="宋体_GB2312" w:eastAsia="宋体_GB2312"/>
          <w:szCs w:val="24"/>
        </w:rPr>
        <w:t>箱体</w:t>
      </w:r>
      <w:r>
        <w:rPr>
          <w:rFonts w:ascii="宋体_GB2312" w:hAnsi="宋体_GB2312" w:eastAsia="宋体_GB2312"/>
          <w:szCs w:val="24"/>
        </w:rPr>
        <w:t>高压防护接地装置应有接地螺母和螺栓</w:t>
      </w:r>
      <w:r>
        <w:rPr>
          <w:rFonts w:hint="eastAsia" w:ascii="宋体_GB2312" w:hAnsi="宋体_GB2312" w:eastAsia="宋体_GB2312"/>
          <w:szCs w:val="24"/>
        </w:rPr>
        <w:t>（规格为M6</w:t>
      </w:r>
      <w:r>
        <w:rPr>
          <w:rFonts w:ascii="宋体_GB2312" w:hAnsi="宋体_GB2312" w:eastAsia="宋体_GB2312"/>
          <w:szCs w:val="24"/>
        </w:rPr>
        <w:t>）</w:t>
      </w:r>
      <w:r>
        <w:rPr>
          <w:rFonts w:hint="eastAsia" w:ascii="宋体_GB2312" w:hAnsi="宋体_GB2312" w:eastAsia="宋体_GB2312"/>
          <w:szCs w:val="24"/>
        </w:rPr>
        <w:t>，</w:t>
      </w:r>
      <w:r>
        <w:rPr>
          <w:rFonts w:ascii="宋体_GB2312" w:hAnsi="宋体_GB2312" w:eastAsia="宋体_GB2312"/>
          <w:szCs w:val="24"/>
        </w:rPr>
        <w:t>高压防护接地装置与地相连的连接端子的截面积应不小于35mm</w:t>
      </w:r>
      <w:r>
        <w:rPr>
          <w:rFonts w:ascii="宋体_GB2312" w:hAnsi="宋体_GB2312" w:eastAsia="宋体_GB2312"/>
          <w:szCs w:val="24"/>
          <w:vertAlign w:val="superscript"/>
        </w:rPr>
        <w:t>2</w:t>
      </w:r>
      <w:r>
        <w:rPr>
          <w:rFonts w:hint="eastAsia" w:ascii="宋体_GB2312" w:hAnsi="宋体_GB2312" w:eastAsia="宋体_GB2312"/>
          <w:szCs w:val="24"/>
        </w:rPr>
        <w:t>。</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w:t>
      </w:r>
      <w:r>
        <w:rPr>
          <w:rFonts w:ascii="宋体_GB2312" w:hAnsi="宋体_GB2312" w:eastAsia="宋体_GB2312"/>
        </w:rPr>
        <w:t>3）</w:t>
      </w:r>
      <w:r>
        <w:rPr>
          <w:rFonts w:hint="eastAsia" w:ascii="宋体_GB2312" w:hAnsi="宋体_GB2312" w:eastAsia="宋体_GB2312"/>
        </w:rPr>
        <w:t>接地装置与箱体金属构件之间的耐电压水平不小于</w:t>
      </w:r>
      <w:r>
        <w:rPr>
          <w:rFonts w:ascii="宋体_GB2312" w:hAnsi="宋体_GB2312" w:eastAsia="宋体_GB2312"/>
        </w:rPr>
        <w:t>3000V (DC), 1min</w:t>
      </w:r>
      <w:r>
        <w:rPr>
          <w:rFonts w:hint="eastAsia" w:ascii="宋体_GB2312" w:hAnsi="宋体_GB2312" w:eastAsia="宋体_GB2312"/>
        </w:rPr>
        <w:t>不击穿、无飞弧。</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w:t>
      </w:r>
      <w:r>
        <w:rPr>
          <w:rFonts w:ascii="宋体_GB2312" w:hAnsi="宋体_GB2312" w:eastAsia="宋体_GB2312"/>
        </w:rPr>
        <w:t>4）接地装置与箱体金属构件之间的绝缘电阻应不小于2×10</w:t>
      </w:r>
      <w:r>
        <w:rPr>
          <w:rFonts w:ascii="宋体_GB2312" w:hAnsi="宋体_GB2312" w:eastAsia="宋体_GB2312"/>
          <w:vertAlign w:val="superscript"/>
        </w:rPr>
        <w:t>4</w:t>
      </w:r>
      <w:r>
        <w:rPr>
          <w:rFonts w:ascii="宋体_GB2312" w:hAnsi="宋体_GB2312" w:eastAsia="宋体_GB2312"/>
        </w:rPr>
        <w:t>MΩ</w:t>
      </w:r>
      <w:r>
        <w:rPr>
          <w:rFonts w:hint="eastAsia" w:ascii="宋体_GB2312" w:hAnsi="宋体_GB2312" w:eastAsia="宋体_GB2312"/>
        </w:rPr>
        <w:t>，</w:t>
      </w:r>
      <w:r>
        <w:rPr>
          <w:rFonts w:ascii="宋体_GB2312" w:hAnsi="宋体_GB2312" w:eastAsia="宋体_GB2312"/>
        </w:rPr>
        <w:t>试验电压为DC 500V</w:t>
      </w:r>
      <w:r>
        <w:rPr>
          <w:rFonts w:hint="eastAsia" w:ascii="宋体_GB2312" w:hAnsi="宋体_GB2312" w:eastAsia="宋体_GB2312"/>
        </w:rPr>
        <w:t>。</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5）箱体高压防护接地装置应能可靠接地，接地处应有明显的接地标志。</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79" w:name="_Toc19622"/>
      <w:bookmarkStart w:id="80" w:name="_Toc24831"/>
      <w:bookmarkStart w:id="81" w:name="_Toc27401416"/>
      <w:bookmarkStart w:id="82" w:name="_Toc17072"/>
      <w:r>
        <w:rPr>
          <w:rFonts w:ascii="宋体_GB2312" w:hAnsi="宋体_GB2312" w:eastAsia="宋体_GB2312"/>
          <w:bCs/>
          <w:sz w:val="24"/>
          <w:szCs w:val="24"/>
        </w:rPr>
        <w:t xml:space="preserve">4 </w:t>
      </w:r>
      <w:r>
        <w:rPr>
          <w:rFonts w:hint="eastAsia" w:ascii="宋体_GB2312" w:hAnsi="宋体_GB2312" w:eastAsia="宋体_GB2312"/>
          <w:bCs/>
          <w:sz w:val="24"/>
          <w:szCs w:val="24"/>
        </w:rPr>
        <w:t>材料要求及检查、试验</w:t>
      </w:r>
      <w:bookmarkEnd w:id="79"/>
      <w:bookmarkEnd w:id="80"/>
      <w:bookmarkEnd w:id="81"/>
      <w:bookmarkEnd w:id="82"/>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83" w:name="_Toc27401417"/>
      <w:bookmarkStart w:id="84" w:name="_Toc4743"/>
      <w:bookmarkStart w:id="85" w:name="_Toc4695"/>
      <w:bookmarkStart w:id="86" w:name="_Toc8881"/>
      <w:r>
        <w:rPr>
          <w:rFonts w:ascii="宋体_GB2312" w:hAnsi="宋体_GB2312" w:eastAsia="宋体_GB2312"/>
          <w:bCs/>
          <w:sz w:val="24"/>
          <w:szCs w:val="24"/>
        </w:rPr>
        <w:t>4.1箱体材料</w:t>
      </w:r>
      <w:bookmarkEnd w:id="83"/>
      <w:bookmarkEnd w:id="84"/>
      <w:bookmarkEnd w:id="85"/>
      <w:bookmarkEnd w:id="86"/>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箱体材料类别可分为</w:t>
      </w:r>
      <w:r>
        <w:rPr>
          <w:rFonts w:ascii="宋体_GB2312" w:hAnsi="宋体_GB2312" w:eastAsia="宋体_GB2312"/>
          <w:szCs w:val="24"/>
        </w:rPr>
        <w:t>SMC型、不锈钢型，其中：</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1）SMC光缆交接箱中</w:t>
      </w:r>
      <w:r>
        <w:rPr>
          <w:rFonts w:hint="eastAsia" w:ascii="宋体_GB2312" w:hAnsi="宋体_GB2312" w:eastAsia="宋体_GB2312"/>
          <w:szCs w:val="24"/>
        </w:rPr>
        <w:t>，箱体的构成材料</w:t>
      </w:r>
      <w:r>
        <w:rPr>
          <w:rFonts w:ascii="宋体_GB2312" w:hAnsi="宋体_GB2312" w:eastAsia="宋体_GB2312"/>
          <w:szCs w:val="24"/>
        </w:rPr>
        <w:t>片状模</w:t>
      </w:r>
      <w:r>
        <w:rPr>
          <w:rFonts w:hint="eastAsia" w:ascii="宋体_GB2312" w:hAnsi="宋体_GB2312" w:eastAsia="宋体_GB2312"/>
          <w:szCs w:val="24"/>
        </w:rPr>
        <w:t>压增强复合材料</w:t>
      </w:r>
      <w:r>
        <w:rPr>
          <w:rFonts w:ascii="宋体_GB2312" w:hAnsi="宋体_GB2312" w:eastAsia="宋体_GB2312"/>
          <w:szCs w:val="24"/>
        </w:rPr>
        <w:t>（SMC）应符合中华人民共和国GB/T 15568-2008</w:t>
      </w:r>
      <w:r>
        <w:rPr>
          <w:rFonts w:hint="eastAsia" w:ascii="宋体_GB2312" w:hAnsi="宋体_GB2312" w:eastAsia="宋体_GB2312"/>
          <w:szCs w:val="24"/>
        </w:rPr>
        <w:t>《通用型片状模塑料</w:t>
      </w:r>
      <w:r>
        <w:rPr>
          <w:rFonts w:ascii="宋体_GB2312" w:hAnsi="宋体_GB2312" w:eastAsia="宋体_GB2312"/>
          <w:szCs w:val="24"/>
        </w:rPr>
        <w:t>(SMC)</w:t>
      </w:r>
      <w:r>
        <w:rPr>
          <w:rFonts w:hint="eastAsia" w:ascii="宋体_GB2312" w:hAnsi="宋体_GB2312" w:eastAsia="宋体_GB2312"/>
          <w:szCs w:val="24"/>
        </w:rPr>
        <w:t>》</w:t>
      </w:r>
      <w:r>
        <w:rPr>
          <w:rFonts w:ascii="宋体_GB2312" w:hAnsi="宋体_GB2312" w:eastAsia="宋体_GB2312"/>
          <w:szCs w:val="24"/>
        </w:rPr>
        <w:t>国家标准。</w:t>
      </w:r>
    </w:p>
    <w:p>
      <w:pPr>
        <w:spacing w:before="163" w:beforeLines="50" w:line="300" w:lineRule="auto"/>
        <w:ind w:firstLine="480" w:firstLineChars="200"/>
        <w:rPr>
          <w:rFonts w:ascii="宋体_GB2312" w:hAnsi="宋体_GB2312" w:eastAsia="宋体_GB2312"/>
          <w:szCs w:val="24"/>
          <w:highlight w:val="none"/>
        </w:rPr>
      </w:pPr>
      <w:r>
        <w:rPr>
          <w:rFonts w:hint="eastAsia" w:ascii="宋体_GB2312" w:hAnsi="宋体_GB2312" w:eastAsia="宋体_GB2312"/>
          <w:szCs w:val="24"/>
        </w:rPr>
        <w:t>（</w:t>
      </w:r>
      <w:r>
        <w:rPr>
          <w:rFonts w:ascii="宋体_GB2312" w:hAnsi="宋体_GB2312" w:eastAsia="宋体_GB2312"/>
          <w:szCs w:val="24"/>
        </w:rPr>
        <w:t>2）</w:t>
      </w:r>
      <w:r>
        <w:rPr>
          <w:rFonts w:ascii="宋体_GB2312" w:hAnsi="宋体_GB2312" w:eastAsia="宋体_GB2312"/>
          <w:szCs w:val="24"/>
          <w:highlight w:val="none"/>
        </w:rPr>
        <w:t>不锈钢光缆交接箱中使用的钢板应采用304牌号不锈钢，内配机架钢板采用Q235-A或</w:t>
      </w:r>
      <w:r>
        <w:rPr>
          <w:rFonts w:hint="eastAsia" w:ascii="宋体_GB2312" w:hAnsi="宋体_GB2312" w:eastAsia="宋体_GB2312"/>
          <w:highlight w:val="none"/>
        </w:rPr>
        <w:t>304牌号</w:t>
      </w:r>
      <w:r>
        <w:rPr>
          <w:rFonts w:hint="eastAsia" w:ascii="宋体_GB2312" w:hAnsi="宋体_GB2312" w:eastAsia="宋体_GB2312"/>
          <w:szCs w:val="24"/>
          <w:highlight w:val="none"/>
        </w:rPr>
        <w:t>不锈钢材料</w:t>
      </w:r>
      <w:r>
        <w:rPr>
          <w:rFonts w:ascii="宋体_GB2312" w:hAnsi="宋体_GB2312" w:eastAsia="宋体_GB2312"/>
          <w:szCs w:val="24"/>
          <w:highlight w:val="none"/>
        </w:rPr>
        <w:t>。</w:t>
      </w:r>
      <w:r>
        <w:rPr>
          <w:rFonts w:hint="eastAsia" w:ascii="宋体_GB2312" w:hAnsi="宋体_GB2312" w:eastAsia="宋体_GB2312"/>
          <w:szCs w:val="24"/>
          <w:highlight w:val="none"/>
        </w:rPr>
        <w:t>箱体双层结构中与外界空气接触的外层部分均采用不锈钢材质，厚度应不小于</w:t>
      </w:r>
      <w:r>
        <w:rPr>
          <w:rFonts w:ascii="宋体_GB2312" w:hAnsi="宋体_GB2312" w:eastAsia="宋体_GB2312"/>
          <w:szCs w:val="24"/>
          <w:highlight w:val="none"/>
        </w:rPr>
        <w:t>1.5mm</w:t>
      </w:r>
      <w:r>
        <w:rPr>
          <w:rFonts w:hint="eastAsia" w:ascii="宋体_GB2312" w:hAnsi="宋体_GB2312" w:eastAsia="宋体_GB2312"/>
          <w:szCs w:val="24"/>
          <w:highlight w:val="none"/>
        </w:rPr>
        <w:t>，</w:t>
      </w:r>
      <w:r>
        <w:rPr>
          <w:rFonts w:hint="eastAsia" w:ascii="宋体_GB2312" w:hAnsi="宋体_GB2312" w:eastAsia="宋体_GB2312"/>
          <w:sz w:val="24"/>
          <w:szCs w:val="24"/>
          <w:highlight w:val="none"/>
        </w:rPr>
        <w:t>箱体底座底板采用厚度为2.0mm不锈钢钢板</w:t>
      </w:r>
      <w:r>
        <w:rPr>
          <w:rFonts w:ascii="宋体_GB2312" w:hAnsi="宋体_GB2312" w:eastAsia="宋体_GB2312"/>
          <w:szCs w:val="24"/>
          <w:highlight w:val="none"/>
        </w:rPr>
        <w:t>。箱体内层采用冷轧钢板或不锈钢喷塑的材质。</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3）所有箱体内配金属结构件可采用冷轧钢板或不锈钢板。在干燥地区推荐使用冷轧钢板材料（包括箱体的内层和内配机架），潮湿地区推荐使用不锈钢材料（包括箱体的内层和内配机架）。箱内承重横梁、立柱材料厚度应不小于2mm。</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4）内外层箱体之间填充保温材料。保温隔热材料导热系数应小于0.041W/M.K（导热系数的测试方法：GB/T 10294-2008），保温隔热材料与箱体面板间的粘结强度应大于0.09MPa。</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87" w:name="_Toc22760"/>
      <w:bookmarkStart w:id="88" w:name="_Toc27401418"/>
      <w:bookmarkStart w:id="89" w:name="_Toc17331"/>
      <w:bookmarkStart w:id="90" w:name="_Toc24290"/>
      <w:r>
        <w:rPr>
          <w:rFonts w:ascii="宋体_GB2312" w:hAnsi="宋体_GB2312" w:eastAsia="宋体_GB2312"/>
          <w:bCs/>
          <w:sz w:val="24"/>
          <w:szCs w:val="24"/>
        </w:rPr>
        <w:t>4.2塑料材料</w:t>
      </w:r>
      <w:bookmarkEnd w:id="87"/>
      <w:bookmarkEnd w:id="88"/>
      <w:bookmarkEnd w:id="89"/>
      <w:bookmarkEnd w:id="90"/>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在光缆交接箱中使用的塑料结构件，其材料应采用阻燃</w:t>
      </w:r>
      <w:r>
        <w:rPr>
          <w:rFonts w:ascii="宋体_GB2312" w:hAnsi="宋体_GB2312" w:eastAsia="宋体_GB2312"/>
          <w:szCs w:val="24"/>
        </w:rPr>
        <w:t>ABS、PC或更好的塑料新料。</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91" w:name="_Toc27401419"/>
      <w:bookmarkStart w:id="92" w:name="_Toc15157"/>
      <w:bookmarkStart w:id="93" w:name="_Toc7190"/>
      <w:bookmarkStart w:id="94" w:name="_Toc7972"/>
      <w:r>
        <w:rPr>
          <w:rFonts w:ascii="宋体_GB2312" w:hAnsi="宋体_GB2312" w:eastAsia="宋体_GB2312"/>
          <w:bCs/>
          <w:sz w:val="24"/>
          <w:szCs w:val="24"/>
        </w:rPr>
        <w:t>4.3非金属件的燃烧性能</w:t>
      </w:r>
      <w:bookmarkEnd w:id="91"/>
      <w:bookmarkEnd w:id="92"/>
      <w:bookmarkEnd w:id="93"/>
      <w:bookmarkEnd w:id="94"/>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（1）</w:t>
      </w:r>
      <w:r>
        <w:rPr>
          <w:rFonts w:hint="eastAsia" w:ascii="宋体_GB2312" w:hAnsi="宋体_GB2312" w:eastAsia="宋体_GB2312"/>
          <w:szCs w:val="24"/>
        </w:rPr>
        <w:t>设备非金属材料结构件（含分路器壳体、光纤连接分配装置盘体、光纤存储装置盘体、光纤终接装置盘体）的燃烧性能应符合</w:t>
      </w:r>
      <w:r>
        <w:rPr>
          <w:rFonts w:ascii="宋体_GB2312" w:hAnsi="宋体_GB2312" w:eastAsia="宋体_GB2312"/>
          <w:szCs w:val="24"/>
        </w:rPr>
        <w:t xml:space="preserve">GB/T 5169.5-2008 </w:t>
      </w:r>
      <w:r>
        <w:rPr>
          <w:rFonts w:hint="eastAsia" w:ascii="宋体_GB2312" w:hAnsi="宋体_GB2312" w:eastAsia="宋体_GB2312"/>
          <w:szCs w:val="24"/>
        </w:rPr>
        <w:t>中第</w:t>
      </w:r>
      <w:r>
        <w:rPr>
          <w:rFonts w:ascii="宋体_GB2312" w:hAnsi="宋体_GB2312" w:eastAsia="宋体_GB2312"/>
          <w:szCs w:val="24"/>
        </w:rPr>
        <w:t xml:space="preserve">11 </w:t>
      </w:r>
      <w:r>
        <w:rPr>
          <w:rFonts w:hint="eastAsia" w:ascii="宋体_GB2312" w:hAnsi="宋体_GB2312" w:eastAsia="宋体_GB2312"/>
          <w:szCs w:val="24"/>
        </w:rPr>
        <w:t>章的要求。</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（2）</w:t>
      </w:r>
      <w:r>
        <w:rPr>
          <w:rFonts w:hint="eastAsia" w:ascii="宋体_GB2312" w:hAnsi="宋体_GB2312" w:eastAsia="宋体_GB2312"/>
          <w:szCs w:val="24"/>
        </w:rPr>
        <w:t>尾纤或跳纤中</w:t>
      </w:r>
      <w:r>
        <w:rPr>
          <w:rFonts w:hint="eastAsia" w:ascii="宋体_GB2312" w:hAnsi="宋体_GB2312" w:eastAsia="宋体_GB2312"/>
        </w:rPr>
        <w:t>的</w:t>
      </w:r>
      <w:r>
        <w:rPr>
          <w:rFonts w:hint="eastAsia" w:ascii="宋体_GB2312" w:hAnsi="宋体_GB2312" w:eastAsia="宋体_GB2312"/>
          <w:szCs w:val="24"/>
        </w:rPr>
        <w:t>光缆（直径为</w:t>
      </w:r>
      <w:r>
        <w:rPr>
          <w:rFonts w:ascii="宋体_GB2312" w:hAnsi="宋体_GB2312" w:eastAsia="宋体_GB2312"/>
          <w:szCs w:val="24"/>
        </w:rPr>
        <w:t xml:space="preserve">2mm </w:t>
      </w:r>
      <w:r>
        <w:rPr>
          <w:rFonts w:hint="eastAsia" w:ascii="宋体_GB2312" w:hAnsi="宋体_GB2312" w:eastAsia="宋体_GB2312"/>
          <w:szCs w:val="24"/>
        </w:rPr>
        <w:t>以下的不作要求）应阻燃，应能通过</w:t>
      </w:r>
      <w:r>
        <w:rPr>
          <w:rFonts w:ascii="宋体_GB2312" w:hAnsi="宋体_GB2312" w:eastAsia="宋体_GB2312"/>
          <w:szCs w:val="24"/>
        </w:rPr>
        <w:t>GB/T 18380.12</w:t>
      </w:r>
      <w:r>
        <w:rPr>
          <w:rFonts w:hint="eastAsia" w:ascii="宋体_GB2312" w:hAnsi="宋体_GB2312" w:eastAsia="宋体_GB2312"/>
        </w:rPr>
        <w:t>-</w:t>
      </w:r>
      <w:r>
        <w:rPr>
          <w:rFonts w:ascii="宋体_GB2312" w:hAnsi="宋体_GB2312" w:eastAsia="宋体_GB2312"/>
        </w:rPr>
        <w:t>2008</w:t>
      </w:r>
      <w:r>
        <w:rPr>
          <w:rFonts w:hint="eastAsia" w:ascii="宋体_GB2312" w:hAnsi="宋体_GB2312" w:eastAsia="宋体_GB2312"/>
        </w:rPr>
        <w:t>《</w:t>
      </w:r>
      <w:r>
        <w:rPr>
          <w:rFonts w:ascii="宋体_GB2312" w:hAnsi="宋体_GB2312" w:eastAsia="宋体_GB2312"/>
          <w:szCs w:val="24"/>
        </w:rPr>
        <w:t>电缆和光缆在火焰条件下的燃烧试验 第12部分：单根绝缘电线电缆火焰垂直蔓延试验 1kW预混合型火焰试验方法</w:t>
      </w:r>
      <w:r>
        <w:rPr>
          <w:rFonts w:hint="eastAsia" w:ascii="宋体_GB2312" w:hAnsi="宋体_GB2312" w:eastAsia="宋体_GB2312"/>
        </w:rPr>
        <w:t>》</w:t>
      </w:r>
      <w:r>
        <w:rPr>
          <w:rFonts w:ascii="宋体_GB2312" w:hAnsi="宋体_GB2312" w:eastAsia="宋体_GB2312"/>
          <w:szCs w:val="24"/>
        </w:rPr>
        <w:t xml:space="preserve"> </w:t>
      </w:r>
      <w:r>
        <w:rPr>
          <w:rFonts w:hint="eastAsia" w:ascii="宋体_GB2312" w:hAnsi="宋体_GB2312" w:eastAsia="宋体_GB2312"/>
          <w:szCs w:val="24"/>
        </w:rPr>
        <w:t>规定的单根垂直燃烧试验。</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95" w:name="_Toc27401420"/>
      <w:bookmarkStart w:id="96" w:name="_Toc14669"/>
      <w:bookmarkStart w:id="97" w:name="_Toc22998"/>
      <w:bookmarkStart w:id="98" w:name="_Toc9102"/>
      <w:r>
        <w:rPr>
          <w:rFonts w:ascii="宋体_GB2312" w:hAnsi="宋体_GB2312" w:eastAsia="宋体_GB2312"/>
          <w:bCs/>
          <w:sz w:val="24"/>
          <w:szCs w:val="24"/>
        </w:rPr>
        <w:t>4.4 光纤适配器</w:t>
      </w:r>
      <w:bookmarkEnd w:id="95"/>
      <w:bookmarkEnd w:id="96"/>
      <w:bookmarkEnd w:id="97"/>
      <w:bookmarkEnd w:id="98"/>
    </w:p>
    <w:p>
      <w:pPr>
        <w:spacing w:before="163" w:beforeLines="50" w:line="300" w:lineRule="auto"/>
        <w:ind w:firstLine="480" w:firstLineChars="200"/>
        <w:rPr>
          <w:rFonts w:ascii="宋体_GB2312" w:hAnsi="宋体_GB2312" w:eastAsia="宋体_GB2312"/>
        </w:rPr>
      </w:pPr>
      <w:r>
        <w:rPr>
          <w:rFonts w:ascii="宋体_GB2312" w:hAnsi="宋体_GB2312" w:eastAsia="宋体_GB2312"/>
        </w:rPr>
        <w:t>（</w:t>
      </w:r>
      <w:r>
        <w:rPr>
          <w:rFonts w:hint="eastAsia" w:ascii="宋体_GB2312" w:hAnsi="宋体_GB2312" w:eastAsia="宋体_GB2312"/>
        </w:rPr>
        <w:t>1</w:t>
      </w:r>
      <w:r>
        <w:rPr>
          <w:rFonts w:ascii="宋体_GB2312" w:hAnsi="宋体_GB2312" w:eastAsia="宋体_GB2312"/>
        </w:rPr>
        <w:t>）</w:t>
      </w:r>
      <w:r>
        <w:rPr>
          <w:rFonts w:hint="eastAsia" w:ascii="宋体_GB2312" w:hAnsi="宋体_GB2312" w:eastAsia="宋体_GB2312"/>
        </w:rPr>
        <w:t>SC适配器采用全塑料结构，外壳等塑料零件应使用阻燃PBT 新料或更好的材料，所有材料能经受光纤连接器所需的试验条件。</w:t>
      </w:r>
    </w:p>
    <w:p>
      <w:pPr>
        <w:spacing w:before="163" w:beforeLines="50" w:line="300" w:lineRule="auto"/>
        <w:ind w:firstLine="480" w:firstLineChars="200"/>
        <w:rPr>
          <w:rFonts w:ascii="宋体_GB2312" w:hAnsi="宋体_GB2312" w:eastAsia="宋体_GB2312"/>
        </w:rPr>
      </w:pPr>
      <w:r>
        <w:rPr>
          <w:rFonts w:ascii="宋体_GB2312" w:hAnsi="宋体_GB2312" w:eastAsia="宋体_GB2312"/>
        </w:rPr>
        <w:t>（</w:t>
      </w:r>
      <w:r>
        <w:rPr>
          <w:rFonts w:hint="eastAsia" w:ascii="宋体_GB2312" w:hAnsi="宋体_GB2312" w:eastAsia="宋体_GB2312"/>
        </w:rPr>
        <w:t>2</w:t>
      </w:r>
      <w:r>
        <w:rPr>
          <w:rFonts w:ascii="宋体_GB2312" w:hAnsi="宋体_GB2312" w:eastAsia="宋体_GB2312"/>
        </w:rPr>
        <w:t>）</w:t>
      </w:r>
      <w:r>
        <w:rPr>
          <w:rFonts w:hint="eastAsia" w:ascii="宋体_GB2312" w:hAnsi="宋体_GB2312" w:eastAsia="宋体_GB2312"/>
        </w:rPr>
        <w:t>FC适配器除陶瓷套管和防尘帽外的壳体和压套等部件应采用HPb59-1铜材或更好的材料</w:t>
      </w:r>
      <w:r>
        <w:rPr>
          <w:rFonts w:ascii="宋体_GB2312" w:hAnsi="宋体_GB2312" w:eastAsia="宋体_GB2312"/>
        </w:rPr>
        <w:t>。</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99" w:name="_Toc16408"/>
      <w:bookmarkStart w:id="100" w:name="_Toc27401421"/>
      <w:bookmarkStart w:id="101" w:name="_Toc26346"/>
      <w:bookmarkStart w:id="102" w:name="_Toc7087"/>
      <w:r>
        <w:rPr>
          <w:rFonts w:ascii="宋体_GB2312" w:hAnsi="宋体_GB2312" w:eastAsia="宋体_GB2312"/>
          <w:bCs/>
          <w:sz w:val="24"/>
          <w:szCs w:val="24"/>
        </w:rPr>
        <w:t xml:space="preserve">4.5 </w:t>
      </w:r>
      <w:r>
        <w:rPr>
          <w:rFonts w:hint="eastAsia" w:ascii="宋体_GB2312" w:hAnsi="宋体_GB2312" w:eastAsia="宋体_GB2312"/>
          <w:bCs/>
          <w:sz w:val="24"/>
          <w:szCs w:val="24"/>
        </w:rPr>
        <w:t>光纤活动连接器插头</w:t>
      </w:r>
      <w:bookmarkEnd w:id="99"/>
      <w:bookmarkEnd w:id="100"/>
      <w:bookmarkEnd w:id="101"/>
      <w:bookmarkEnd w:id="102"/>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按照4.3、4.6节要求。</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103" w:name="_Toc6177"/>
      <w:bookmarkStart w:id="104" w:name="_Toc27401422"/>
      <w:bookmarkStart w:id="105" w:name="_Toc23471"/>
      <w:bookmarkStart w:id="106" w:name="_Toc25696"/>
      <w:r>
        <w:rPr>
          <w:rFonts w:ascii="宋体_GB2312" w:hAnsi="宋体_GB2312" w:eastAsia="宋体_GB2312"/>
          <w:bCs/>
          <w:sz w:val="24"/>
          <w:szCs w:val="24"/>
        </w:rPr>
        <w:t xml:space="preserve">4.6 </w:t>
      </w:r>
      <w:r>
        <w:rPr>
          <w:rFonts w:hint="eastAsia" w:ascii="宋体_GB2312" w:hAnsi="宋体_GB2312" w:eastAsia="宋体_GB2312"/>
          <w:bCs/>
          <w:sz w:val="24"/>
          <w:szCs w:val="24"/>
        </w:rPr>
        <w:t>零件材料的防腐性能</w:t>
      </w:r>
      <w:bookmarkEnd w:id="103"/>
      <w:bookmarkEnd w:id="104"/>
      <w:bookmarkEnd w:id="105"/>
      <w:bookmarkEnd w:id="106"/>
    </w:p>
    <w:p>
      <w:pPr>
        <w:spacing w:before="163" w:beforeLines="50" w:line="300" w:lineRule="auto"/>
        <w:ind w:firstLine="480" w:firstLineChars="200"/>
        <w:rPr>
          <w:rFonts w:ascii="宋体_GB2312" w:hAnsi="宋体_GB2312" w:eastAsia="宋体_GB2312"/>
          <w:szCs w:val="24"/>
        </w:rPr>
      </w:pPr>
      <w:r>
        <w:rPr>
          <w:rFonts w:ascii="宋体_GB2312" w:hAnsi="宋体_GB2312" w:eastAsia="宋体_GB2312"/>
          <w:szCs w:val="24"/>
        </w:rPr>
        <w:t>4.6.1所有零件采用的材料应具有防腐性能，如无防腐性能应作防腐处理；其物理、化学性能必须稳定；各种材料之间必须相容。</w:t>
      </w:r>
    </w:p>
    <w:p>
      <w:pPr>
        <w:spacing w:before="163" w:beforeLines="50" w:line="300" w:lineRule="auto"/>
        <w:ind w:firstLine="480" w:firstLineChars="200"/>
        <w:rPr>
          <w:rFonts w:ascii="宋体_GB2312" w:hAnsi="宋体_GB2312" w:eastAsia="宋体_GB2312"/>
          <w:kern w:val="21"/>
        </w:rPr>
      </w:pPr>
      <w:r>
        <w:rPr>
          <w:rFonts w:ascii="宋体_GB2312" w:hAnsi="宋体_GB2312" w:eastAsia="宋体_GB2312"/>
          <w:kern w:val="21"/>
        </w:rPr>
        <w:t>4.6.2</w:t>
      </w:r>
      <w:r>
        <w:rPr>
          <w:rFonts w:hint="eastAsia" w:ascii="宋体_GB2312" w:hAnsi="宋体_GB2312" w:eastAsia="宋体_GB2312"/>
          <w:kern w:val="21"/>
        </w:rPr>
        <w:t>电镀件的防腐蚀</w:t>
      </w:r>
      <w:r>
        <w:rPr>
          <w:rFonts w:hint="eastAsia" w:ascii="宋体_GB2312" w:hAnsi="宋体_GB2312" w:eastAsia="宋体_GB2312"/>
          <w:szCs w:val="24"/>
        </w:rPr>
        <w:t>性能</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表面采用电镀处理的金属结构件（含连接器）经过</w:t>
      </w:r>
      <w:r>
        <w:rPr>
          <w:rFonts w:ascii="宋体_GB2312" w:hAnsi="宋体_GB2312" w:eastAsia="宋体_GB2312"/>
          <w:szCs w:val="24"/>
        </w:rPr>
        <w:t>48小时连续盐雾试验后，外观不得有肉眼可见的锈斑。</w:t>
      </w:r>
    </w:p>
    <w:p>
      <w:pPr>
        <w:spacing w:before="163" w:beforeLines="50" w:line="300" w:lineRule="auto"/>
        <w:ind w:firstLine="480" w:firstLineChars="200"/>
        <w:rPr>
          <w:rFonts w:ascii="宋体_GB2312" w:hAnsi="宋体_GB2312" w:eastAsia="宋体_GB2312"/>
          <w:kern w:val="21"/>
        </w:rPr>
      </w:pPr>
      <w:r>
        <w:rPr>
          <w:rFonts w:ascii="宋体_GB2312" w:hAnsi="宋体_GB2312" w:eastAsia="宋体_GB2312"/>
          <w:kern w:val="21"/>
        </w:rPr>
        <w:t>4.6.3</w:t>
      </w:r>
      <w:r>
        <w:rPr>
          <w:rFonts w:hint="eastAsia" w:ascii="宋体_GB2312" w:hAnsi="宋体_GB2312" w:eastAsia="宋体_GB2312"/>
          <w:kern w:val="21"/>
        </w:rPr>
        <w:t>金属结构件</w:t>
      </w:r>
      <w:r>
        <w:rPr>
          <w:rFonts w:hint="eastAsia" w:ascii="宋体_GB2312" w:hAnsi="宋体_GB2312" w:eastAsia="宋体_GB2312"/>
          <w:szCs w:val="24"/>
        </w:rPr>
        <w:t>涂层</w:t>
      </w:r>
      <w:r>
        <w:rPr>
          <w:rFonts w:hint="eastAsia" w:ascii="宋体_GB2312" w:hAnsi="宋体_GB2312" w:eastAsia="宋体_GB2312"/>
          <w:kern w:val="21"/>
        </w:rPr>
        <w:t>附着力</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采用涂覆处理的金属结构件，其涂层与基体应具有良好的附着力，附着力应不低于</w:t>
      </w:r>
      <w:r>
        <w:rPr>
          <w:rFonts w:ascii="宋体_GB2312" w:hAnsi="宋体_GB2312" w:eastAsia="宋体_GB2312"/>
          <w:szCs w:val="24"/>
        </w:rPr>
        <w:t>GB/T 9286</w:t>
      </w:r>
      <w:r>
        <w:rPr>
          <w:rFonts w:hint="eastAsia" w:ascii="宋体_GB2312" w:hAnsi="宋体_GB2312" w:eastAsia="宋体_GB2312"/>
          <w:szCs w:val="24"/>
        </w:rPr>
        <w:t>《色漆和清漆漆膜的划格试验》</w:t>
      </w:r>
      <w:r>
        <w:rPr>
          <w:rFonts w:ascii="宋体_GB2312" w:hAnsi="宋体_GB2312" w:eastAsia="宋体_GB2312"/>
          <w:szCs w:val="24"/>
        </w:rPr>
        <w:t>标准表1中2级要求。</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107" w:name="_Toc8052"/>
      <w:bookmarkStart w:id="108" w:name="_Toc14546"/>
      <w:bookmarkStart w:id="109" w:name="_Toc27401423"/>
      <w:bookmarkStart w:id="110" w:name="_Toc29568"/>
      <w:r>
        <w:rPr>
          <w:rFonts w:ascii="宋体_GB2312" w:hAnsi="宋体_GB2312" w:eastAsia="宋体_GB2312"/>
          <w:bCs/>
          <w:sz w:val="24"/>
          <w:szCs w:val="24"/>
        </w:rPr>
        <w:t xml:space="preserve">5 </w:t>
      </w:r>
      <w:r>
        <w:rPr>
          <w:rFonts w:hint="eastAsia" w:ascii="宋体_GB2312" w:hAnsi="宋体_GB2312" w:eastAsia="宋体_GB2312"/>
          <w:bCs/>
          <w:sz w:val="24"/>
          <w:szCs w:val="24"/>
        </w:rPr>
        <w:t>环境要求</w:t>
      </w:r>
      <w:bookmarkEnd w:id="107"/>
      <w:bookmarkEnd w:id="108"/>
      <w:bookmarkEnd w:id="109"/>
      <w:bookmarkEnd w:id="110"/>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111" w:name="_Toc23859"/>
      <w:bookmarkStart w:id="112" w:name="_Toc16561"/>
      <w:bookmarkStart w:id="113" w:name="_Toc27401424"/>
      <w:bookmarkStart w:id="114" w:name="_Toc21815"/>
      <w:r>
        <w:rPr>
          <w:rFonts w:ascii="宋体_GB2312" w:hAnsi="宋体_GB2312" w:eastAsia="宋体_GB2312"/>
          <w:bCs/>
          <w:sz w:val="24"/>
          <w:szCs w:val="24"/>
        </w:rPr>
        <w:t>5.1使用环境条件</w:t>
      </w:r>
      <w:bookmarkEnd w:id="111"/>
      <w:bookmarkEnd w:id="112"/>
      <w:bookmarkEnd w:id="113"/>
      <w:bookmarkEnd w:id="114"/>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工作温度：</w:t>
      </w:r>
      <w:r>
        <w:rPr>
          <w:rFonts w:ascii="宋体_GB2312" w:hAnsi="宋体_GB2312" w:eastAsia="宋体_GB2312"/>
          <w:szCs w:val="24"/>
        </w:rPr>
        <w:t>-40℃～＋60℃。</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相对湿度：≤</w:t>
      </w:r>
      <w:r>
        <w:rPr>
          <w:rFonts w:ascii="宋体_GB2312" w:hAnsi="宋体_GB2312" w:eastAsia="宋体_GB2312"/>
          <w:szCs w:val="24"/>
        </w:rPr>
        <w:t>95％（+40℃）。</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大气压力：</w:t>
      </w:r>
      <w:r>
        <w:rPr>
          <w:rFonts w:ascii="宋体_GB2312" w:hAnsi="宋体_GB2312" w:eastAsia="宋体_GB2312"/>
          <w:szCs w:val="24"/>
        </w:rPr>
        <w:t>70kPa～106kPa。</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115" w:name="_Toc25278"/>
      <w:bookmarkStart w:id="116" w:name="_Toc5746"/>
      <w:bookmarkStart w:id="117" w:name="_Toc27401425"/>
      <w:bookmarkStart w:id="118" w:name="_Toc25276"/>
      <w:r>
        <w:rPr>
          <w:rFonts w:ascii="宋体_GB2312" w:hAnsi="宋体_GB2312" w:eastAsia="宋体_GB2312"/>
          <w:bCs/>
          <w:sz w:val="24"/>
          <w:szCs w:val="24"/>
        </w:rPr>
        <w:t>5.2检验环境条件</w:t>
      </w:r>
      <w:bookmarkEnd w:id="115"/>
      <w:bookmarkEnd w:id="116"/>
      <w:bookmarkEnd w:id="117"/>
      <w:bookmarkEnd w:id="118"/>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.2.1</w:t>
      </w:r>
      <w:r>
        <w:rPr>
          <w:rFonts w:hint="eastAsia" w:ascii="宋体_GB2312" w:hAnsi="宋体_GB2312" w:eastAsia="宋体_GB2312"/>
          <w:sz w:val="24"/>
        </w:rPr>
        <w:t>试验</w:t>
      </w:r>
      <w:r>
        <w:rPr>
          <w:rFonts w:hint="eastAsia" w:ascii="宋体_GB2312" w:hAnsi="宋体_GB2312" w:eastAsia="宋体_GB2312"/>
          <w:sz w:val="24"/>
          <w:szCs w:val="24"/>
        </w:rPr>
        <w:t>条件</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试验在标准大气条件下进行。标准大气条件为温度：15℃～35℃，相对湿度不大于75％，大气压力为80kPa～106kPa。</w:t>
      </w:r>
    </w:p>
    <w:p>
      <w:pPr>
        <w:pStyle w:val="62"/>
        <w:spacing w:line="560" w:lineRule="exact"/>
        <w:rPr>
          <w:rFonts w:ascii="宋体_GB2312" w:hAnsi="宋体_GB2312" w:eastAsia="宋体_GB2312"/>
          <w:sz w:val="24"/>
        </w:rPr>
      </w:pPr>
      <w:bookmarkStart w:id="119" w:name="_Toc402258704"/>
      <w:bookmarkStart w:id="120" w:name="_Toc194038096"/>
      <w:r>
        <w:rPr>
          <w:rFonts w:hint="eastAsia" w:ascii="宋体_GB2312" w:hAnsi="宋体_GB2312" w:eastAsia="宋体_GB2312"/>
          <w:sz w:val="24"/>
        </w:rPr>
        <w:t>5</w:t>
      </w:r>
      <w:r>
        <w:rPr>
          <w:rFonts w:ascii="宋体_GB2312" w:hAnsi="宋体_GB2312" w:eastAsia="宋体_GB2312"/>
          <w:sz w:val="24"/>
        </w:rPr>
        <w:t>.2.2</w:t>
      </w:r>
      <w:r>
        <w:rPr>
          <w:rFonts w:hint="eastAsia" w:ascii="宋体_GB2312" w:hAnsi="宋体_GB2312" w:eastAsia="宋体_GB2312"/>
          <w:sz w:val="24"/>
        </w:rPr>
        <w:t>外观结构检查</w:t>
      </w:r>
      <w:bookmarkEnd w:id="119"/>
      <w:bookmarkEnd w:id="120"/>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（1）</w:t>
      </w:r>
      <w:r>
        <w:rPr>
          <w:rFonts w:hint="eastAsia" w:ascii="宋体_GB2312" w:hAnsi="宋体_GB2312" w:eastAsia="宋体_GB2312"/>
          <w:szCs w:val="24"/>
        </w:rPr>
        <w:t>用卡尺或卷尺检测箱体外形尺寸。</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（2）</w:t>
      </w:r>
      <w:r>
        <w:rPr>
          <w:rFonts w:hint="eastAsia" w:ascii="宋体_GB2312" w:hAnsi="宋体_GB2312" w:eastAsia="宋体_GB2312"/>
          <w:szCs w:val="24"/>
        </w:rPr>
        <w:t>用手实际操作转动、插拔、锁定部位应感觉适度，用万能角尺，检测机架门开启角度。</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（3）</w:t>
      </w:r>
      <w:r>
        <w:rPr>
          <w:rFonts w:hint="eastAsia" w:ascii="宋体_GB2312" w:hAnsi="宋体_GB2312" w:eastAsia="宋体_GB2312"/>
          <w:szCs w:val="24"/>
        </w:rPr>
        <w:t>用装配工具手工检查紧固件，用裸手触摸外露和操作部位。</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（4）</w:t>
      </w:r>
      <w:r>
        <w:rPr>
          <w:rFonts w:hint="eastAsia" w:ascii="宋体_GB2312" w:hAnsi="宋体_GB2312" w:eastAsia="宋体_GB2312"/>
          <w:szCs w:val="24"/>
        </w:rPr>
        <w:t>用</w:t>
      </w:r>
      <w:r>
        <w:rPr>
          <w:rFonts w:ascii="宋体_GB2312" w:hAnsi="宋体_GB2312" w:eastAsia="宋体_GB2312"/>
          <w:szCs w:val="24"/>
        </w:rPr>
        <w:t>R量规检测光缆尾纤的弯曲半径。</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（5）</w:t>
      </w:r>
      <w:r>
        <w:rPr>
          <w:rFonts w:hint="eastAsia" w:ascii="宋体_GB2312" w:hAnsi="宋体_GB2312" w:eastAsia="宋体_GB2312"/>
          <w:szCs w:val="24"/>
        </w:rPr>
        <w:t>其它用目视方法检查。</w:t>
      </w:r>
    </w:p>
    <w:p>
      <w:pPr>
        <w:pStyle w:val="62"/>
        <w:spacing w:line="560" w:lineRule="exact"/>
        <w:rPr>
          <w:rFonts w:ascii="宋体_GB2312" w:hAnsi="宋体_GB2312" w:eastAsia="宋体_GB2312"/>
          <w:sz w:val="24"/>
        </w:rPr>
      </w:pPr>
      <w:bookmarkStart w:id="121" w:name="_Toc194038097"/>
      <w:bookmarkStart w:id="122" w:name="_Toc402258705"/>
      <w:bookmarkStart w:id="123" w:name="_Toc402257798"/>
      <w:r>
        <w:rPr>
          <w:rFonts w:hint="eastAsia" w:ascii="宋体_GB2312" w:hAnsi="宋体_GB2312" w:eastAsia="宋体_GB2312"/>
          <w:sz w:val="24"/>
        </w:rPr>
        <w:t>5</w:t>
      </w:r>
      <w:r>
        <w:rPr>
          <w:rFonts w:ascii="宋体_GB2312" w:hAnsi="宋体_GB2312" w:eastAsia="宋体_GB2312"/>
          <w:sz w:val="24"/>
        </w:rPr>
        <w:t>.2.3</w:t>
      </w:r>
      <w:r>
        <w:rPr>
          <w:rFonts w:hint="eastAsia" w:ascii="宋体_GB2312" w:hAnsi="宋体_GB2312" w:eastAsia="宋体_GB2312"/>
          <w:sz w:val="24"/>
        </w:rPr>
        <w:t>功能检查</w:t>
      </w:r>
      <w:bookmarkEnd w:id="121"/>
      <w:bookmarkEnd w:id="122"/>
      <w:bookmarkEnd w:id="123"/>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按装配图检查产品所有零部件应无遗漏，采用视察法和操作验证法检查各个功能装置安装齐备性及其达到的功能性。</w:t>
      </w:r>
    </w:p>
    <w:p>
      <w:pPr>
        <w:pStyle w:val="62"/>
        <w:spacing w:line="560" w:lineRule="exact"/>
        <w:rPr>
          <w:rFonts w:ascii="宋体_GB2312" w:hAnsi="宋体_GB2312" w:eastAsia="宋体_GB2312"/>
          <w:sz w:val="24"/>
        </w:rPr>
      </w:pPr>
      <w:bookmarkStart w:id="124" w:name="_Toc194038098"/>
      <w:bookmarkStart w:id="125" w:name="_Toc402257799"/>
      <w:bookmarkStart w:id="126" w:name="_Toc402258706"/>
      <w:r>
        <w:rPr>
          <w:rFonts w:hint="eastAsia" w:ascii="宋体_GB2312" w:hAnsi="宋体_GB2312" w:eastAsia="宋体_GB2312"/>
          <w:sz w:val="24"/>
        </w:rPr>
        <w:t>5</w:t>
      </w:r>
      <w:r>
        <w:rPr>
          <w:rFonts w:ascii="宋体_GB2312" w:hAnsi="宋体_GB2312" w:eastAsia="宋体_GB2312"/>
          <w:sz w:val="24"/>
        </w:rPr>
        <w:t>.2.4</w:t>
      </w:r>
      <w:r>
        <w:rPr>
          <w:rFonts w:hint="eastAsia" w:ascii="宋体_GB2312" w:hAnsi="宋体_GB2312" w:eastAsia="宋体_GB2312"/>
          <w:sz w:val="24"/>
        </w:rPr>
        <w:t>光纤活动连接器性能试验</w:t>
      </w:r>
      <w:bookmarkEnd w:id="124"/>
      <w:bookmarkEnd w:id="125"/>
      <w:bookmarkEnd w:id="126"/>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.2.4.1</w:t>
      </w:r>
      <w:r>
        <w:rPr>
          <w:rFonts w:hint="eastAsia" w:ascii="宋体_GB2312" w:hAnsi="宋体_GB2312" w:eastAsia="宋体_GB2312"/>
          <w:sz w:val="24"/>
        </w:rPr>
        <w:t>插入损耗测试</w:t>
      </w:r>
    </w:p>
    <w:p>
      <w:pPr>
        <w:keepNext/>
        <w:widowControl/>
        <w:spacing w:line="360" w:lineRule="auto"/>
        <w:ind w:firstLine="480" w:firstLineChars="200"/>
        <w:contextualSpacing/>
        <w:jc w:val="center"/>
        <w:rPr>
          <w:color w:val="FF0000"/>
          <w:kern w:val="0"/>
        </w:rPr>
      </w:pPr>
    </w:p>
    <w:p>
      <w:pPr>
        <w:keepNext/>
        <w:widowControl/>
        <w:spacing w:line="360" w:lineRule="auto"/>
        <w:ind w:firstLine="480" w:firstLineChars="200"/>
        <w:contextualSpacing/>
        <w:jc w:val="center"/>
        <w:rPr>
          <w:color w:val="FF0000"/>
          <w:kern w:val="0"/>
        </w:rPr>
      </w:pPr>
      <w:r>
        <w:drawing>
          <wp:inline distT="0" distB="0" distL="0" distR="0">
            <wp:extent cx="5641340" cy="1920240"/>
            <wp:effectExtent l="0" t="0" r="0" b="381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31"/>
                    <a:stretch>
                      <a:fillRect/>
                    </a:stretch>
                  </pic:blipFill>
                  <pic:spPr>
                    <a:xfrm>
                      <a:off x="0" y="0"/>
                      <a:ext cx="5646250" cy="1921797"/>
                    </a:xfrm>
                    <a:prstGeom prst="rect">
                      <a:avLst/>
                    </a:prstGeom>
                  </pic:spPr>
                </pic:pic>
              </a:graphicData>
            </a:graphic>
          </wp:inline>
        </w:drawing>
      </w:r>
    </w:p>
    <w:p>
      <w:pPr>
        <w:pStyle w:val="55"/>
        <w:spacing w:line="360" w:lineRule="auto"/>
        <w:ind w:firstLine="480"/>
        <w:jc w:val="center"/>
        <w:rPr>
          <w:rFonts w:ascii="宋体_GB2312" w:hAnsi="宋体_GB2312" w:eastAsia="宋体_GB2312"/>
          <w:kern w:val="2"/>
          <w:sz w:val="24"/>
        </w:rPr>
      </w:pPr>
      <w:r>
        <w:rPr>
          <w:rFonts w:hint="eastAsia" w:ascii="宋体_GB2312" w:hAnsi="宋体_GB2312" w:eastAsia="宋体_GB2312"/>
          <w:kern w:val="2"/>
          <w:sz w:val="24"/>
          <w:szCs w:val="24"/>
        </w:rPr>
        <w:t>图</w:t>
      </w:r>
      <w:r>
        <w:rPr>
          <w:rFonts w:ascii="宋体_GB2312" w:hAnsi="宋体_GB2312" w:eastAsia="宋体_GB2312"/>
          <w:sz w:val="24"/>
          <w:szCs w:val="24"/>
        </w:rPr>
        <w:t>17</w:t>
      </w:r>
      <w:r>
        <w:rPr>
          <w:rFonts w:ascii="宋体_GB2312" w:hAnsi="宋体_GB2312" w:eastAsia="宋体_GB2312"/>
          <w:kern w:val="2"/>
          <w:sz w:val="24"/>
          <w:szCs w:val="24"/>
        </w:rPr>
        <w:t xml:space="preserve">  插入损耗测试原理图</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将标准跳纤按虚线连接（</w:t>
      </w:r>
      <w:r>
        <w:rPr>
          <w:rFonts w:ascii="宋体_GB2312" w:hAnsi="宋体_GB2312" w:eastAsia="宋体_GB2312"/>
        </w:rPr>
        <w:t>S</w:t>
      </w:r>
      <w:r>
        <w:rPr>
          <w:rFonts w:ascii="宋体_GB2312" w:hAnsi="宋体_GB2312" w:eastAsia="宋体_GB2312"/>
          <w:vertAlign w:val="subscript"/>
        </w:rPr>
        <w:t>1</w:t>
      </w:r>
      <w:r>
        <w:rPr>
          <w:rFonts w:ascii="宋体_GB2312" w:hAnsi="宋体_GB2312" w:eastAsia="宋体_GB2312"/>
        </w:rPr>
        <w:t>R</w:t>
      </w:r>
      <w:r>
        <w:rPr>
          <w:rFonts w:ascii="宋体_GB2312" w:hAnsi="宋体_GB2312" w:eastAsia="宋体_GB2312"/>
          <w:vertAlign w:val="subscript"/>
        </w:rPr>
        <w:t>2</w:t>
      </w:r>
      <w:r>
        <w:rPr>
          <w:rFonts w:hint="eastAsia" w:ascii="宋体_GB2312" w:hAnsi="宋体_GB2312" w:eastAsia="宋体_GB2312"/>
        </w:rPr>
        <w:t>），调测使得光功率为</w:t>
      </w:r>
      <w:r>
        <w:rPr>
          <w:rFonts w:ascii="宋体_GB2312" w:hAnsi="宋体_GB2312" w:eastAsia="宋体_GB2312"/>
        </w:rPr>
        <w:t>0dB，（利用置0键）。然后将被测跳纤按图17</w:t>
      </w:r>
      <w:r>
        <w:rPr>
          <w:rFonts w:hint="eastAsia" w:ascii="宋体_GB2312" w:hAnsi="宋体_GB2312" w:eastAsia="宋体_GB2312"/>
        </w:rPr>
        <w:t>中实线连接，测得的光功率值为</w:t>
      </w:r>
      <w:r>
        <w:rPr>
          <w:rFonts w:ascii="宋体_GB2312" w:hAnsi="宋体_GB2312" w:eastAsia="宋体_GB2312"/>
        </w:rPr>
        <w:t>R</w:t>
      </w:r>
      <w:r>
        <w:rPr>
          <w:rFonts w:ascii="宋体_GB2312" w:hAnsi="宋体_GB2312" w:eastAsia="宋体_GB2312"/>
          <w:vertAlign w:val="subscript"/>
        </w:rPr>
        <w:t>1</w:t>
      </w:r>
      <w:r>
        <w:rPr>
          <w:rFonts w:hint="eastAsia" w:ascii="宋体_GB2312" w:hAnsi="宋体_GB2312" w:eastAsia="宋体_GB2312"/>
        </w:rPr>
        <w:t>端对应的插入损耗值。同理，将被测跳纤调换方向，则可测出另一端对应的插入损耗值。</w:t>
      </w:r>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.2.4.2</w:t>
      </w:r>
      <w:r>
        <w:rPr>
          <w:rFonts w:hint="eastAsia" w:ascii="宋体_GB2312" w:hAnsi="宋体_GB2312" w:eastAsia="宋体_GB2312"/>
          <w:sz w:val="24"/>
        </w:rPr>
        <w:t>回波损耗测试</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回波损耗测试可采用替代法或基准法中任意一种。当对测试结果发生争议时，应以基准法为准。</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1）替代法</w:t>
      </w:r>
      <w:r>
        <w:rPr>
          <w:rFonts w:hint="eastAsia" w:ascii="宋体_GB2312" w:hAnsi="宋体_GB2312" w:eastAsia="宋体_GB2312"/>
        </w:rPr>
        <w:t>如图</w:t>
      </w:r>
      <w:r>
        <w:rPr>
          <w:rFonts w:ascii="宋体_GB2312" w:hAnsi="宋体_GB2312" w:eastAsia="宋体_GB2312"/>
        </w:rPr>
        <w:t>18</w:t>
      </w:r>
      <w:r>
        <w:rPr>
          <w:rFonts w:hint="eastAsia" w:ascii="宋体_GB2312" w:hAnsi="宋体_GB2312" w:eastAsia="宋体_GB2312"/>
        </w:rPr>
        <w:t>所示。</w:t>
      </w:r>
    </w:p>
    <w:p>
      <w:pPr>
        <w:keepNext/>
        <w:widowControl/>
        <w:spacing w:line="360" w:lineRule="auto"/>
        <w:ind w:firstLine="480" w:firstLineChars="200"/>
        <w:contextualSpacing/>
        <w:jc w:val="center"/>
        <w:rPr>
          <w:color w:val="FF0000"/>
          <w:kern w:val="0"/>
        </w:rPr>
      </w:pPr>
      <w:r>
        <w:rPr>
          <w:color w:val="FF0000"/>
          <w:kern w:val="0"/>
        </w:rPr>
        <mc:AlternateContent>
          <mc:Choice Requires="wpg">
            <w:drawing>
              <wp:anchor distT="0" distB="0" distL="114300" distR="114300" simplePos="0" relativeHeight="251659264" behindDoc="0" locked="0" layoutInCell="1" allowOverlap="1">
                <wp:simplePos x="0" y="0"/>
                <wp:positionH relativeFrom="column">
                  <wp:posOffset>397510</wp:posOffset>
                </wp:positionH>
                <wp:positionV relativeFrom="paragraph">
                  <wp:posOffset>171450</wp:posOffset>
                </wp:positionV>
                <wp:extent cx="4427855" cy="1241425"/>
                <wp:effectExtent l="12065" t="13335" r="8255" b="12065"/>
                <wp:wrapNone/>
                <wp:docPr id="60" name="组合 60"/>
                <wp:cNvGraphicFramePr/>
                <a:graphic xmlns:a="http://schemas.openxmlformats.org/drawingml/2006/main">
                  <a:graphicData uri="http://schemas.microsoft.com/office/word/2010/wordprocessingGroup">
                    <wpg:wgp>
                      <wpg:cNvGrpSpPr/>
                      <wpg:grpSpPr>
                        <a:xfrm>
                          <a:off x="0" y="0"/>
                          <a:ext cx="4427855" cy="1241425"/>
                          <a:chOff x="2320" y="7924"/>
                          <a:chExt cx="6973" cy="1955"/>
                        </a:xfrm>
                      </wpg:grpSpPr>
                      <wps:wsp>
                        <wps:cNvPr id="61" name="Rectangle 72"/>
                        <wps:cNvSpPr>
                          <a:spLocks noChangeArrowheads="1"/>
                        </wps:cNvSpPr>
                        <wps:spPr bwMode="auto">
                          <a:xfrm>
                            <a:off x="5933" y="8306"/>
                            <a:ext cx="1260" cy="1248"/>
                          </a:xfrm>
                          <a:prstGeom prst="rect">
                            <a:avLst/>
                          </a:prstGeom>
                          <a:solidFill>
                            <a:srgbClr val="FFFFFF"/>
                          </a:solidFill>
                          <a:ln w="15875">
                            <a:solidFill>
                              <a:srgbClr val="000000"/>
                            </a:solidFill>
                            <a:miter lim="800000"/>
                          </a:ln>
                        </wps:spPr>
                        <wps:bodyPr rot="0" vert="horz" wrap="square" lIns="91440" tIns="45720" rIns="91440" bIns="45720" anchor="t" anchorCtr="0" upright="1">
                          <a:noAutofit/>
                        </wps:bodyPr>
                      </wps:wsp>
                      <wps:wsp>
                        <wps:cNvPr id="62" name="Text Box 73"/>
                        <wps:cNvSpPr txBox="1">
                          <a:spLocks noChangeArrowheads="1"/>
                        </wps:cNvSpPr>
                        <wps:spPr bwMode="auto">
                          <a:xfrm>
                            <a:off x="6773" y="9086"/>
                            <a:ext cx="315" cy="312"/>
                          </a:xfrm>
                          <a:prstGeom prst="rect">
                            <a:avLst/>
                          </a:prstGeom>
                          <a:solidFill>
                            <a:srgbClr val="FFFFFF"/>
                          </a:solidFill>
                          <a:ln w="9525">
                            <a:solidFill>
                              <a:srgbClr val="FFFFFF"/>
                            </a:solidFill>
                            <a:miter lim="800000"/>
                          </a:ln>
                        </wps:spPr>
                        <wps:txbx>
                          <w:txbxContent>
                            <w:p>
                              <w:r>
                                <w:rPr>
                                  <w:rFonts w:hint="eastAsia"/>
                                </w:rPr>
                                <w:t>R</w:t>
                              </w:r>
                              <w:r>
                                <w:rPr>
                                  <w:rFonts w:hint="eastAsia"/>
                                  <w:vertAlign w:val="subscript"/>
                                </w:rPr>
                                <w:t>1</w:t>
                              </w:r>
                            </w:p>
                          </w:txbxContent>
                        </wps:txbx>
                        <wps:bodyPr rot="0" vert="horz" wrap="square" lIns="7200" tIns="7200" rIns="7200" bIns="7200" anchor="t" anchorCtr="0" upright="1">
                          <a:noAutofit/>
                        </wps:bodyPr>
                      </wps:wsp>
                      <wps:wsp>
                        <wps:cNvPr id="63" name="Text Box 74"/>
                        <wps:cNvSpPr txBox="1">
                          <a:spLocks noChangeArrowheads="1"/>
                        </wps:cNvSpPr>
                        <wps:spPr bwMode="auto">
                          <a:xfrm>
                            <a:off x="6038" y="9086"/>
                            <a:ext cx="315" cy="312"/>
                          </a:xfrm>
                          <a:prstGeom prst="rect">
                            <a:avLst/>
                          </a:prstGeom>
                          <a:solidFill>
                            <a:srgbClr val="FFFFFF"/>
                          </a:solidFill>
                          <a:ln w="9525">
                            <a:solidFill>
                              <a:srgbClr val="FFFFFF"/>
                            </a:solidFill>
                            <a:miter lim="800000"/>
                          </a:ln>
                        </wps:spPr>
                        <wps:txbx>
                          <w:txbxContent>
                            <w:p>
                              <w:r>
                                <w:rPr>
                                  <w:rFonts w:hint="eastAsia"/>
                                </w:rPr>
                                <w:t>S</w:t>
                              </w:r>
                              <w:r>
                                <w:rPr>
                                  <w:rFonts w:hint="eastAsia"/>
                                  <w:vertAlign w:val="subscript"/>
                                </w:rPr>
                                <w:t>2</w:t>
                              </w:r>
                            </w:p>
                          </w:txbxContent>
                        </wps:txbx>
                        <wps:bodyPr rot="0" vert="horz" wrap="square" lIns="7200" tIns="7200" rIns="7200" bIns="7200" anchor="t" anchorCtr="0" upright="1">
                          <a:noAutofit/>
                        </wps:bodyPr>
                      </wps:wsp>
                      <wps:wsp>
                        <wps:cNvPr id="64" name="Rectangle 75"/>
                        <wps:cNvSpPr>
                          <a:spLocks noChangeArrowheads="1"/>
                        </wps:cNvSpPr>
                        <wps:spPr bwMode="auto">
                          <a:xfrm>
                            <a:off x="3833" y="8979"/>
                            <a:ext cx="227" cy="91"/>
                          </a:xfrm>
                          <a:prstGeom prst="rect">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65" name="Rectangle 76"/>
                        <wps:cNvSpPr>
                          <a:spLocks noChangeArrowheads="1"/>
                        </wps:cNvSpPr>
                        <wps:spPr bwMode="auto">
                          <a:xfrm>
                            <a:off x="6143" y="8979"/>
                            <a:ext cx="227" cy="91"/>
                          </a:xfrm>
                          <a:prstGeom prst="rect">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66" name="Oval 77"/>
                        <wps:cNvSpPr>
                          <a:spLocks noChangeAspect="1" noChangeArrowheads="1"/>
                        </wps:cNvSpPr>
                        <wps:spPr bwMode="auto">
                          <a:xfrm>
                            <a:off x="4684" y="8774"/>
                            <a:ext cx="514" cy="474"/>
                          </a:xfrm>
                          <a:prstGeom prst="ellipse">
                            <a:avLst/>
                          </a:prstGeom>
                          <a:solidFill>
                            <a:srgbClr val="FFFFFF"/>
                          </a:solidFill>
                          <a:ln w="19050">
                            <a:solidFill>
                              <a:srgbClr val="000000"/>
                            </a:solidFill>
                            <a:round/>
                          </a:ln>
                        </wps:spPr>
                        <wps:bodyPr rot="0" vert="horz" wrap="square" lIns="91440" tIns="45720" rIns="91440" bIns="45720" anchor="t" anchorCtr="0" upright="1">
                          <a:noAutofit/>
                        </wps:bodyPr>
                      </wps:wsp>
                      <wpg:grpSp>
                        <wpg:cNvPr id="67" name="Group 78"/>
                        <wpg:cNvGrpSpPr>
                          <a:grpSpLocks noChangeAspect="1"/>
                        </wpg:cNvGrpSpPr>
                        <wpg:grpSpPr>
                          <a:xfrm rot="2700000">
                            <a:off x="4899" y="8806"/>
                            <a:ext cx="100" cy="236"/>
                            <a:chOff x="3987" y="6083"/>
                            <a:chExt cx="210" cy="624"/>
                          </a:xfrm>
                        </wpg:grpSpPr>
                        <wps:wsp>
                          <wps:cNvPr id="68" name="AutoShape 79"/>
                          <wps:cNvSpPr>
                            <a:spLocks noChangeAspect="1" noChangeArrowheads="1"/>
                          </wps:cNvSpPr>
                          <wps:spPr bwMode="auto">
                            <a:xfrm>
                              <a:off x="3987" y="6083"/>
                              <a:ext cx="210" cy="468"/>
                            </a:xfrm>
                            <a:prstGeom prst="triangle">
                              <a:avLst>
                                <a:gd name="adj" fmla="val 50000"/>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69" name="Line 80"/>
                          <wps:cNvCnPr>
                            <a:cxnSpLocks noChangeAspect="1" noChangeShapeType="1"/>
                          </wps:cNvCnPr>
                          <wps:spPr bwMode="auto">
                            <a:xfrm flipV="1">
                              <a:off x="4095" y="6239"/>
                              <a:ext cx="0" cy="468"/>
                            </a:xfrm>
                            <a:prstGeom prst="line">
                              <a:avLst/>
                            </a:prstGeom>
                            <a:noFill/>
                            <a:ln w="19050">
                              <a:solidFill>
                                <a:srgbClr val="000000"/>
                              </a:solidFill>
                              <a:round/>
                            </a:ln>
                          </wps:spPr>
                          <wps:bodyPr/>
                        </wps:wsp>
                      </wpg:grpSp>
                      <wpg:grpSp>
                        <wpg:cNvPr id="70" name="Group 81"/>
                        <wpg:cNvGrpSpPr>
                          <a:grpSpLocks noChangeAspect="1"/>
                        </wpg:cNvGrpSpPr>
                        <wpg:grpSpPr>
                          <a:xfrm rot="2700000">
                            <a:off x="4900" y="8988"/>
                            <a:ext cx="98" cy="236"/>
                            <a:chOff x="3987" y="6083"/>
                            <a:chExt cx="210" cy="624"/>
                          </a:xfrm>
                        </wpg:grpSpPr>
                        <wps:wsp>
                          <wps:cNvPr id="71" name="AutoShape 82"/>
                          <wps:cNvSpPr>
                            <a:spLocks noChangeAspect="1" noChangeArrowheads="1"/>
                          </wps:cNvSpPr>
                          <wps:spPr bwMode="auto">
                            <a:xfrm>
                              <a:off x="3987" y="6083"/>
                              <a:ext cx="210" cy="468"/>
                            </a:xfrm>
                            <a:prstGeom prst="triangle">
                              <a:avLst>
                                <a:gd name="adj" fmla="val 50000"/>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72" name="Line 83"/>
                          <wps:cNvCnPr>
                            <a:cxnSpLocks noChangeAspect="1" noChangeShapeType="1"/>
                          </wps:cNvCnPr>
                          <wps:spPr bwMode="auto">
                            <a:xfrm flipV="1">
                              <a:off x="4095" y="6239"/>
                              <a:ext cx="0" cy="468"/>
                            </a:xfrm>
                            <a:prstGeom prst="line">
                              <a:avLst/>
                            </a:prstGeom>
                            <a:noFill/>
                            <a:ln w="19050">
                              <a:solidFill>
                                <a:srgbClr val="000000"/>
                              </a:solidFill>
                              <a:round/>
                            </a:ln>
                          </wps:spPr>
                          <wps:bodyPr/>
                        </wps:wsp>
                      </wpg:grpSp>
                      <wps:wsp>
                        <wps:cNvPr id="73" name="Line 84"/>
                        <wps:cNvCnPr>
                          <a:cxnSpLocks noChangeAspect="1" noChangeShapeType="1"/>
                        </wps:cNvCnPr>
                        <wps:spPr bwMode="auto">
                          <a:xfrm>
                            <a:off x="4043" y="9031"/>
                            <a:ext cx="2100" cy="0"/>
                          </a:xfrm>
                          <a:prstGeom prst="line">
                            <a:avLst/>
                          </a:prstGeom>
                          <a:noFill/>
                          <a:ln w="15875">
                            <a:solidFill>
                              <a:srgbClr val="000000"/>
                            </a:solidFill>
                            <a:round/>
                          </a:ln>
                        </wps:spPr>
                        <wps:bodyPr/>
                      </wps:wsp>
                      <wps:wsp>
                        <wps:cNvPr id="74" name="Arc 85"/>
                        <wps:cNvSpPr>
                          <a:spLocks noChangeAspect="1"/>
                        </wps:cNvSpPr>
                        <wps:spPr bwMode="auto">
                          <a:xfrm rot="10800000" flipV="1">
                            <a:off x="6553" y="8831"/>
                            <a:ext cx="220" cy="403"/>
                          </a:xfrm>
                          <a:custGeom>
                            <a:avLst/>
                            <a:gdLst>
                              <a:gd name="G0" fmla="+- 890 0 0"/>
                              <a:gd name="G1" fmla="+- 21600 0 0"/>
                              <a:gd name="G2" fmla="+- 21600 0 0"/>
                              <a:gd name="T0" fmla="*/ 890 w 22490"/>
                              <a:gd name="T1" fmla="*/ 0 h 43200"/>
                              <a:gd name="T2" fmla="*/ 0 w 22490"/>
                              <a:gd name="T3" fmla="*/ 43182 h 43200"/>
                              <a:gd name="T4" fmla="*/ 890 w 22490"/>
                              <a:gd name="T5" fmla="*/ 21600 h 43200"/>
                            </a:gdLst>
                            <a:ahLst/>
                            <a:cxnLst>
                              <a:cxn ang="0">
                                <a:pos x="T0" y="T1"/>
                              </a:cxn>
                              <a:cxn ang="0">
                                <a:pos x="T2" y="T3"/>
                              </a:cxn>
                              <a:cxn ang="0">
                                <a:pos x="T4" y="T5"/>
                              </a:cxn>
                            </a:cxnLst>
                            <a:rect l="0" t="0" r="r" b="b"/>
                            <a:pathLst>
                              <a:path w="22490" h="43200" fill="none" extrusionOk="0">
                                <a:moveTo>
                                  <a:pt x="889" y="0"/>
                                </a:moveTo>
                                <a:cubicBezTo>
                                  <a:pt x="12819" y="0"/>
                                  <a:pt x="22490" y="9670"/>
                                  <a:pt x="22490" y="21600"/>
                                </a:cubicBezTo>
                                <a:cubicBezTo>
                                  <a:pt x="22490" y="33529"/>
                                  <a:pt x="12819" y="43200"/>
                                  <a:pt x="890" y="43200"/>
                                </a:cubicBezTo>
                                <a:cubicBezTo>
                                  <a:pt x="593" y="43200"/>
                                  <a:pt x="296" y="43193"/>
                                  <a:pt x="0" y="43181"/>
                                </a:cubicBezTo>
                              </a:path>
                              <a:path w="22490" h="43200" stroke="0" extrusionOk="0">
                                <a:moveTo>
                                  <a:pt x="889" y="0"/>
                                </a:moveTo>
                                <a:cubicBezTo>
                                  <a:pt x="12819" y="0"/>
                                  <a:pt x="22490" y="9670"/>
                                  <a:pt x="22490" y="21600"/>
                                </a:cubicBezTo>
                                <a:cubicBezTo>
                                  <a:pt x="22490" y="33529"/>
                                  <a:pt x="12819" y="43200"/>
                                  <a:pt x="890" y="43200"/>
                                </a:cubicBezTo>
                                <a:cubicBezTo>
                                  <a:pt x="593" y="43200"/>
                                  <a:pt x="296" y="43193"/>
                                  <a:pt x="0" y="43181"/>
                                </a:cubicBezTo>
                                <a:lnTo>
                                  <a:pt x="890" y="21600"/>
                                </a:lnTo>
                                <a:close/>
                              </a:path>
                            </a:pathLst>
                          </a:custGeom>
                          <a:noFill/>
                          <a:ln w="31750">
                            <a:solidFill>
                              <a:srgbClr val="000000"/>
                            </a:solidFill>
                            <a:round/>
                          </a:ln>
                        </wps:spPr>
                        <wps:bodyPr rot="0" vert="horz" wrap="square" lIns="91440" tIns="45720" rIns="91440" bIns="45720" anchor="t" anchorCtr="0" upright="1">
                          <a:noAutofit/>
                        </wps:bodyPr>
                      </wps:wsp>
                      <wps:wsp>
                        <wps:cNvPr id="75" name="Arc 86"/>
                        <wps:cNvSpPr>
                          <a:spLocks noChangeAspect="1"/>
                        </wps:cNvSpPr>
                        <wps:spPr bwMode="auto">
                          <a:xfrm flipV="1">
                            <a:off x="6332" y="8831"/>
                            <a:ext cx="221" cy="403"/>
                          </a:xfrm>
                          <a:custGeom>
                            <a:avLst/>
                            <a:gdLst>
                              <a:gd name="G0" fmla="+- 890 0 0"/>
                              <a:gd name="G1" fmla="+- 21600 0 0"/>
                              <a:gd name="G2" fmla="+- 21600 0 0"/>
                              <a:gd name="T0" fmla="*/ 890 w 22490"/>
                              <a:gd name="T1" fmla="*/ 0 h 43200"/>
                              <a:gd name="T2" fmla="*/ 0 w 22490"/>
                              <a:gd name="T3" fmla="*/ 43182 h 43200"/>
                              <a:gd name="T4" fmla="*/ 890 w 22490"/>
                              <a:gd name="T5" fmla="*/ 21600 h 43200"/>
                            </a:gdLst>
                            <a:ahLst/>
                            <a:cxnLst>
                              <a:cxn ang="0">
                                <a:pos x="T0" y="T1"/>
                              </a:cxn>
                              <a:cxn ang="0">
                                <a:pos x="T2" y="T3"/>
                              </a:cxn>
                              <a:cxn ang="0">
                                <a:pos x="T4" y="T5"/>
                              </a:cxn>
                            </a:cxnLst>
                            <a:rect l="0" t="0" r="r" b="b"/>
                            <a:pathLst>
                              <a:path w="22490" h="43200" fill="none" extrusionOk="0">
                                <a:moveTo>
                                  <a:pt x="889" y="0"/>
                                </a:moveTo>
                                <a:cubicBezTo>
                                  <a:pt x="12819" y="0"/>
                                  <a:pt x="22490" y="9670"/>
                                  <a:pt x="22490" y="21600"/>
                                </a:cubicBezTo>
                                <a:cubicBezTo>
                                  <a:pt x="22490" y="33529"/>
                                  <a:pt x="12819" y="43200"/>
                                  <a:pt x="890" y="43200"/>
                                </a:cubicBezTo>
                                <a:cubicBezTo>
                                  <a:pt x="593" y="43200"/>
                                  <a:pt x="296" y="43193"/>
                                  <a:pt x="0" y="43181"/>
                                </a:cubicBezTo>
                              </a:path>
                              <a:path w="22490" h="43200" stroke="0" extrusionOk="0">
                                <a:moveTo>
                                  <a:pt x="889" y="0"/>
                                </a:moveTo>
                                <a:cubicBezTo>
                                  <a:pt x="12819" y="0"/>
                                  <a:pt x="22490" y="9670"/>
                                  <a:pt x="22490" y="21600"/>
                                </a:cubicBezTo>
                                <a:cubicBezTo>
                                  <a:pt x="22490" y="33529"/>
                                  <a:pt x="12819" y="43200"/>
                                  <a:pt x="890" y="43200"/>
                                </a:cubicBezTo>
                                <a:cubicBezTo>
                                  <a:pt x="593" y="43200"/>
                                  <a:pt x="296" y="43193"/>
                                  <a:pt x="0" y="43181"/>
                                </a:cubicBezTo>
                                <a:lnTo>
                                  <a:pt x="890" y="21600"/>
                                </a:lnTo>
                                <a:close/>
                              </a:path>
                            </a:pathLst>
                          </a:custGeom>
                          <a:noFill/>
                          <a:ln w="31750">
                            <a:solidFill>
                              <a:srgbClr val="000000"/>
                            </a:solidFill>
                            <a:round/>
                          </a:ln>
                        </wps:spPr>
                        <wps:bodyPr rot="0" vert="horz" wrap="square" lIns="91440" tIns="45720" rIns="91440" bIns="45720" anchor="t" anchorCtr="0" upright="1">
                          <a:noAutofit/>
                        </wps:bodyPr>
                      </wps:wsp>
                      <wps:wsp>
                        <wps:cNvPr id="76" name="Oval 87"/>
                        <wps:cNvSpPr>
                          <a:spLocks noChangeAspect="1" noChangeArrowheads="1"/>
                        </wps:cNvSpPr>
                        <wps:spPr bwMode="auto">
                          <a:xfrm>
                            <a:off x="7624" y="8774"/>
                            <a:ext cx="514" cy="474"/>
                          </a:xfrm>
                          <a:prstGeom prst="ellipse">
                            <a:avLst/>
                          </a:prstGeom>
                          <a:solidFill>
                            <a:srgbClr val="FFFFFF"/>
                          </a:solidFill>
                          <a:ln w="19050">
                            <a:solidFill>
                              <a:srgbClr val="000000"/>
                            </a:solidFill>
                            <a:round/>
                          </a:ln>
                        </wps:spPr>
                        <wps:bodyPr rot="0" vert="horz" wrap="square" lIns="91440" tIns="45720" rIns="91440" bIns="45720" anchor="t" anchorCtr="0" upright="1">
                          <a:noAutofit/>
                        </wps:bodyPr>
                      </wps:wsp>
                      <wpg:grpSp>
                        <wpg:cNvPr id="77" name="Group 88"/>
                        <wpg:cNvGrpSpPr>
                          <a:grpSpLocks noChangeAspect="1"/>
                        </wpg:cNvGrpSpPr>
                        <wpg:grpSpPr>
                          <a:xfrm rot="2700000">
                            <a:off x="7839" y="8806"/>
                            <a:ext cx="100" cy="236"/>
                            <a:chOff x="3987" y="6083"/>
                            <a:chExt cx="210" cy="624"/>
                          </a:xfrm>
                        </wpg:grpSpPr>
                        <wps:wsp>
                          <wps:cNvPr id="78" name="AutoShape 89"/>
                          <wps:cNvSpPr>
                            <a:spLocks noChangeAspect="1" noChangeArrowheads="1"/>
                          </wps:cNvSpPr>
                          <wps:spPr bwMode="auto">
                            <a:xfrm>
                              <a:off x="3987" y="6083"/>
                              <a:ext cx="210" cy="468"/>
                            </a:xfrm>
                            <a:prstGeom prst="triangle">
                              <a:avLst>
                                <a:gd name="adj" fmla="val 50000"/>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79" name="Line 90"/>
                          <wps:cNvCnPr>
                            <a:cxnSpLocks noChangeAspect="1" noChangeShapeType="1"/>
                          </wps:cNvCnPr>
                          <wps:spPr bwMode="auto">
                            <a:xfrm flipV="1">
                              <a:off x="4095" y="6239"/>
                              <a:ext cx="0" cy="468"/>
                            </a:xfrm>
                            <a:prstGeom prst="line">
                              <a:avLst/>
                            </a:prstGeom>
                            <a:noFill/>
                            <a:ln w="19050">
                              <a:solidFill>
                                <a:srgbClr val="000000"/>
                              </a:solidFill>
                              <a:round/>
                            </a:ln>
                          </wps:spPr>
                          <wps:bodyPr/>
                        </wps:wsp>
                      </wpg:grpSp>
                      <wpg:grpSp>
                        <wpg:cNvPr id="80" name="Group 91"/>
                        <wpg:cNvGrpSpPr>
                          <a:grpSpLocks noChangeAspect="1"/>
                        </wpg:cNvGrpSpPr>
                        <wpg:grpSpPr>
                          <a:xfrm rot="2700000">
                            <a:off x="7840" y="8988"/>
                            <a:ext cx="98" cy="236"/>
                            <a:chOff x="3987" y="6083"/>
                            <a:chExt cx="210" cy="624"/>
                          </a:xfrm>
                        </wpg:grpSpPr>
                        <wps:wsp>
                          <wps:cNvPr id="81" name="AutoShape 92"/>
                          <wps:cNvSpPr>
                            <a:spLocks noChangeAspect="1" noChangeArrowheads="1"/>
                          </wps:cNvSpPr>
                          <wps:spPr bwMode="auto">
                            <a:xfrm>
                              <a:off x="3987" y="6083"/>
                              <a:ext cx="210" cy="468"/>
                            </a:xfrm>
                            <a:prstGeom prst="triangle">
                              <a:avLst>
                                <a:gd name="adj" fmla="val 50000"/>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82" name="Line 93"/>
                          <wps:cNvCnPr>
                            <a:cxnSpLocks noChangeAspect="1" noChangeShapeType="1"/>
                          </wps:cNvCnPr>
                          <wps:spPr bwMode="auto">
                            <a:xfrm flipV="1">
                              <a:off x="4095" y="6239"/>
                              <a:ext cx="0" cy="468"/>
                            </a:xfrm>
                            <a:prstGeom prst="line">
                              <a:avLst/>
                            </a:prstGeom>
                            <a:noFill/>
                            <a:ln w="19050">
                              <a:solidFill>
                                <a:srgbClr val="000000"/>
                              </a:solidFill>
                              <a:round/>
                            </a:ln>
                          </wps:spPr>
                          <wps:bodyPr/>
                        </wps:wsp>
                      </wpg:grpSp>
                      <wps:wsp>
                        <wps:cNvPr id="83" name="Line 94"/>
                        <wps:cNvCnPr>
                          <a:cxnSpLocks noChangeAspect="1" noChangeShapeType="1"/>
                        </wps:cNvCnPr>
                        <wps:spPr bwMode="auto">
                          <a:xfrm>
                            <a:off x="6983" y="9024"/>
                            <a:ext cx="1890" cy="0"/>
                          </a:xfrm>
                          <a:prstGeom prst="line">
                            <a:avLst/>
                          </a:prstGeom>
                          <a:noFill/>
                          <a:ln w="15875">
                            <a:solidFill>
                              <a:srgbClr val="000000"/>
                            </a:solidFill>
                            <a:round/>
                          </a:ln>
                        </wps:spPr>
                        <wps:bodyPr/>
                      </wps:wsp>
                      <wps:wsp>
                        <wps:cNvPr id="84" name="Rectangle 95"/>
                        <wps:cNvSpPr>
                          <a:spLocks noChangeArrowheads="1"/>
                        </wps:cNvSpPr>
                        <wps:spPr bwMode="auto">
                          <a:xfrm>
                            <a:off x="8856" y="8972"/>
                            <a:ext cx="227" cy="91"/>
                          </a:xfrm>
                          <a:prstGeom prst="rect">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85" name="Rectangle 96"/>
                        <wps:cNvSpPr>
                          <a:spLocks noChangeArrowheads="1"/>
                        </wps:cNvSpPr>
                        <wps:spPr bwMode="auto">
                          <a:xfrm>
                            <a:off x="6756" y="8972"/>
                            <a:ext cx="227" cy="91"/>
                          </a:xfrm>
                          <a:prstGeom prst="rect">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86" name="Text Box 97"/>
                        <wps:cNvSpPr txBox="1">
                          <a:spLocks noChangeArrowheads="1"/>
                        </wps:cNvSpPr>
                        <wps:spPr bwMode="auto">
                          <a:xfrm>
                            <a:off x="4430" y="8368"/>
                            <a:ext cx="1017" cy="312"/>
                          </a:xfrm>
                          <a:prstGeom prst="rect">
                            <a:avLst/>
                          </a:prstGeom>
                          <a:solidFill>
                            <a:srgbClr val="FFFFFF"/>
                          </a:solidFill>
                          <a:ln w="9525">
                            <a:solidFill>
                              <a:srgbClr val="FFFFFF"/>
                            </a:solidFill>
                            <a:miter lim="800000"/>
                          </a:ln>
                        </wps:spPr>
                        <wps:txbx>
                          <w:txbxContent>
                            <w:p>
                              <w:pPr>
                                <w:spacing w:line="240" w:lineRule="exact"/>
                                <w:rPr>
                                  <w:sz w:val="18"/>
                                </w:rPr>
                              </w:pPr>
                              <w:r>
                                <w:rPr>
                                  <w:rFonts w:hint="eastAsia"/>
                                  <w:sz w:val="18"/>
                                </w:rPr>
                                <w:t>标准跳纤</w:t>
                              </w:r>
                            </w:p>
                          </w:txbxContent>
                        </wps:txbx>
                        <wps:bodyPr rot="0" vert="horz" wrap="square" lIns="54000" tIns="10800" rIns="54000" bIns="10800" anchor="t" anchorCtr="0" upright="1">
                          <a:noAutofit/>
                        </wps:bodyPr>
                      </wps:wsp>
                      <wps:wsp>
                        <wps:cNvPr id="87" name="Text Box 98"/>
                        <wps:cNvSpPr txBox="1">
                          <a:spLocks noChangeArrowheads="1"/>
                        </wps:cNvSpPr>
                        <wps:spPr bwMode="auto">
                          <a:xfrm>
                            <a:off x="7403" y="8462"/>
                            <a:ext cx="1050" cy="283"/>
                          </a:xfrm>
                          <a:prstGeom prst="rect">
                            <a:avLst/>
                          </a:prstGeom>
                          <a:solidFill>
                            <a:srgbClr val="FFFFFF"/>
                          </a:solidFill>
                          <a:ln w="9525">
                            <a:solidFill>
                              <a:srgbClr val="FFFFFF"/>
                            </a:solidFill>
                            <a:miter lim="800000"/>
                          </a:ln>
                        </wps:spPr>
                        <wps:txbx>
                          <w:txbxContent>
                            <w:p>
                              <w:pPr>
                                <w:spacing w:line="240" w:lineRule="exact"/>
                                <w:rPr>
                                  <w:sz w:val="18"/>
                                </w:rPr>
                              </w:pPr>
                              <w:r>
                                <w:rPr>
                                  <w:rFonts w:hint="eastAsia"/>
                                  <w:sz w:val="18"/>
                                </w:rPr>
                                <w:t>被测跳纤</w:t>
                              </w:r>
                            </w:p>
                          </w:txbxContent>
                        </wps:txbx>
                        <wps:bodyPr rot="0" vert="horz" wrap="square" lIns="54000" tIns="10800" rIns="54000" bIns="10800" anchor="t" anchorCtr="0" upright="1">
                          <a:noAutofit/>
                        </wps:bodyPr>
                      </wps:wsp>
                      <wps:wsp>
                        <wps:cNvPr id="88" name="Text Box 99"/>
                        <wps:cNvSpPr txBox="1">
                          <a:spLocks noChangeArrowheads="1"/>
                        </wps:cNvSpPr>
                        <wps:spPr bwMode="auto">
                          <a:xfrm>
                            <a:off x="6005" y="7924"/>
                            <a:ext cx="1155" cy="312"/>
                          </a:xfrm>
                          <a:prstGeom prst="rect">
                            <a:avLst/>
                          </a:prstGeom>
                          <a:solidFill>
                            <a:srgbClr val="FFFFFF"/>
                          </a:solidFill>
                          <a:ln w="9525">
                            <a:solidFill>
                              <a:srgbClr val="FFFFFF"/>
                            </a:solidFill>
                            <a:miter lim="800000"/>
                          </a:ln>
                        </wps:spPr>
                        <wps:txbx>
                          <w:txbxContent>
                            <w:p>
                              <w:pPr>
                                <w:spacing w:line="240" w:lineRule="exact"/>
                                <w:rPr>
                                  <w:sz w:val="18"/>
                                </w:rPr>
                              </w:pPr>
                              <w:r>
                                <w:rPr>
                                  <w:rFonts w:hint="eastAsia"/>
                                  <w:sz w:val="18"/>
                                </w:rPr>
                                <w:t>光缆交接箱</w:t>
                              </w:r>
                            </w:p>
                          </w:txbxContent>
                        </wps:txbx>
                        <wps:bodyPr rot="0" vert="horz" wrap="square" lIns="54000" tIns="10800" rIns="54000" bIns="10800" anchor="t" anchorCtr="0" upright="1">
                          <a:noAutofit/>
                        </wps:bodyPr>
                      </wps:wsp>
                      <wps:wsp>
                        <wps:cNvPr id="89" name="Arc 100"/>
                        <wps:cNvSpPr>
                          <a:spLocks noChangeAspect="1"/>
                        </wps:cNvSpPr>
                        <wps:spPr bwMode="auto">
                          <a:xfrm rot="10800000" flipV="1">
                            <a:off x="3728" y="8815"/>
                            <a:ext cx="220" cy="403"/>
                          </a:xfrm>
                          <a:custGeom>
                            <a:avLst/>
                            <a:gdLst>
                              <a:gd name="G0" fmla="+- 890 0 0"/>
                              <a:gd name="G1" fmla="+- 21600 0 0"/>
                              <a:gd name="G2" fmla="+- 21600 0 0"/>
                              <a:gd name="T0" fmla="*/ 890 w 22490"/>
                              <a:gd name="T1" fmla="*/ 0 h 43200"/>
                              <a:gd name="T2" fmla="*/ 0 w 22490"/>
                              <a:gd name="T3" fmla="*/ 43182 h 43200"/>
                              <a:gd name="T4" fmla="*/ 890 w 22490"/>
                              <a:gd name="T5" fmla="*/ 21600 h 43200"/>
                            </a:gdLst>
                            <a:ahLst/>
                            <a:cxnLst>
                              <a:cxn ang="0">
                                <a:pos x="T0" y="T1"/>
                              </a:cxn>
                              <a:cxn ang="0">
                                <a:pos x="T2" y="T3"/>
                              </a:cxn>
                              <a:cxn ang="0">
                                <a:pos x="T4" y="T5"/>
                              </a:cxn>
                            </a:cxnLst>
                            <a:rect l="0" t="0" r="r" b="b"/>
                            <a:pathLst>
                              <a:path w="22490" h="43200" fill="none" extrusionOk="0">
                                <a:moveTo>
                                  <a:pt x="889" y="0"/>
                                </a:moveTo>
                                <a:cubicBezTo>
                                  <a:pt x="12819" y="0"/>
                                  <a:pt x="22490" y="9670"/>
                                  <a:pt x="22490" y="21600"/>
                                </a:cubicBezTo>
                                <a:cubicBezTo>
                                  <a:pt x="22490" y="33529"/>
                                  <a:pt x="12819" y="43200"/>
                                  <a:pt x="890" y="43200"/>
                                </a:cubicBezTo>
                                <a:cubicBezTo>
                                  <a:pt x="593" y="43200"/>
                                  <a:pt x="296" y="43193"/>
                                  <a:pt x="0" y="43181"/>
                                </a:cubicBezTo>
                              </a:path>
                              <a:path w="22490" h="43200" stroke="0" extrusionOk="0">
                                <a:moveTo>
                                  <a:pt x="889" y="0"/>
                                </a:moveTo>
                                <a:cubicBezTo>
                                  <a:pt x="12819" y="0"/>
                                  <a:pt x="22490" y="9670"/>
                                  <a:pt x="22490" y="21600"/>
                                </a:cubicBezTo>
                                <a:cubicBezTo>
                                  <a:pt x="22490" y="33529"/>
                                  <a:pt x="12819" y="43200"/>
                                  <a:pt x="890" y="43200"/>
                                </a:cubicBezTo>
                                <a:cubicBezTo>
                                  <a:pt x="593" y="43200"/>
                                  <a:pt x="296" y="43193"/>
                                  <a:pt x="0" y="43181"/>
                                </a:cubicBezTo>
                                <a:lnTo>
                                  <a:pt x="890" y="21600"/>
                                </a:lnTo>
                                <a:close/>
                              </a:path>
                            </a:pathLst>
                          </a:custGeom>
                          <a:noFill/>
                          <a:ln w="31750">
                            <a:solidFill>
                              <a:srgbClr val="000000"/>
                            </a:solidFill>
                            <a:round/>
                          </a:ln>
                        </wps:spPr>
                        <wps:bodyPr rot="0" vert="horz" wrap="square" lIns="91440" tIns="45720" rIns="91440" bIns="45720" anchor="t" anchorCtr="0" upright="1">
                          <a:noAutofit/>
                        </wps:bodyPr>
                      </wps:wsp>
                      <wps:wsp>
                        <wps:cNvPr id="90" name="Text Box 101"/>
                        <wps:cNvSpPr txBox="1">
                          <a:spLocks noChangeArrowheads="1"/>
                        </wps:cNvSpPr>
                        <wps:spPr bwMode="auto">
                          <a:xfrm>
                            <a:off x="2654" y="8462"/>
                            <a:ext cx="1026" cy="1417"/>
                          </a:xfrm>
                          <a:prstGeom prst="rect">
                            <a:avLst/>
                          </a:prstGeom>
                          <a:solidFill>
                            <a:srgbClr val="FFFFFF"/>
                          </a:solidFill>
                          <a:ln w="15875">
                            <a:solidFill>
                              <a:srgbClr val="000000"/>
                            </a:solidFill>
                            <a:miter lim="800000"/>
                          </a:ln>
                        </wps:spPr>
                        <wps:txbx>
                          <w:txbxContent>
                            <w:p>
                              <w:r>
                                <w:object>
                                  <v:shape id="_x0000_i1025" o:spt="75" type="#_x0000_t75" style="height:35.15pt;width:35.15pt;" o:ole="t" filled="f" o:preferrelative="t" stroked="f" coordsize="21600,21600">
                                    <v:path/>
                                    <v:fill on="f" focussize="0,0"/>
                                    <v:stroke on="f" joinstyle="miter"/>
                                    <v:imagedata r:id="rId33" o:title=""/>
                                    <o:lock v:ext="edit" aspectratio="t"/>
                                    <w10:wrap type="none"/>
                                    <w10:anchorlock/>
                                  </v:shape>
                                  <o:OLEObject Type="Embed" ProgID="Word.Picture.8" ShapeID="_x0000_i1025" DrawAspect="Content" ObjectID="_1468075725" r:id="rId32">
                                    <o:LockedField>false</o:LockedField>
                                  </o:OLEObject>
                                </w:object>
                              </w:r>
                            </w:p>
                          </w:txbxContent>
                        </wps:txbx>
                        <wps:bodyPr rot="0" vert="horz" wrap="square" lIns="91440" tIns="45720" rIns="91440" bIns="45720" anchor="t" anchorCtr="0" upright="1">
                          <a:noAutofit/>
                        </wps:bodyPr>
                      </wps:wsp>
                      <wps:wsp>
                        <wps:cNvPr id="91" name="Text Box 102"/>
                        <wps:cNvSpPr txBox="1">
                          <a:spLocks noChangeArrowheads="1"/>
                        </wps:cNvSpPr>
                        <wps:spPr bwMode="auto">
                          <a:xfrm>
                            <a:off x="2320" y="8024"/>
                            <a:ext cx="1680" cy="312"/>
                          </a:xfrm>
                          <a:prstGeom prst="rect">
                            <a:avLst/>
                          </a:prstGeom>
                          <a:solidFill>
                            <a:srgbClr val="FFFFFF"/>
                          </a:solidFill>
                          <a:ln w="9525">
                            <a:solidFill>
                              <a:srgbClr val="FFFFFF"/>
                            </a:solidFill>
                            <a:miter lim="800000"/>
                          </a:ln>
                        </wps:spPr>
                        <wps:txbx>
                          <w:txbxContent>
                            <w:p>
                              <w:pPr>
                                <w:spacing w:line="240" w:lineRule="exact"/>
                                <w:ind w:firstLine="270" w:firstLineChars="150"/>
                                <w:rPr>
                                  <w:sz w:val="18"/>
                                </w:rPr>
                              </w:pPr>
                              <w:r>
                                <w:rPr>
                                  <w:rFonts w:hint="eastAsia"/>
                                  <w:sz w:val="18"/>
                                </w:rPr>
                                <w:t>光回损测试仪</w:t>
                              </w:r>
                            </w:p>
                          </w:txbxContent>
                        </wps:txbx>
                        <wps:bodyPr rot="0" vert="horz" wrap="square" lIns="54000" tIns="10800" rIns="54000" bIns="10800" anchor="t" anchorCtr="0" upright="1">
                          <a:noAutofit/>
                        </wps:bodyPr>
                      </wps:wsp>
                      <wps:wsp>
                        <wps:cNvPr id="92" name="Text Box 103"/>
                        <wps:cNvSpPr txBox="1">
                          <a:spLocks noChangeArrowheads="1"/>
                        </wps:cNvSpPr>
                        <wps:spPr bwMode="auto">
                          <a:xfrm>
                            <a:off x="6005" y="8392"/>
                            <a:ext cx="1155" cy="312"/>
                          </a:xfrm>
                          <a:prstGeom prst="rect">
                            <a:avLst/>
                          </a:prstGeom>
                          <a:solidFill>
                            <a:srgbClr val="FFFFFF"/>
                          </a:solidFill>
                          <a:ln w="9525">
                            <a:solidFill>
                              <a:srgbClr val="FFFFFF"/>
                            </a:solidFill>
                            <a:miter lim="800000"/>
                          </a:ln>
                        </wps:spPr>
                        <wps:txbx>
                          <w:txbxContent>
                            <w:p>
                              <w:pPr>
                                <w:rPr>
                                  <w:sz w:val="18"/>
                                  <w:szCs w:val="18"/>
                                </w:rPr>
                              </w:pPr>
                              <w:r>
                                <w:rPr>
                                  <w:rFonts w:hint="eastAsia"/>
                                  <w:sz w:val="18"/>
                                  <w:szCs w:val="18"/>
                                </w:rPr>
                                <w:t>被测适配器</w:t>
                              </w:r>
                            </w:p>
                          </w:txbxContent>
                        </wps:txbx>
                        <wps:bodyPr rot="0" vert="horz" wrap="square" lIns="54000" tIns="10800" rIns="54000" bIns="10800" anchor="t" anchorCtr="0" upright="1">
                          <a:noAutofit/>
                        </wps:bodyPr>
                      </wps:wsp>
                      <wps:wsp>
                        <wps:cNvPr id="93" name="Text Box 104"/>
                        <wps:cNvSpPr txBox="1">
                          <a:spLocks noChangeArrowheads="1"/>
                        </wps:cNvSpPr>
                        <wps:spPr bwMode="auto">
                          <a:xfrm>
                            <a:off x="4043" y="9146"/>
                            <a:ext cx="315" cy="312"/>
                          </a:xfrm>
                          <a:prstGeom prst="rect">
                            <a:avLst/>
                          </a:prstGeom>
                          <a:solidFill>
                            <a:srgbClr val="FFFFFF"/>
                          </a:solidFill>
                          <a:ln w="9525">
                            <a:solidFill>
                              <a:srgbClr val="FFFFFF"/>
                            </a:solidFill>
                            <a:miter lim="800000"/>
                          </a:ln>
                        </wps:spPr>
                        <wps:txbx>
                          <w:txbxContent>
                            <w:p>
                              <w:r>
                                <w:rPr>
                                  <w:rFonts w:hint="eastAsia"/>
                                </w:rPr>
                                <w:t>S</w:t>
                              </w:r>
                              <w:r>
                                <w:rPr>
                                  <w:rFonts w:hint="eastAsia"/>
                                  <w:vertAlign w:val="subscript"/>
                                </w:rPr>
                                <w:t>1</w:t>
                              </w:r>
                            </w:p>
                          </w:txbxContent>
                        </wps:txbx>
                        <wps:bodyPr rot="0" vert="horz" wrap="square" lIns="7200" tIns="7200" rIns="7200" bIns="7200" anchor="t" anchorCtr="0" upright="1">
                          <a:noAutofit/>
                        </wps:bodyPr>
                      </wps:wsp>
                      <wps:wsp>
                        <wps:cNvPr id="94" name="Text Box 105"/>
                        <wps:cNvSpPr txBox="1">
                          <a:spLocks noChangeArrowheads="1"/>
                        </wps:cNvSpPr>
                        <wps:spPr bwMode="auto">
                          <a:xfrm>
                            <a:off x="8978" y="9146"/>
                            <a:ext cx="315" cy="312"/>
                          </a:xfrm>
                          <a:prstGeom prst="rect">
                            <a:avLst/>
                          </a:prstGeom>
                          <a:solidFill>
                            <a:srgbClr val="FFFFFF"/>
                          </a:solidFill>
                          <a:ln w="9525">
                            <a:solidFill>
                              <a:srgbClr val="FFFFFF"/>
                            </a:solidFill>
                            <a:miter lim="800000"/>
                          </a:ln>
                        </wps:spPr>
                        <wps:txbx>
                          <w:txbxContent>
                            <w:p>
                              <w:r>
                                <w:rPr>
                                  <w:rFonts w:hint="eastAsia"/>
                                </w:rPr>
                                <w:t>R</w:t>
                              </w:r>
                              <w:r>
                                <w:rPr>
                                  <w:rFonts w:hint="eastAsia"/>
                                  <w:vertAlign w:val="subscript"/>
                                </w:rPr>
                                <w:t>2</w:t>
                              </w:r>
                            </w:p>
                          </w:txbxContent>
                        </wps:txbx>
                        <wps:bodyPr rot="0" vert="horz" wrap="square" lIns="7200" tIns="7200" rIns="7200" bIns="7200" anchor="t" anchorCtr="0" upright="1">
                          <a:noAutofit/>
                        </wps:bodyPr>
                      </wps:wsp>
                    </wpg:wgp>
                  </a:graphicData>
                </a:graphic>
              </wp:anchor>
            </w:drawing>
          </mc:Choice>
          <mc:Fallback>
            <w:pict>
              <v:group id="_x0000_s1026" o:spid="_x0000_s1026" o:spt="203" style="position:absolute;left:0pt;margin-left:31.3pt;margin-top:13.5pt;height:97.75pt;width:348.65pt;z-index:251659264;mso-width-relative:page;mso-height-relative:page;" coordorigin="2320,7924" coordsize="6973,1955" o:gfxdata="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">
                <o:lock v:ext="edit" aspectratio="f"/>
                <v:rect id="Rectangle 72" o:spid="_x0000_s1026" o:spt="1" style="position:absolute;left:5933;top:8306;height:1248;width:1260;" fillcolor="#FFFFFF" filled="t" stroked="t" coordsize="21600,21600" o:gfxdata="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b9IDrsAAADb&#10;AAAADwAAAAAAAAABACAAAAAiAAAAZHJzL2Rvd25yZXYueG1sUEsBAhQAFAAAAAgAh07iQDMvBZ47&#10;AAAAOQAAABAAAAAAAAAAAQAgAAAACgEAAGRycy9zaGFwZXhtbC54bWxQSwUGAAAAAAYABgBbAQAA&#10;tAMAAAAA&#10;">
                  <v:fill on="t" focussize="0,0"/>
                  <v:stroke weight="1.25pt" color="#000000" miterlimit="8" joinstyle="miter"/>
                  <v:imagedata o:title=""/>
                  <o:lock v:ext="edit" aspectratio="f"/>
                </v:rect>
                <v:shape id="Text Box 73" o:spid="_x0000_s1026" o:spt="202" type="#_x0000_t202" style="position:absolute;left:6773;top:9086;height:312;width:315;" fillcolor="#FFFFFF" filled="t" stroked="t" coordsize="21600,21600" o:gfxdata="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y1TH28AAAA&#10;2wAAAA8AAAAAAAAAAQAgAAAAIgAAAGRycy9kb3ducmV2LnhtbFBLAQIUABQAAAAIAIdO4kAzLwWe&#10;OwAAADkAAAAQAAAAAAAAAAEAIAAAAAsBAABkcnMvc2hhcGV4bWwueG1sUEsFBgAAAAAGAAYAWwEA&#10;ALUDAAAAAA==&#10;">
                  <v:fill on="t" focussize="0,0"/>
                  <v:stroke color="#FFFFFF" miterlimit="8" joinstyle="miter"/>
                  <v:imagedata o:title=""/>
                  <o:lock v:ext="edit" aspectratio="f"/>
                  <v:textbox inset="0.2mm,0.2mm,0.2mm,0.2mm">
                    <w:txbxContent>
                      <w:p>
                        <w:r>
                          <w:rPr>
                            <w:rFonts w:hint="eastAsia"/>
                          </w:rPr>
                          <w:t>R</w:t>
                        </w:r>
                        <w:r>
                          <w:rPr>
                            <w:rFonts w:hint="eastAsia"/>
                            <w:vertAlign w:val="subscript"/>
                          </w:rPr>
                          <w:t>1</w:t>
                        </w:r>
                      </w:p>
                    </w:txbxContent>
                  </v:textbox>
                </v:shape>
                <v:shape id="Text Box 74" o:spid="_x0000_s1026" o:spt="202" type="#_x0000_t202" style="position:absolute;left:6038;top:9086;height:312;width:315;" fillcolor="#FFFFFF" filled="t" stroked="t" coordsize="21600,21600" o:gfxdata="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enmvQAA&#10;ANsAAAAPAAAAAAAAAAEAIAAAACIAAABkcnMvZG93bnJldi54bWxQSwECFAAUAAAACACHTuJAMy8F&#10;njsAAAA5AAAAEAAAAAAAAAABACAAAAAMAQAAZHJzL3NoYXBleG1sLnhtbFBLBQYAAAAABgAGAFsB&#10;AAC2AwAAAAA=&#10;">
                  <v:fill on="t" focussize="0,0"/>
                  <v:stroke color="#FFFFFF" miterlimit="8" joinstyle="miter"/>
                  <v:imagedata o:title=""/>
                  <o:lock v:ext="edit" aspectratio="f"/>
                  <v:textbox inset="0.2mm,0.2mm,0.2mm,0.2mm">
                    <w:txbxContent>
                      <w:p>
                        <w:r>
                          <w:rPr>
                            <w:rFonts w:hint="eastAsia"/>
                          </w:rPr>
                          <w:t>S</w:t>
                        </w:r>
                        <w:r>
                          <w:rPr>
                            <w:rFonts w:hint="eastAsia"/>
                            <w:vertAlign w:val="subscript"/>
                          </w:rPr>
                          <w:t>2</w:t>
                        </w:r>
                      </w:p>
                    </w:txbxContent>
                  </v:textbox>
                </v:shape>
                <v:rect id="Rectangle 75" o:spid="_x0000_s1026" o:spt="1" style="position:absolute;left:3833;top:8979;height:91;width:227;" fillcolor="#000000" filled="t" stroked="t" coordsize="21600,21600" o:gfxdata="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wEEyr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rect>
                <v:rect id="Rectangle 76" o:spid="_x0000_s1026" o:spt="1" style="position:absolute;left:6143;top:8979;height:91;width:227;" fillcolor="#000000" filled="t" stroked="t" coordsize="21600,21600" o:gfxdata="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E2hUb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rect>
                <v:shape id="Oval 77" o:spid="_x0000_s1026" o:spt="3" type="#_x0000_t3" style="position:absolute;left:4684;top:8774;height:474;width:514;" fillcolor="#FFFFFF" filled="t" stroked="t" coordsize="21600,21600" o:gfxdata="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e3+1rsAAADb&#10;AAAADwAAAAAAAAABACAAAAAiAAAAZHJzL2Rvd25yZXYueG1sUEsBAhQAFAAAAAgAh07iQDMvBZ47&#10;AAAAOQAAABAAAAAAAAAAAQAgAAAACgEAAGRycy9zaGFwZXhtbC54bWxQSwUGAAAAAAYABgBbAQAA&#10;tAMAAAAA&#10;">
                  <v:fill on="t" focussize="0,0"/>
                  <v:stroke weight="1.5pt" color="#000000" joinstyle="round"/>
                  <v:imagedata o:title=""/>
                  <o:lock v:ext="edit" aspectratio="t"/>
                </v:shape>
                <v:group id="Group 78" o:spid="_x0000_s1026" o:spt="203" style="position:absolute;left:4899;top:8806;height:236;width:100;rotation:2949120f;" coordorigin="3987,6083" coordsize="210,624" o:gfxdata="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8q3670AAADbAAAADwAAAAAAAAABACAAAAAiAAAAZHJzL2Rvd25yZXYueG1s&#10;UEsBAhQAFAAAAAgAh07iQDMvBZ47AAAAOQAAABUAAAAAAAAAAQAgAAAADAEAAGRycy9ncm91cHNo&#10;YXBleG1sLnhtbFBLBQYAAAAABgAGAGABAADJAwAAAAA=&#10;">
                  <o:lock v:ext="edit" aspectratio="t"/>
                  <v:shape id="AutoShape 79" o:spid="_x0000_s1026" o:spt="5" type="#_x0000_t5" style="position:absolute;left:3987;top:6083;height:468;width:210;" fillcolor="#000000" filled="t" stroked="t" coordsize="21600,21600" o:gfxdata="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8Ll0q5AAAA2wAA&#10;AA8AAAAAAAAAAQAgAAAAIgAAAGRycy9kb3ducmV2LnhtbFBLAQIUABQAAAAIAIdO4kAzLwWeOwAA&#10;ADkAAAAQAAAAAAAAAAEAIAAAAAgBAABkcnMvc2hhcGV4bWwueG1sUEsFBgAAAAAGAAYAWwEAALID&#10;AAAAAA==&#10;" adj="10800">
                    <v:fill on="t" focussize="0,0"/>
                    <v:stroke color="#000000" miterlimit="8" joinstyle="miter"/>
                    <v:imagedata o:title=""/>
                    <o:lock v:ext="edit" aspectratio="t"/>
                  </v:shape>
                  <v:line id="Line 80" o:spid="_x0000_s1026" o:spt="20" style="position:absolute;left:4095;top:6239;flip:y;height:468;width:0;" filled="f" stroked="t" coordsize="21600,21600" o:gfxdata="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ZSrLhtwAAANsAAAAP&#10;AAAAAAAAAAEAIAAAACIAAABkcnMvZG93bnJldi54bWxQSwECFAAUAAAACACHTuJAMy8FnjsAAAA5&#10;AAAAEAAAAAAAAAABACAAAAAGAQAAZHJzL3NoYXBleG1sLnhtbFBLBQYAAAAABgAGAFsBAACwAwAA&#10;AAA=&#10;">
                    <v:fill on="f" focussize="0,0"/>
                    <v:stroke weight="1.5pt" color="#000000" joinstyle="round"/>
                    <v:imagedata o:title=""/>
                    <o:lock v:ext="edit" aspectratio="t"/>
                  </v:line>
                </v:group>
                <v:group id="Group 81" o:spid="_x0000_s1026" o:spt="203" style="position:absolute;left:4900;top:8988;height:236;width:98;rotation:2949120f;" coordorigin="3987,6083" coordsize="210,624" o:gfxdata="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sfq5QroAAADbAAAADwAAAAAAAAABACAAAAAiAAAAZHJzL2Rvd25yZXYueG1sUEsB&#10;AhQAFAAAAAgAh07iQDMvBZ47AAAAOQAAABUAAAAAAAAAAQAgAAAACQEAAGRycy9ncm91cHNoYXBl&#10;eG1sLnhtbFBLBQYAAAAABgAGAGABAADGAwAAAAA=&#10;">
                  <o:lock v:ext="edit" aspectratio="t"/>
                  <v:shape id="AutoShape 82" o:spid="_x0000_s1026" o:spt="5" type="#_x0000_t5" style="position:absolute;left:3987;top:6083;height:468;width:210;" fillcolor="#000000" filled="t" stroked="t" coordsize="21600,21600" o:gfxdata="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voqAq8AAAA&#10;2wAAAA8AAAAAAAAAAQAgAAAAIgAAAGRycy9kb3ducmV2LnhtbFBLAQIUABQAAAAIAIdO4kAzLwWe&#10;OwAAADkAAAAQAAAAAAAAAAEAIAAAAAsBAABkcnMvc2hhcGV4bWwueG1sUEsFBgAAAAAGAAYAWwEA&#10;ALUDAAAAAA==&#10;" adj="10800">
                    <v:fill on="t" focussize="0,0"/>
                    <v:stroke color="#000000" miterlimit="8" joinstyle="miter"/>
                    <v:imagedata o:title=""/>
                    <o:lock v:ext="edit" aspectratio="t"/>
                  </v:shape>
                  <v:line id="Line 83" o:spid="_x0000_s1026" o:spt="20" style="position:absolute;left:4095;top:6239;flip:y;height:468;width:0;" filled="f" stroked="t" coordsize="21600,21600" o:gfxdata="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SN7ZNtwAAANsAAAAP&#10;AAAAAAAAAAEAIAAAACIAAABkcnMvZG93bnJldi54bWxQSwECFAAUAAAACACHTuJAMy8FnjsAAAA5&#10;AAAAEAAAAAAAAAABACAAAAAGAQAAZHJzL3NoYXBleG1sLnhtbFBLBQYAAAAABgAGAFsBAACwAwAA&#10;AAA=&#10;">
                    <v:fill on="f" focussize="0,0"/>
                    <v:stroke weight="1.5pt" color="#000000" joinstyle="round"/>
                    <v:imagedata o:title=""/>
                    <o:lock v:ext="edit" aspectratio="t"/>
                  </v:line>
                </v:group>
                <v:line id="Line 84" o:spid="_x0000_s1026" o:spt="20" style="position:absolute;left:4043;top:9031;height:0;width:2100;" filled="f" stroked="t" coordsize="21600,21600" o:gfxdata="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WwoF1ugAAANsA&#10;AAAPAAAAAAAAAAEAIAAAACIAAABkcnMvZG93bnJldi54bWxQSwECFAAUAAAACACHTuJAMy8FnjsA&#10;AAA5AAAAEAAAAAAAAAABACAAAAAJAQAAZHJzL3NoYXBleG1sLnhtbFBLBQYAAAAABgAGAFsBAACz&#10;AwAAAAA=&#10;">
                  <v:fill on="f" focussize="0,0"/>
                  <v:stroke weight="1.25pt" color="#000000" joinstyle="round"/>
                  <v:imagedata o:title=""/>
                  <o:lock v:ext="edit" aspectratio="t"/>
                </v:line>
                <v:shape id="Arc 85" o:spid="_x0000_s1026" o:spt="100" style="position:absolute;left:6553;top:8831;flip:y;height:403;width:220;rotation:11796480f;" filled="f" stroked="t" coordsize="22490,43200" o:gfxdata="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raD+vQAA&#10;ANsAAAAPAAAAAAAAAAEAIAAAACIAAABkcnMvZG93bnJldi54bWxQSwECFAAUAAAACACHTuJAMy8F&#10;njsAAAA5AAAAEAAAAAAAAAABACAAAAAMAQAAZHJzL3NoYXBleG1sLnhtbFBLBQYAAAAABgAGAFsB&#10;AAC2AwAAAAA=&#10;" path="m889,0c12819,0,22490,9670,22490,21600c22490,33529,12819,43200,890,43200c593,43200,296,43193,0,43181nfem889,0c12819,0,22490,9670,22490,21600c22490,33529,12819,43200,890,43200c593,43200,296,43193,0,43181l890,21600xnse">
                  <v:path o:connectlocs="8,0;0,402;8,201" o:connectangles="0,0,0"/>
                  <v:fill on="f" focussize="0,0"/>
                  <v:stroke weight="2.5pt" color="#000000" joinstyle="round"/>
                  <v:imagedata o:title=""/>
                  <o:lock v:ext="edit" aspectratio="t"/>
                </v:shape>
                <v:shape id="Arc 86" o:spid="_x0000_s1026" o:spt="100" style="position:absolute;left:6332;top:8831;flip:y;height:403;width:221;" filled="f" stroked="t" coordsize="22490,43200" o:gfxdata="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XlAgvQAA&#10;ANsAAAAPAAAAAAAAAAEAIAAAACIAAABkcnMvZG93bnJldi54bWxQSwECFAAUAAAACACHTuJAMy8F&#10;njsAAAA5AAAAEAAAAAAAAAABACAAAAAMAQAAZHJzL3NoYXBleG1sLnhtbFBLBQYAAAAABgAGAFsB&#10;AAC2AwAAAAA=&#10;" path="m889,0c12819,0,22490,9670,22490,21600c22490,33529,12819,43200,890,43200c593,43200,296,43193,0,43181nfem889,0c12819,0,22490,9670,22490,21600c22490,33529,12819,43200,890,43200c593,43200,296,43193,0,43181l890,21600xnse">
                  <v:path o:connectlocs="8,0;0,402;8,201" o:connectangles="0,0,0"/>
                  <v:fill on="f" focussize="0,0"/>
                  <v:stroke weight="2.5pt" color="#000000" joinstyle="round"/>
                  <v:imagedata o:title=""/>
                  <o:lock v:ext="edit" aspectratio="t"/>
                </v:shape>
                <v:shape id="Oval 87" o:spid="_x0000_s1026" o:spt="3" type="#_x0000_t3" style="position:absolute;left:7624;top:8774;height:474;width:514;" fillcolor="#FFFFFF" filled="t" stroked="t" coordsize="21600,21600" o:gfxdata="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NGgLvQAA&#10;ANsAAAAPAAAAAAAAAAEAIAAAACIAAABkcnMvZG93bnJldi54bWxQSwECFAAUAAAACACHTuJAMy8F&#10;njsAAAA5AAAAEAAAAAAAAAABACAAAAAMAQAAZHJzL3NoYXBleG1sLnhtbFBLBQYAAAAABgAGAFsB&#10;AAC2AwAAAAA=&#10;">
                  <v:fill on="t" focussize="0,0"/>
                  <v:stroke weight="1.5pt" color="#000000" joinstyle="round"/>
                  <v:imagedata o:title=""/>
                  <o:lock v:ext="edit" aspectratio="t"/>
                </v:shape>
                <v:group id="Group 88" o:spid="_x0000_s1026" o:spt="203" style="position:absolute;left:7839;top:8806;height:236;width:100;rotation:2949120f;" coordorigin="3987,6083" coordsize="210,624" o:gfxdata="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hMhNr0AAADbAAAADwAAAAAAAAABACAAAAAiAAAAZHJzL2Rvd25yZXYueG1s&#10;UEsBAhQAFAAAAAgAh07iQDMvBZ47AAAAOQAAABUAAAAAAAAAAQAgAAAADAEAAGRycy9ncm91cHNo&#10;YXBleG1sLnhtbFBLBQYAAAAABgAGAGABAADJAwAAAAA=&#10;">
                  <o:lock v:ext="edit" aspectratio="t"/>
                  <v:shape id="AutoShape 89" o:spid="_x0000_s1026" o:spt="5" type="#_x0000_t5" style="position:absolute;left:3987;top:6083;height:468;width:210;" fillcolor="#000000" filled="t" stroked="t" coordsize="21600,21600" o:gfxdata="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rSAZe2AAAA2wAAAA8A&#10;AAAAAAAAAQAgAAAAIgAAAGRycy9kb3ducmV2LnhtbFBLAQIUABQAAAAIAIdO4kAzLwWeOwAAADkA&#10;AAAQAAAAAAAAAAEAIAAAAAUBAABkcnMvc2hhcGV4bWwueG1sUEsFBgAAAAAGAAYAWwEAAK8DAAAA&#10;AA==&#10;" adj="10800">
                    <v:fill on="t" focussize="0,0"/>
                    <v:stroke color="#000000" miterlimit="8" joinstyle="miter"/>
                    <v:imagedata o:title=""/>
                    <o:lock v:ext="edit" aspectratio="t"/>
                  </v:shape>
                  <v:line id="Line 90" o:spid="_x0000_s1026" o:spt="20" style="position:absolute;left:4095;top:6239;flip:y;height:468;width:0;" filled="f" stroked="t" coordsize="21600,21600" o:gfxdata="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JMkPLgAAADbAAAA&#10;DwAAAAAAAAABACAAAAAiAAAAZHJzL2Rvd25yZXYueG1sUEsBAhQAFAAAAAgAh07iQDMvBZ47AAAA&#10;OQAAABAAAAAAAAAAAQAgAAAABwEAAGRycy9zaGFwZXhtbC54bWxQSwUGAAAAAAYABgBbAQAAsQMA&#10;AAAA&#10;">
                    <v:fill on="f" focussize="0,0"/>
                    <v:stroke weight="1.5pt" color="#000000" joinstyle="round"/>
                    <v:imagedata o:title=""/>
                    <o:lock v:ext="edit" aspectratio="t"/>
                  </v:line>
                </v:group>
                <v:group id="Group 91" o:spid="_x0000_s1026" o:spt="203" style="position:absolute;left:7840;top:8988;height:236;width:98;rotation:2949120f;" coordorigin="3987,6083" coordsize="210,624" o:gfxdata="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hC/JZboAAADbAAAADwAAAAAAAAABACAAAAAiAAAAZHJzL2Rvd25yZXYueG1sUEsB&#10;AhQAFAAAAAgAh07iQDMvBZ47AAAAOQAAABUAAAAAAAAAAQAgAAAACQEAAGRycy9ncm91cHNoYXBl&#10;eG1sLnhtbFBLBQYAAAAABgAGAGABAADGAwAAAAA=&#10;">
                  <o:lock v:ext="edit" aspectratio="t"/>
                  <v:shape id="AutoShape 92" o:spid="_x0000_s1026" o:spt="5" type="#_x0000_t5" style="position:absolute;left:3987;top:6083;height:468;width:210;" fillcolor="#000000" filled="t" stroked="t" coordsize="21600,21600" o:gfxdata="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3YLbsAAADb&#10;AAAADwAAAAAAAAABACAAAAAiAAAAZHJzL2Rvd25yZXYueG1sUEsBAhQAFAAAAAgAh07iQDMvBZ47&#10;AAAAOQAAABAAAAAAAAAAAQAgAAAACgEAAGRycy9zaGFwZXhtbC54bWxQSwUGAAAAAAYABgBbAQAA&#10;tAMAAAAA&#10;" adj="10800">
                    <v:fill on="t" focussize="0,0"/>
                    <v:stroke color="#000000" miterlimit="8" joinstyle="miter"/>
                    <v:imagedata o:title=""/>
                    <o:lock v:ext="edit" aspectratio="t"/>
                  </v:shape>
                  <v:line id="Line 93" o:spid="_x0000_s1026" o:spt="20" style="position:absolute;left:4095;top:6239;flip:y;height:468;width:0;" filled="f" stroked="t" coordsize="21600,21600" o:gfxdata="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n4sZqtwAAANsAAAAP&#10;AAAAAAAAAAEAIAAAACIAAABkcnMvZG93bnJldi54bWxQSwECFAAUAAAACACHTuJAMy8FnjsAAAA5&#10;AAAAEAAAAAAAAAABACAAAAAGAQAAZHJzL3NoYXBleG1sLnhtbFBLBQYAAAAABgAGAFsBAACwAwAA&#10;AAA=&#10;">
                    <v:fill on="f" focussize="0,0"/>
                    <v:stroke weight="1.5pt" color="#000000" joinstyle="round"/>
                    <v:imagedata o:title=""/>
                    <o:lock v:ext="edit" aspectratio="t"/>
                  </v:line>
                </v:group>
                <v:line id="Line 94" o:spid="_x0000_s1026" o:spt="20" style="position:absolute;left:6983;top:9024;height:0;width:1890;" filled="f" stroked="t" coordsize="21600,21600" o:gfxdata="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F/FSugAAANsA&#10;AAAPAAAAAAAAAAEAIAAAACIAAABkcnMvZG93bnJldi54bWxQSwECFAAUAAAACACHTuJAMy8FnjsA&#10;AAA5AAAAEAAAAAAAAAABACAAAAAJAQAAZHJzL3NoYXBleG1sLnhtbFBLBQYAAAAABgAGAFsBAACz&#10;AwAAAAA=&#10;">
                  <v:fill on="f" focussize="0,0"/>
                  <v:stroke weight="1.25pt" color="#000000" joinstyle="round"/>
                  <v:imagedata o:title=""/>
                  <o:lock v:ext="edit" aspectratio="t"/>
                </v:line>
                <v:rect id="Rectangle 95" o:spid="_x0000_s1026" o:spt="1" style="position:absolute;left:8856;top:8972;height:91;width:227;" fillcolor="#000000" filled="t" stroked="t" coordsize="21600,21600" o:gfxdata="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w3iML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rect>
                <v:rect id="Rectangle 96" o:spid="_x0000_s1026" o:spt="1" style="position:absolute;left:6756;top:8972;height:91;width:227;" fillcolor="#000000" filled="t" stroked="t" coordsize="21600,21600" o:gfxdata="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EFHq7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rect>
                <v:shape id="Text Box 97" o:spid="_x0000_s1026" o:spt="202" type="#_x0000_t202" style="position:absolute;left:4430;top:8368;height:312;width:1017;" fillcolor="#FFFFFF" filled="t" stroked="t" coordsize="21600,21600" o:gfxdata="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ey3Oy8AAAA&#10;2wAAAA8AAAAAAAAAAQAgAAAAIgAAAGRycy9kb3ducmV2LnhtbFBLAQIUABQAAAAIAIdO4kAzLwWe&#10;OwAAADkAAAAQAAAAAAAAAAEAIAAAAAsBAABkcnMvc2hhcGV4bWwueG1sUEsFBgAAAAAGAAYAWwEA&#10;ALUDAAAAAA==&#10;">
                  <v:fill on="t" focussize="0,0"/>
                  <v:stroke color="#FFFFFF" miterlimit="8" joinstyle="miter"/>
                  <v:imagedata o:title=""/>
                  <o:lock v:ext="edit" aspectratio="f"/>
                  <v:textbox inset="1.5mm,0.3mm,1.5mm,0.3mm">
                    <w:txbxContent>
                      <w:p>
                        <w:pPr>
                          <w:spacing w:line="240" w:lineRule="exact"/>
                          <w:rPr>
                            <w:sz w:val="18"/>
                          </w:rPr>
                        </w:pPr>
                        <w:r>
                          <w:rPr>
                            <w:rFonts w:hint="eastAsia"/>
                            <w:sz w:val="18"/>
                          </w:rPr>
                          <w:t>标准跳纤</w:t>
                        </w:r>
                      </w:p>
                    </w:txbxContent>
                  </v:textbox>
                </v:shape>
                <v:shape id="Text Box 98" o:spid="_x0000_s1026" o:spt="202" type="#_x0000_t202" style="position:absolute;left:7403;top:8462;height:283;width:1050;" fillcolor="#FFFFFF" filled="t" stroked="t" coordsize="21600,21600" o:gfxdata="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nl3vQAA&#10;ANsAAAAPAAAAAAAAAAEAIAAAACIAAABkcnMvZG93bnJldi54bWxQSwECFAAUAAAACACHTuJAMy8F&#10;njsAAAA5AAAAEAAAAAAAAAABACAAAAAMAQAAZHJzL3NoYXBleG1sLnhtbFBLBQYAAAAABgAGAFsB&#10;AAC2AwAAAAA=&#10;">
                  <v:fill on="t" focussize="0,0"/>
                  <v:stroke color="#FFFFFF" miterlimit="8" joinstyle="miter"/>
                  <v:imagedata o:title=""/>
                  <o:lock v:ext="edit" aspectratio="f"/>
                  <v:textbox inset="1.5mm,0.3mm,1.5mm,0.3mm">
                    <w:txbxContent>
                      <w:p>
                        <w:pPr>
                          <w:spacing w:line="240" w:lineRule="exact"/>
                          <w:rPr>
                            <w:sz w:val="18"/>
                          </w:rPr>
                        </w:pPr>
                        <w:r>
                          <w:rPr>
                            <w:rFonts w:hint="eastAsia"/>
                            <w:sz w:val="18"/>
                          </w:rPr>
                          <w:t>被测跳纤</w:t>
                        </w:r>
                      </w:p>
                    </w:txbxContent>
                  </v:textbox>
                </v:shape>
                <v:shape id="Text Box 99" o:spid="_x0000_s1026" o:spt="202" type="#_x0000_t202" style="position:absolute;left:6005;top:7924;height:312;width:1155;" fillcolor="#FFFFFF" filled="t" stroked="t" coordsize="21600,21600" o:gfxdata="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lh7QW5AAAA2wAA&#10;AA8AAAAAAAAAAQAgAAAAIgAAAGRycy9kb3ducmV2LnhtbFBLAQIUABQAAAAIAIdO4kAzLwWeOwAA&#10;ADkAAAAQAAAAAAAAAAEAIAAAAAgBAABkcnMvc2hhcGV4bWwueG1sUEsFBgAAAAAGAAYAWwEAALID&#10;AAAAAA==&#10;">
                  <v:fill on="t" focussize="0,0"/>
                  <v:stroke color="#FFFFFF" miterlimit="8" joinstyle="miter"/>
                  <v:imagedata o:title=""/>
                  <o:lock v:ext="edit" aspectratio="f"/>
                  <v:textbox inset="1.5mm,0.3mm,1.5mm,0.3mm">
                    <w:txbxContent>
                      <w:p>
                        <w:pPr>
                          <w:spacing w:line="240" w:lineRule="exact"/>
                          <w:rPr>
                            <w:sz w:val="18"/>
                          </w:rPr>
                        </w:pPr>
                        <w:r>
                          <w:rPr>
                            <w:rFonts w:hint="eastAsia"/>
                            <w:sz w:val="18"/>
                          </w:rPr>
                          <w:t>光缆交接箱</w:t>
                        </w:r>
                      </w:p>
                    </w:txbxContent>
                  </v:textbox>
                </v:shape>
                <v:shape id="Arc 100" o:spid="_x0000_s1026" o:spt="100" style="position:absolute;left:3728;top:8815;flip:y;height:403;width:220;rotation:11796480f;" filled="f" stroked="t" coordsize="22490,43200" o:gfxdata="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nl/R74A&#10;AADbAAAADwAAAAAAAAABACAAAAAiAAAAZHJzL2Rvd25yZXYueG1sUEsBAhQAFAAAAAgAh07iQDMv&#10;BZ47AAAAOQAAABAAAAAAAAAAAQAgAAAADQEAAGRycy9zaGFwZXhtbC54bWxQSwUGAAAAAAYABgBb&#10;AQAAtwMAAAAA&#10;" path="m889,0c12819,0,22490,9670,22490,21600c22490,33529,12819,43200,890,43200c593,43200,296,43193,0,43181nfem889,0c12819,0,22490,9670,22490,21600c22490,33529,12819,43200,890,43200c593,43200,296,43193,0,43181l890,21600xnse">
                  <v:path o:connectlocs="8,0;0,402;8,201" o:connectangles="0,0,0"/>
                  <v:fill on="f" focussize="0,0"/>
                  <v:stroke weight="2.5pt" color="#000000" joinstyle="round"/>
                  <v:imagedata o:title=""/>
                  <o:lock v:ext="edit" aspectratio="t"/>
                </v:shape>
                <v:shape id="Text Box 101" o:spid="_x0000_s1026" o:spt="202" type="#_x0000_t202" style="position:absolute;left:2654;top:8462;height:1417;width:1026;" fillcolor="#FFFFFF" filled="t" stroked="t" coordsize="21600,21600" o:gfxdata="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pbWIK5AAAA2wAA&#10;AA8AAAAAAAAAAQAgAAAAIgAAAGRycy9kb3ducmV2LnhtbFBLAQIUABQAAAAIAIdO4kAzLwWeOwAA&#10;ADkAAAAQAAAAAAAAAAEAIAAAAAgBAABkcnMvc2hhcGV4bWwueG1sUEsFBgAAAAAGAAYAWwEAALID&#10;AAAAAA==&#10;">
                  <v:fill on="t" focussize="0,0"/>
                  <v:stroke weight="1.25pt" color="#000000" miterlimit="8" joinstyle="miter"/>
                  <v:imagedata o:title=""/>
                  <o:lock v:ext="edit" aspectratio="f"/>
                  <v:textbox>
                    <w:txbxContent>
                      <w:p>
                        <w:r>
                          <w:object>
                            <v:shape id="_x0000_i1025" o:spt="75" type="#_x0000_t75" style="height:35.15pt;width:35.15pt;" o:ole="t" filled="f" o:preferrelative="t" stroked="f" coordsize="21600,21600">
                              <v:path/>
                              <v:fill on="f" focussize="0,0"/>
                              <v:stroke on="f" joinstyle="miter"/>
                              <v:imagedata r:id="rId33" o:title=""/>
                              <o:lock v:ext="edit" aspectratio="t"/>
                              <w10:wrap type="none"/>
                              <w10:anchorlock/>
                            </v:shape>
                            <o:OLEObject Type="Embed" ProgID="Word.Picture.8" ShapeID="_x0000_i1025" DrawAspect="Content" ObjectID="_1468075726" r:id="rId34">
                              <o:LockedField>false</o:LockedField>
                            </o:OLEObject>
                          </w:object>
                        </w:r>
                      </w:p>
                    </w:txbxContent>
                  </v:textbox>
                </v:shape>
                <v:shape id="Text Box 102" o:spid="_x0000_s1026" o:spt="202" type="#_x0000_t202" style="position:absolute;left:2320;top:8024;height:312;width:1680;" fillcolor="#FFFFFF" filled="t" stroked="t" coordsize="21600,21600" o:gfxdata="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gtJFvQAA&#10;ANsAAAAPAAAAAAAAAAEAIAAAACIAAABkcnMvZG93bnJldi54bWxQSwECFAAUAAAACACHTuJAMy8F&#10;njsAAAA5AAAAEAAAAAAAAAABACAAAAAMAQAAZHJzL3NoYXBleG1sLnhtbFBLBQYAAAAABgAGAFsB&#10;AAC2AwAAAAA=&#10;">
                  <v:fill on="t" focussize="0,0"/>
                  <v:stroke color="#FFFFFF" miterlimit="8" joinstyle="miter"/>
                  <v:imagedata o:title=""/>
                  <o:lock v:ext="edit" aspectratio="f"/>
                  <v:textbox inset="1.5mm,0.3mm,1.5mm,0.3mm">
                    <w:txbxContent>
                      <w:p>
                        <w:pPr>
                          <w:spacing w:line="240" w:lineRule="exact"/>
                          <w:ind w:firstLine="270" w:firstLineChars="150"/>
                          <w:rPr>
                            <w:sz w:val="18"/>
                          </w:rPr>
                        </w:pPr>
                        <w:r>
                          <w:rPr>
                            <w:rFonts w:hint="eastAsia"/>
                            <w:sz w:val="18"/>
                          </w:rPr>
                          <w:t>光回损测试仪</w:t>
                        </w:r>
                      </w:p>
                    </w:txbxContent>
                  </v:textbox>
                </v:shape>
                <v:shape id="Text Box 103" o:spid="_x0000_s1026" o:spt="202" type="#_x0000_t202" style="position:absolute;left:6005;top:8392;height:312;width:1155;" fillcolor="#FFFFFF" filled="t" stroked="t" coordsize="21600,21600" o:gfxdata="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UEwyvQAA&#10;ANsAAAAPAAAAAAAAAAEAIAAAACIAAABkcnMvZG93bnJldi54bWxQSwECFAAUAAAACACHTuJAMy8F&#10;njsAAAA5AAAAEAAAAAAAAAABACAAAAAMAQAAZHJzL3NoYXBleG1sLnhtbFBLBQYAAAAABgAGAFsB&#10;AAC2AwAAAAA=&#10;">
                  <v:fill on="t" focussize="0,0"/>
                  <v:stroke color="#FFFFFF" miterlimit="8" joinstyle="miter"/>
                  <v:imagedata o:title=""/>
                  <o:lock v:ext="edit" aspectratio="f"/>
                  <v:textbox inset="1.5mm,0.3mm,1.5mm,0.3mm">
                    <w:txbxContent>
                      <w:p>
                        <w:pPr>
                          <w:rPr>
                            <w:sz w:val="18"/>
                            <w:szCs w:val="18"/>
                          </w:rPr>
                        </w:pPr>
                        <w:r>
                          <w:rPr>
                            <w:rFonts w:hint="eastAsia"/>
                            <w:sz w:val="18"/>
                            <w:szCs w:val="18"/>
                          </w:rPr>
                          <w:t>被测适配器</w:t>
                        </w:r>
                      </w:p>
                    </w:txbxContent>
                  </v:textbox>
                </v:shape>
                <v:shape id="Text Box 104" o:spid="_x0000_s1026" o:spt="202" type="#_x0000_t202" style="position:absolute;left:4043;top:9146;height:312;width:315;" fillcolor="#FFFFFF" filled="t" stroked="t" coordsize="21600,21600" o:gfxdata="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iyZwbsAAADb&#10;AAAADwAAAAAAAAABACAAAAAiAAAAZHJzL2Rvd25yZXYueG1sUEsBAhQAFAAAAAgAh07iQDMvBZ47&#10;AAAAOQAAABAAAAAAAAAAAQAgAAAACgEAAGRycy9zaGFwZXhtbC54bWxQSwUGAAAAAAYABgBbAQAA&#10;tAMAAAAA&#10;">
                  <v:fill on="t" focussize="0,0"/>
                  <v:stroke color="#FFFFFF" miterlimit="8" joinstyle="miter"/>
                  <v:imagedata o:title=""/>
                  <o:lock v:ext="edit" aspectratio="f"/>
                  <v:textbox inset="0.2mm,0.2mm,0.2mm,0.2mm">
                    <w:txbxContent>
                      <w:p>
                        <w:r>
                          <w:rPr>
                            <w:rFonts w:hint="eastAsia"/>
                          </w:rPr>
                          <w:t>S</w:t>
                        </w:r>
                        <w:r>
                          <w:rPr>
                            <w:rFonts w:hint="eastAsia"/>
                            <w:vertAlign w:val="subscript"/>
                          </w:rPr>
                          <w:t>1</w:t>
                        </w:r>
                      </w:p>
                    </w:txbxContent>
                  </v:textbox>
                </v:shape>
                <v:shape id="Text Box 105" o:spid="_x0000_s1026" o:spt="202" type="#_x0000_t202" style="position:absolute;left:8978;top:9146;height:312;width:315;" fillcolor="#FFFFFF" filled="t" stroked="t" coordsize="21600,21600" o:gfxdata="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UBtbsAAADb&#10;AAAADwAAAAAAAAABACAAAAAiAAAAZHJzL2Rvd25yZXYueG1sUEsBAhQAFAAAAAgAh07iQDMvBZ47&#10;AAAAOQAAABAAAAAAAAAAAQAgAAAACgEAAGRycy9zaGFwZXhtbC54bWxQSwUGAAAAAAYABgBbAQAA&#10;tAMAAAAA&#10;">
                  <v:fill on="t" focussize="0,0"/>
                  <v:stroke color="#FFFFFF" miterlimit="8" joinstyle="miter"/>
                  <v:imagedata o:title=""/>
                  <o:lock v:ext="edit" aspectratio="f"/>
                  <v:textbox inset="0.2mm,0.2mm,0.2mm,0.2mm">
                    <w:txbxContent>
                      <w:p>
                        <w:r>
                          <w:rPr>
                            <w:rFonts w:hint="eastAsia"/>
                          </w:rPr>
                          <w:t>R</w:t>
                        </w:r>
                        <w:r>
                          <w:rPr>
                            <w:rFonts w:hint="eastAsia"/>
                            <w:vertAlign w:val="subscript"/>
                          </w:rPr>
                          <w:t>2</w:t>
                        </w:r>
                      </w:p>
                    </w:txbxContent>
                  </v:textbox>
                </v:shape>
              </v:group>
            </w:pict>
          </mc:Fallback>
        </mc:AlternateContent>
      </w:r>
    </w:p>
    <w:p>
      <w:pPr>
        <w:keepNext/>
        <w:widowControl/>
        <w:spacing w:line="360" w:lineRule="auto"/>
        <w:ind w:firstLine="480" w:firstLineChars="200"/>
        <w:contextualSpacing/>
        <w:jc w:val="center"/>
        <w:rPr>
          <w:color w:val="FF0000"/>
          <w:kern w:val="0"/>
        </w:rPr>
      </w:pPr>
    </w:p>
    <w:p>
      <w:pPr>
        <w:keepNext/>
        <w:widowControl/>
        <w:spacing w:line="360" w:lineRule="auto"/>
        <w:ind w:firstLine="480" w:firstLineChars="200"/>
        <w:contextualSpacing/>
        <w:jc w:val="center"/>
        <w:rPr>
          <w:color w:val="FF0000"/>
          <w:kern w:val="0"/>
        </w:rPr>
      </w:pPr>
    </w:p>
    <w:p>
      <w:pPr>
        <w:keepNext/>
        <w:widowControl/>
        <w:spacing w:line="360" w:lineRule="auto"/>
        <w:ind w:firstLine="480" w:firstLineChars="200"/>
        <w:contextualSpacing/>
        <w:jc w:val="center"/>
        <w:rPr>
          <w:color w:val="FF0000"/>
          <w:kern w:val="0"/>
        </w:rPr>
      </w:pPr>
    </w:p>
    <w:p>
      <w:pPr>
        <w:keepNext/>
        <w:widowControl/>
        <w:spacing w:line="360" w:lineRule="auto"/>
        <w:ind w:firstLine="480" w:firstLineChars="200"/>
        <w:contextualSpacing/>
        <w:jc w:val="center"/>
        <w:rPr>
          <w:color w:val="FF0000"/>
          <w:kern w:val="0"/>
        </w:rPr>
      </w:pP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18</w:t>
      </w:r>
      <w:r>
        <w:rPr>
          <w:rFonts w:hint="eastAsia" w:ascii="宋体_GB2312" w:hAnsi="宋体_GB2312" w:eastAsia="宋体_GB2312"/>
          <w:sz w:val="24"/>
          <w:szCs w:val="24"/>
        </w:rPr>
        <w:t xml:space="preserve">  回波损耗测试原理图</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测试时，按图</w:t>
      </w:r>
      <w:r>
        <w:rPr>
          <w:rFonts w:ascii="宋体_GB2312" w:hAnsi="宋体_GB2312" w:eastAsia="宋体_GB2312"/>
        </w:rPr>
        <w:t>18</w:t>
      </w:r>
      <w:r>
        <w:rPr>
          <w:rFonts w:hint="eastAsia" w:ascii="宋体_GB2312" w:hAnsi="宋体_GB2312" w:eastAsia="宋体_GB2312"/>
        </w:rPr>
        <w:t>所示接上被测跳纤，如果仪表需要消除</w:t>
      </w:r>
      <w:r>
        <w:rPr>
          <w:rFonts w:ascii="宋体_GB2312" w:hAnsi="宋体_GB2312" w:eastAsia="宋体_GB2312"/>
        </w:rPr>
        <w:t>R</w:t>
      </w:r>
      <w:r>
        <w:rPr>
          <w:rFonts w:ascii="宋体_GB2312" w:hAnsi="宋体_GB2312" w:eastAsia="宋体_GB2312"/>
          <w:vertAlign w:val="subscript"/>
        </w:rPr>
        <w:t>2</w:t>
      </w:r>
      <w:r>
        <w:rPr>
          <w:rFonts w:hint="eastAsia" w:ascii="宋体_GB2312" w:hAnsi="宋体_GB2312" w:eastAsia="宋体_GB2312"/>
        </w:rPr>
        <w:t>端反射影响，应在被测跳纤暴露端</w:t>
      </w:r>
      <w:r>
        <w:rPr>
          <w:rFonts w:ascii="宋体_GB2312" w:hAnsi="宋体_GB2312" w:eastAsia="宋体_GB2312"/>
        </w:rPr>
        <w:t>R</w:t>
      </w:r>
      <w:r>
        <w:rPr>
          <w:rFonts w:ascii="宋体_GB2312" w:hAnsi="宋体_GB2312" w:eastAsia="宋体_GB2312"/>
          <w:vertAlign w:val="subscript"/>
        </w:rPr>
        <w:t>2</w:t>
      </w:r>
      <w:r>
        <w:rPr>
          <w:rFonts w:hint="eastAsia" w:ascii="宋体_GB2312" w:hAnsi="宋体_GB2312" w:eastAsia="宋体_GB2312"/>
        </w:rPr>
        <w:t>涂上适量的反向匹配液或在直径为</w:t>
      </w:r>
      <w:r>
        <w:rPr>
          <w:rFonts w:ascii="宋体_GB2312" w:hAnsi="宋体_GB2312" w:eastAsia="宋体_GB2312"/>
        </w:rPr>
        <w:t>7mm左右的圆柱体上缠绕足够圈数，此时仪表所示值即为被测跳纤R</w:t>
      </w:r>
      <w:r>
        <w:rPr>
          <w:rFonts w:ascii="宋体_GB2312" w:hAnsi="宋体_GB2312" w:eastAsia="宋体_GB2312"/>
          <w:vertAlign w:val="subscript"/>
        </w:rPr>
        <w:t>1</w:t>
      </w:r>
      <w:r>
        <w:rPr>
          <w:rFonts w:hint="eastAsia" w:ascii="宋体_GB2312" w:hAnsi="宋体_GB2312" w:eastAsia="宋体_GB2312"/>
        </w:rPr>
        <w:t>端对应的回波损耗值；同理，将被测跳纤调换方向，则可测出另一端对应的回波损耗值。</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2）基准法按GB/T 12507.1</w:t>
      </w:r>
      <w:r>
        <w:rPr>
          <w:rFonts w:ascii="宋体_GB2312" w:hAnsi="宋体_GB2312" w:eastAsia="宋体_GB2312"/>
        </w:rPr>
        <w:t>-2000</w:t>
      </w:r>
      <w:r>
        <w:rPr>
          <w:rFonts w:hint="eastAsia" w:ascii="宋体_GB2312" w:hAnsi="宋体_GB2312" w:eastAsia="宋体_GB2312"/>
        </w:rPr>
        <w:t>《</w:t>
      </w:r>
      <w:r>
        <w:rPr>
          <w:rFonts w:hint="eastAsia" w:ascii="宋体_GB2312" w:hAnsi="宋体_GB2312" w:eastAsia="宋体_GB2312"/>
          <w:color w:val="000000"/>
          <w:shd w:val="clear" w:color="auto" w:fill="auto"/>
        </w:rPr>
        <w:t>光纤光缆连接器</w:t>
      </w:r>
      <w:r>
        <w:rPr>
          <w:rFonts w:ascii="宋体_GB2312" w:hAnsi="宋体_GB2312" w:eastAsia="宋体_GB2312"/>
          <w:color w:val="000000"/>
          <w:shd w:val="clear" w:color="auto" w:fill="auto"/>
        </w:rPr>
        <w:t xml:space="preserve"> </w:t>
      </w:r>
      <w:r>
        <w:rPr>
          <w:rFonts w:hint="eastAsia" w:ascii="宋体_GB2312" w:hAnsi="宋体_GB2312" w:eastAsia="宋体_GB2312"/>
          <w:color w:val="000000"/>
          <w:shd w:val="clear" w:color="auto" w:fill="auto"/>
        </w:rPr>
        <w:t>第</w:t>
      </w:r>
      <w:r>
        <w:rPr>
          <w:rFonts w:ascii="宋体_GB2312" w:hAnsi="宋体_GB2312" w:eastAsia="宋体_GB2312"/>
          <w:color w:val="000000"/>
          <w:shd w:val="clear" w:color="auto" w:fill="auto"/>
        </w:rPr>
        <w:t>1</w:t>
      </w:r>
      <w:r>
        <w:rPr>
          <w:rFonts w:hint="eastAsia" w:ascii="宋体_GB2312" w:hAnsi="宋体_GB2312" w:eastAsia="宋体_GB2312"/>
          <w:color w:val="000000"/>
          <w:shd w:val="clear" w:color="auto" w:fill="auto"/>
        </w:rPr>
        <w:t>部分：总规范</w:t>
      </w:r>
      <w:r>
        <w:rPr>
          <w:rFonts w:hint="eastAsia" w:ascii="宋体_GB2312" w:hAnsi="宋体_GB2312" w:eastAsia="宋体_GB2312"/>
        </w:rPr>
        <w:t>》</w:t>
      </w:r>
      <w:r>
        <w:rPr>
          <w:rFonts w:hint="eastAsia" w:ascii="宋体_GB2312" w:hAnsi="宋体_GB2312" w:eastAsia="宋体_GB2312"/>
          <w:szCs w:val="24"/>
        </w:rPr>
        <w:t>中</w:t>
      </w:r>
      <w:r>
        <w:rPr>
          <w:rFonts w:ascii="宋体_GB2312" w:hAnsi="宋体_GB2312" w:eastAsia="宋体_GB2312"/>
          <w:szCs w:val="24"/>
        </w:rPr>
        <w:t>2.7.4</w:t>
      </w:r>
      <w:r>
        <w:rPr>
          <w:rFonts w:hint="eastAsia" w:ascii="宋体_GB2312" w:hAnsi="宋体_GB2312" w:eastAsia="宋体_GB2312"/>
          <w:szCs w:val="24"/>
        </w:rPr>
        <w:t>进行。</w:t>
      </w:r>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.2.4.3</w:t>
      </w:r>
      <w:r>
        <w:rPr>
          <w:rFonts w:hint="eastAsia" w:ascii="宋体_GB2312" w:hAnsi="宋体_GB2312" w:eastAsia="宋体_GB2312"/>
          <w:sz w:val="24"/>
        </w:rPr>
        <w:t>光纤连接器端面几何尺寸测试</w:t>
      </w:r>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.2.4.3.1</w:t>
      </w:r>
      <w:r>
        <w:rPr>
          <w:rFonts w:hint="eastAsia" w:ascii="宋体_GB2312" w:hAnsi="宋体_GB2312" w:eastAsia="宋体_GB2312"/>
          <w:sz w:val="24"/>
        </w:rPr>
        <w:t>基准法</w:t>
      </w:r>
    </w:p>
    <w:p>
      <w:pPr>
        <w:spacing w:before="163" w:beforeLines="50" w:line="300" w:lineRule="auto"/>
        <w:ind w:firstLine="480" w:firstLineChars="200"/>
        <w:rPr>
          <w:rFonts w:hint="eastAsia" w:ascii="宋体_GB2312" w:hAnsi="宋体_GB2312" w:eastAsia="宋体_GB2312"/>
          <w:szCs w:val="24"/>
        </w:rPr>
      </w:pPr>
      <w:r>
        <w:rPr>
          <w:rFonts w:hint="eastAsia" w:ascii="宋体_GB2312" w:hAnsi="宋体_GB2312" w:eastAsia="宋体_GB2312"/>
        </w:rPr>
        <w:t>（1）</w:t>
      </w:r>
      <w:r>
        <w:rPr>
          <w:rFonts w:hint="eastAsia" w:ascii="宋体_GB2312" w:hAnsi="宋体_GB2312" w:eastAsia="宋体_GB2312"/>
          <w:szCs w:val="24"/>
        </w:rPr>
        <w:t>曲率半径应按IEC 61300-3-47中规定的方法进行测试。</w:t>
      </w:r>
    </w:p>
    <w:p>
      <w:pPr>
        <w:spacing w:before="163" w:beforeLines="50" w:line="300" w:lineRule="auto"/>
        <w:ind w:firstLine="480" w:firstLineChars="200"/>
        <w:rPr>
          <w:rFonts w:hint="eastAsia" w:ascii="宋体_GB2312" w:hAnsi="宋体_GB2312" w:eastAsia="宋体_GB2312"/>
          <w:szCs w:val="24"/>
        </w:rPr>
      </w:pPr>
      <w:r>
        <w:rPr>
          <w:rFonts w:hint="eastAsia" w:ascii="宋体_GB2312" w:hAnsi="宋体_GB2312" w:eastAsia="宋体_GB2312"/>
          <w:szCs w:val="24"/>
        </w:rPr>
        <w:t>（2）顶点偏移应按IEC 61300-3-47中规定的方法进行测试。</w:t>
      </w:r>
    </w:p>
    <w:p>
      <w:pPr>
        <w:spacing w:before="163" w:beforeLines="50" w:line="300" w:lineRule="auto"/>
        <w:ind w:firstLine="480" w:firstLineChars="200"/>
        <w:rPr>
          <w:rFonts w:hint="eastAsia" w:ascii="宋体_GB2312" w:hAnsi="宋体_GB2312" w:eastAsia="宋体_GB2312"/>
          <w:szCs w:val="24"/>
        </w:rPr>
      </w:pPr>
      <w:r>
        <w:rPr>
          <w:rFonts w:hint="eastAsia" w:ascii="宋体_GB2312" w:hAnsi="宋体_GB2312" w:eastAsia="宋体_GB2312"/>
          <w:szCs w:val="24"/>
        </w:rPr>
        <w:t>（3）光纤凹陷（或突出）应按IEC 61300-3-47中规定的方法进行测试。</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szCs w:val="24"/>
        </w:rPr>
        <w:t>（4）APC型插针的APC角度应按IEC 61300-3-47中规定的方法进行测试</w:t>
      </w:r>
      <w:r>
        <w:rPr>
          <w:rFonts w:hint="eastAsia" w:ascii="宋体_GB2312" w:hAnsi="宋体_GB2312" w:eastAsia="宋体_GB2312"/>
        </w:rPr>
        <w:t>。</w:t>
      </w:r>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.2.4.3.2</w:t>
      </w:r>
      <w:r>
        <w:rPr>
          <w:rFonts w:hint="eastAsia" w:ascii="宋体_GB2312" w:hAnsi="宋体_GB2312" w:eastAsia="宋体_GB2312"/>
          <w:sz w:val="24"/>
          <w:szCs w:val="24"/>
        </w:rPr>
        <w:t>替代法</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可采用端面干涉仪直接测量出光纤连接器端面的曲率半径、顶点偏移、光纤凹陷/突出。</w:t>
      </w:r>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.2.5</w:t>
      </w:r>
      <w:r>
        <w:rPr>
          <w:rFonts w:hint="eastAsia" w:ascii="宋体_GB2312" w:hAnsi="宋体_GB2312" w:eastAsia="宋体_GB2312"/>
          <w:sz w:val="24"/>
        </w:rPr>
        <w:t>互换性</w:t>
      </w:r>
      <w:r>
        <w:rPr>
          <w:rFonts w:hint="eastAsia" w:ascii="宋体_GB2312" w:hAnsi="宋体_GB2312" w:eastAsia="宋体_GB2312"/>
          <w:sz w:val="24"/>
          <w:szCs w:val="24"/>
        </w:rPr>
        <w:t>试验</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随机抽取</w:t>
      </w:r>
      <w:r>
        <w:rPr>
          <w:rFonts w:ascii="宋体_GB2312" w:hAnsi="宋体_GB2312" w:eastAsia="宋体_GB2312"/>
        </w:rPr>
        <w:t>5套光纤连接器（含适配器和跳纤）为一组进行互换试验。在5套连接器中任意抽取一套作为公共参考适配器和跳纤，按图17</w:t>
      </w:r>
      <w:r>
        <w:rPr>
          <w:rFonts w:hint="eastAsia" w:ascii="宋体_GB2312" w:hAnsi="宋体_GB2312" w:eastAsia="宋体_GB2312"/>
        </w:rPr>
        <w:t>和图1</w:t>
      </w:r>
      <w:r>
        <w:rPr>
          <w:rFonts w:ascii="宋体_GB2312" w:hAnsi="宋体_GB2312" w:eastAsia="宋体_GB2312"/>
        </w:rPr>
        <w:t>8</w:t>
      </w:r>
      <w:r>
        <w:rPr>
          <w:rFonts w:hint="eastAsia" w:ascii="宋体_GB2312" w:hAnsi="宋体_GB2312" w:eastAsia="宋体_GB2312"/>
        </w:rPr>
        <w:t>连接，测试其光学性能，用余下</w:t>
      </w:r>
      <w:r>
        <w:rPr>
          <w:rFonts w:ascii="宋体_GB2312" w:hAnsi="宋体_GB2312" w:eastAsia="宋体_GB2312"/>
        </w:rPr>
        <w:t>4根跳纤分别替换公共跳纤，进行光学性能测试，测试过程允许清洗插针和套筒。试验后试样光学性能符合表3</w:t>
      </w:r>
      <w:r>
        <w:rPr>
          <w:rFonts w:hint="eastAsia" w:ascii="宋体_GB2312" w:hAnsi="宋体_GB2312" w:eastAsia="宋体_GB2312"/>
        </w:rPr>
        <w:t>中的要求。</w:t>
      </w:r>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.2.6</w:t>
      </w:r>
      <w:r>
        <w:rPr>
          <w:rFonts w:hint="eastAsia" w:ascii="宋体_GB2312" w:hAnsi="宋体_GB2312" w:eastAsia="宋体_GB2312"/>
          <w:sz w:val="24"/>
          <w:szCs w:val="24"/>
        </w:rPr>
        <w:t>机械耐久性试验</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在对方插头插入的情况下，以通常使用的方法插入和拔出，共插拔1</w:t>
      </w:r>
      <w:r>
        <w:rPr>
          <w:rFonts w:ascii="宋体_GB2312" w:hAnsi="宋体_GB2312" w:eastAsia="宋体_GB2312"/>
        </w:rPr>
        <w:t>0</w:t>
      </w:r>
      <w:r>
        <w:rPr>
          <w:rFonts w:hint="eastAsia" w:ascii="宋体_GB2312" w:hAnsi="宋体_GB2312" w:eastAsia="宋体_GB2312"/>
        </w:rPr>
        <w:t>00次，最后50次时每10次记录一次光学性能数据，同时对插针体及适配器的弹性套筒进行清洁，记录5次数据。取5次数据的平均值。试验后试样应满足下面要求：</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（1）不得有机械损伤，插针表面无明显划痕</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（2）光学性能符合表</w:t>
      </w:r>
      <w:r>
        <w:rPr>
          <w:rFonts w:ascii="宋体_GB2312" w:hAnsi="宋体_GB2312" w:eastAsia="宋体_GB2312"/>
        </w:rPr>
        <w:t>3</w:t>
      </w:r>
      <w:r>
        <w:rPr>
          <w:rFonts w:hint="eastAsia" w:ascii="宋体_GB2312" w:hAnsi="宋体_GB2312" w:eastAsia="宋体_GB2312"/>
        </w:rPr>
        <w:t>中的要求。</w:t>
      </w:r>
    </w:p>
    <w:p>
      <w:pPr>
        <w:pStyle w:val="62"/>
        <w:spacing w:line="560" w:lineRule="exact"/>
        <w:rPr>
          <w:rFonts w:ascii="宋体_GB2312" w:hAnsi="宋体_GB2312" w:eastAsia="宋体_GB2312"/>
          <w:sz w:val="24"/>
        </w:rPr>
      </w:pPr>
      <w:r>
        <w:rPr>
          <w:rFonts w:ascii="宋体_GB2312" w:hAnsi="宋体_GB2312" w:eastAsia="宋体_GB2312"/>
          <w:sz w:val="24"/>
        </w:rPr>
        <w:t>5.2.7</w:t>
      </w:r>
      <w:r>
        <w:rPr>
          <w:rFonts w:hint="eastAsia" w:ascii="宋体_GB2312" w:hAnsi="宋体_GB2312" w:eastAsia="宋体_GB2312"/>
          <w:sz w:val="24"/>
        </w:rPr>
        <w:t>抗拉</w:t>
      </w:r>
      <w:r>
        <w:rPr>
          <w:rFonts w:hint="eastAsia" w:ascii="宋体_GB2312" w:hAnsi="宋体_GB2312" w:eastAsia="宋体_GB2312"/>
          <w:sz w:val="24"/>
          <w:szCs w:val="24"/>
        </w:rPr>
        <w:t>试验</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w:t>
      </w:r>
      <w:r>
        <w:rPr>
          <w:rFonts w:ascii="宋体_GB2312" w:hAnsi="宋体_GB2312" w:eastAsia="宋体_GB2312"/>
        </w:rPr>
        <w:t>1</w:t>
      </w:r>
      <w:r>
        <w:rPr>
          <w:rFonts w:hint="eastAsia" w:ascii="宋体_GB2312" w:hAnsi="宋体_GB2312" w:eastAsia="宋体_GB2312"/>
        </w:rPr>
        <w:t>）LC型光纤连接器按</w:t>
      </w:r>
      <w:r>
        <w:rPr>
          <w:rFonts w:hint="eastAsia" w:ascii="宋体_GB2312" w:hAnsi="宋体_GB2312" w:eastAsia="宋体_GB2312"/>
        </w:rPr>
        <w:fldChar w:fldCharType="begin"/>
      </w:r>
      <w:r>
        <w:rPr>
          <w:rFonts w:hint="eastAsia" w:ascii="宋体_GB2312" w:hAnsi="宋体_GB2312" w:eastAsia="宋体_GB2312"/>
        </w:rPr>
        <w:instrText xml:space="preserve"> HYPERLINK "http://www.ccsa.org.cn/tech_doc/show.php3?source=yd&amp;id=1480" </w:instrText>
      </w:r>
      <w:r>
        <w:rPr>
          <w:rFonts w:hint="eastAsia" w:ascii="宋体_GB2312" w:hAnsi="宋体_GB2312" w:eastAsia="宋体_GB2312"/>
        </w:rPr>
        <w:fldChar w:fldCharType="separate"/>
      </w:r>
      <w:r>
        <w:rPr>
          <w:rFonts w:ascii="宋体_GB2312" w:hAnsi="宋体_GB2312" w:eastAsia="宋体_GB2312"/>
        </w:rPr>
        <w:t>YD/T 1272.1</w:t>
      </w:r>
      <w:r>
        <w:rPr>
          <w:rFonts w:hint="eastAsia" w:ascii="宋体_GB2312" w:hAnsi="宋体_GB2312" w:eastAsia="宋体_GB2312"/>
        </w:rPr>
        <w:fldChar w:fldCharType="end"/>
      </w:r>
      <w:r>
        <w:rPr>
          <w:rFonts w:hint="eastAsia" w:ascii="宋体_GB2312" w:hAnsi="宋体_GB2312" w:eastAsia="宋体_GB2312"/>
        </w:rPr>
        <w:t>-20</w:t>
      </w:r>
      <w:r>
        <w:rPr>
          <w:rFonts w:ascii="宋体_GB2312" w:hAnsi="宋体_GB2312" w:eastAsia="宋体_GB2312"/>
        </w:rPr>
        <w:t>18</w:t>
      </w:r>
      <w:r>
        <w:rPr>
          <w:rFonts w:hint="eastAsia" w:ascii="宋体_GB2312" w:hAnsi="宋体_GB2312" w:eastAsia="宋体_GB2312"/>
        </w:rPr>
        <w:t>《</w:t>
      </w:r>
      <w:r>
        <w:rPr>
          <w:rFonts w:hint="eastAsia" w:ascii="宋体_GB2312" w:hAnsi="宋体_GB2312" w:eastAsia="宋体_GB2312"/>
          <w:szCs w:val="24"/>
        </w:rPr>
        <w:t>光纤活动连接器</w:t>
      </w:r>
      <w:r>
        <w:rPr>
          <w:rFonts w:ascii="宋体_GB2312" w:hAnsi="宋体_GB2312" w:eastAsia="宋体_GB2312"/>
          <w:szCs w:val="24"/>
        </w:rPr>
        <w:t xml:space="preserve"> </w:t>
      </w:r>
      <w:r>
        <w:rPr>
          <w:rFonts w:hint="eastAsia" w:ascii="宋体_GB2312" w:hAnsi="宋体_GB2312" w:eastAsia="宋体_GB2312"/>
          <w:szCs w:val="24"/>
        </w:rPr>
        <w:t>第</w:t>
      </w:r>
      <w:r>
        <w:rPr>
          <w:rFonts w:ascii="宋体_GB2312" w:hAnsi="宋体_GB2312" w:eastAsia="宋体_GB2312"/>
          <w:szCs w:val="24"/>
        </w:rPr>
        <w:t>1</w:t>
      </w:r>
      <w:r>
        <w:rPr>
          <w:rFonts w:hint="eastAsia" w:ascii="宋体_GB2312" w:hAnsi="宋体_GB2312" w:eastAsia="宋体_GB2312"/>
          <w:szCs w:val="24"/>
        </w:rPr>
        <w:t>部分：</w:t>
      </w:r>
      <w:r>
        <w:rPr>
          <w:rFonts w:ascii="宋体_GB2312" w:hAnsi="宋体_GB2312" w:eastAsia="宋体_GB2312"/>
          <w:szCs w:val="24"/>
        </w:rPr>
        <w:t>LC</w:t>
      </w:r>
      <w:r>
        <w:rPr>
          <w:rFonts w:hint="eastAsia" w:ascii="宋体_GB2312" w:hAnsi="宋体_GB2312" w:eastAsia="宋体_GB2312"/>
          <w:szCs w:val="24"/>
        </w:rPr>
        <w:t>型</w:t>
      </w:r>
      <w:r>
        <w:rPr>
          <w:rFonts w:hint="eastAsia" w:ascii="宋体_GB2312" w:hAnsi="宋体_GB2312" w:eastAsia="宋体_GB2312"/>
        </w:rPr>
        <w:t>》中6.</w:t>
      </w:r>
      <w:r>
        <w:rPr>
          <w:rFonts w:ascii="宋体_GB2312" w:hAnsi="宋体_GB2312" w:eastAsia="宋体_GB2312"/>
        </w:rPr>
        <w:t>7.9</w:t>
      </w:r>
      <w:r>
        <w:rPr>
          <w:rFonts w:hint="eastAsia" w:ascii="宋体_GB2312" w:hAnsi="宋体_GB2312" w:eastAsia="宋体_GB2312"/>
        </w:rPr>
        <w:t>条规定要求进行。</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w:t>
      </w:r>
      <w:r>
        <w:rPr>
          <w:rFonts w:ascii="宋体_GB2312" w:hAnsi="宋体_GB2312" w:eastAsia="宋体_GB2312"/>
        </w:rPr>
        <w:t>2</w:t>
      </w:r>
      <w:r>
        <w:rPr>
          <w:rFonts w:hint="eastAsia" w:ascii="宋体_GB2312" w:hAnsi="宋体_GB2312" w:eastAsia="宋体_GB2312"/>
        </w:rPr>
        <w:t>）SC型光纤连接器按YD/T 1272.3-20</w:t>
      </w:r>
      <w:r>
        <w:rPr>
          <w:rFonts w:ascii="宋体_GB2312" w:hAnsi="宋体_GB2312" w:eastAsia="宋体_GB2312"/>
        </w:rPr>
        <w:t>1</w:t>
      </w:r>
      <w:r>
        <w:rPr>
          <w:rFonts w:hint="eastAsia" w:ascii="宋体_GB2312" w:hAnsi="宋体_GB2312" w:eastAsia="宋体_GB2312"/>
        </w:rPr>
        <w:t>5《</w:t>
      </w:r>
      <w:r>
        <w:rPr>
          <w:rFonts w:hint="eastAsia" w:ascii="宋体_GB2312" w:hAnsi="宋体_GB2312" w:eastAsia="宋体_GB2312"/>
          <w:szCs w:val="24"/>
        </w:rPr>
        <w:t>光纤活动连接器</w:t>
      </w:r>
      <w:r>
        <w:rPr>
          <w:rFonts w:ascii="宋体_GB2312" w:hAnsi="宋体_GB2312" w:eastAsia="宋体_GB2312"/>
          <w:szCs w:val="24"/>
        </w:rPr>
        <w:t xml:space="preserve"> </w:t>
      </w:r>
      <w:r>
        <w:rPr>
          <w:rFonts w:hint="eastAsia" w:ascii="宋体_GB2312" w:hAnsi="宋体_GB2312" w:eastAsia="宋体_GB2312"/>
          <w:szCs w:val="24"/>
        </w:rPr>
        <w:t>第</w:t>
      </w:r>
      <w:r>
        <w:rPr>
          <w:rFonts w:ascii="宋体_GB2312" w:hAnsi="宋体_GB2312" w:eastAsia="宋体_GB2312"/>
          <w:szCs w:val="24"/>
        </w:rPr>
        <w:t>3</w:t>
      </w:r>
      <w:r>
        <w:rPr>
          <w:rFonts w:hint="eastAsia" w:ascii="宋体_GB2312" w:hAnsi="宋体_GB2312" w:eastAsia="宋体_GB2312"/>
          <w:szCs w:val="24"/>
        </w:rPr>
        <w:t>部分：</w:t>
      </w:r>
      <w:r>
        <w:rPr>
          <w:rFonts w:ascii="宋体_GB2312" w:hAnsi="宋体_GB2312" w:eastAsia="宋体_GB2312"/>
          <w:szCs w:val="24"/>
        </w:rPr>
        <w:t>SC</w:t>
      </w:r>
      <w:r>
        <w:rPr>
          <w:rFonts w:hint="eastAsia" w:ascii="宋体_GB2312" w:hAnsi="宋体_GB2312" w:eastAsia="宋体_GB2312"/>
          <w:szCs w:val="24"/>
        </w:rPr>
        <w:t>型</w:t>
      </w:r>
      <w:r>
        <w:rPr>
          <w:rFonts w:hint="eastAsia" w:ascii="宋体_GB2312" w:hAnsi="宋体_GB2312" w:eastAsia="宋体_GB2312"/>
        </w:rPr>
        <w:t>》 中6.</w:t>
      </w:r>
      <w:r>
        <w:rPr>
          <w:rFonts w:ascii="宋体_GB2312" w:hAnsi="宋体_GB2312" w:eastAsia="宋体_GB2312"/>
        </w:rPr>
        <w:t>7.9</w:t>
      </w:r>
      <w:r>
        <w:rPr>
          <w:rFonts w:hint="eastAsia" w:ascii="宋体_GB2312" w:hAnsi="宋体_GB2312" w:eastAsia="宋体_GB2312"/>
        </w:rPr>
        <w:t>条规定要求进行。</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（3）</w:t>
      </w:r>
      <w:r>
        <w:rPr>
          <w:rFonts w:ascii="宋体_GB2312" w:hAnsi="宋体_GB2312" w:eastAsia="宋体_GB2312"/>
          <w:szCs w:val="24"/>
        </w:rPr>
        <w:t xml:space="preserve">FC型光纤连接器按YD/T </w:t>
      </w:r>
      <w:r>
        <w:rPr>
          <w:rFonts w:hint="eastAsia" w:ascii="宋体_GB2312" w:hAnsi="宋体_GB2312" w:eastAsia="宋体_GB2312"/>
        </w:rPr>
        <w:t>1272.</w:t>
      </w:r>
      <w:r>
        <w:rPr>
          <w:rFonts w:ascii="宋体_GB2312" w:hAnsi="宋体_GB2312" w:eastAsia="宋体_GB2312"/>
        </w:rPr>
        <w:t>4</w:t>
      </w:r>
      <w:r>
        <w:rPr>
          <w:rFonts w:hint="eastAsia" w:ascii="宋体_GB2312" w:hAnsi="宋体_GB2312" w:eastAsia="宋体_GB2312"/>
        </w:rPr>
        <w:t>-</w:t>
      </w:r>
      <w:r>
        <w:rPr>
          <w:rFonts w:ascii="宋体_GB2312" w:hAnsi="宋体_GB2312" w:eastAsia="宋体_GB2312"/>
        </w:rPr>
        <w:t>2018</w:t>
      </w:r>
      <w:r>
        <w:rPr>
          <w:rFonts w:hint="eastAsia" w:ascii="宋体_GB2312" w:hAnsi="宋体_GB2312" w:eastAsia="宋体_GB2312"/>
        </w:rPr>
        <w:t>《</w:t>
      </w:r>
      <w:r>
        <w:rPr>
          <w:rFonts w:hint="eastAsia" w:ascii="宋体_GB2312" w:hAnsi="宋体_GB2312" w:eastAsia="宋体_GB2312"/>
          <w:szCs w:val="24"/>
        </w:rPr>
        <w:t>光纤活动连接器</w:t>
      </w:r>
      <w:r>
        <w:rPr>
          <w:rFonts w:ascii="宋体_GB2312" w:hAnsi="宋体_GB2312" w:eastAsia="宋体_GB2312"/>
          <w:szCs w:val="24"/>
        </w:rPr>
        <w:t xml:space="preserve"> </w:t>
      </w:r>
      <w:r>
        <w:rPr>
          <w:rFonts w:hint="eastAsia" w:ascii="宋体_GB2312" w:hAnsi="宋体_GB2312" w:eastAsia="宋体_GB2312"/>
          <w:szCs w:val="24"/>
        </w:rPr>
        <w:t>第</w:t>
      </w:r>
      <w:r>
        <w:rPr>
          <w:rFonts w:ascii="宋体_GB2312" w:hAnsi="宋体_GB2312" w:eastAsia="宋体_GB2312"/>
          <w:szCs w:val="24"/>
        </w:rPr>
        <w:t>4</w:t>
      </w:r>
      <w:r>
        <w:rPr>
          <w:rFonts w:hint="eastAsia" w:ascii="宋体_GB2312" w:hAnsi="宋体_GB2312" w:eastAsia="宋体_GB2312"/>
          <w:szCs w:val="24"/>
        </w:rPr>
        <w:t>部分：</w:t>
      </w:r>
      <w:r>
        <w:rPr>
          <w:rFonts w:ascii="宋体_GB2312" w:hAnsi="宋体_GB2312" w:eastAsia="宋体_GB2312"/>
          <w:szCs w:val="24"/>
        </w:rPr>
        <w:t>FC</w:t>
      </w:r>
      <w:r>
        <w:rPr>
          <w:rFonts w:hint="eastAsia" w:ascii="宋体_GB2312" w:hAnsi="宋体_GB2312" w:eastAsia="宋体_GB2312"/>
          <w:szCs w:val="24"/>
        </w:rPr>
        <w:t>型</w:t>
      </w:r>
      <w:r>
        <w:rPr>
          <w:rFonts w:hint="eastAsia" w:ascii="宋体_GB2312" w:hAnsi="宋体_GB2312" w:eastAsia="宋体_GB2312"/>
        </w:rPr>
        <w:t>》</w:t>
      </w:r>
      <w:r>
        <w:rPr>
          <w:rFonts w:hint="eastAsia" w:ascii="宋体_GB2312" w:hAnsi="宋体_GB2312" w:eastAsia="宋体_GB2312"/>
          <w:szCs w:val="24"/>
        </w:rPr>
        <w:t>中</w:t>
      </w:r>
      <w:r>
        <w:rPr>
          <w:rFonts w:hint="eastAsia" w:ascii="宋体_GB2312" w:hAnsi="宋体_GB2312" w:eastAsia="宋体_GB2312"/>
        </w:rPr>
        <w:t>6.</w:t>
      </w:r>
      <w:r>
        <w:rPr>
          <w:rFonts w:ascii="宋体_GB2312" w:hAnsi="宋体_GB2312" w:eastAsia="宋体_GB2312"/>
        </w:rPr>
        <w:t>7.9</w:t>
      </w:r>
      <w:r>
        <w:rPr>
          <w:rFonts w:hint="eastAsia" w:ascii="宋体_GB2312" w:hAnsi="宋体_GB2312" w:eastAsia="宋体_GB2312"/>
        </w:rPr>
        <w:t>条</w:t>
      </w:r>
      <w:r>
        <w:rPr>
          <w:rFonts w:hint="eastAsia" w:ascii="宋体_GB2312" w:hAnsi="宋体_GB2312" w:eastAsia="宋体_GB2312"/>
          <w:szCs w:val="24"/>
        </w:rPr>
        <w:t>规定要求进行</w:t>
      </w:r>
      <w:r>
        <w:rPr>
          <w:rFonts w:hint="eastAsia" w:ascii="宋体_GB2312" w:hAnsi="宋体_GB2312" w:eastAsia="宋体_GB2312"/>
        </w:rPr>
        <w:t>。</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试验后试样应满足下面要求：</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（1）</w:t>
      </w:r>
      <w:r>
        <w:rPr>
          <w:rFonts w:hint="eastAsia" w:ascii="宋体_GB2312" w:hAnsi="宋体_GB2312" w:eastAsia="宋体_GB2312"/>
          <w:szCs w:val="24"/>
        </w:rPr>
        <w:t>不得有机械损伤，如变形、脱落、松驰等现象。</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（2）</w:t>
      </w:r>
      <w:r>
        <w:rPr>
          <w:rFonts w:hint="eastAsia" w:ascii="宋体_GB2312" w:hAnsi="宋体_GB2312" w:eastAsia="宋体_GB2312"/>
          <w:szCs w:val="24"/>
        </w:rPr>
        <w:t>光学性能符合表</w:t>
      </w:r>
      <w:r>
        <w:rPr>
          <w:rFonts w:ascii="宋体_GB2312" w:hAnsi="宋体_GB2312" w:eastAsia="宋体_GB2312"/>
        </w:rPr>
        <w:t>3</w:t>
      </w:r>
      <w:r>
        <w:rPr>
          <w:rFonts w:hint="eastAsia" w:ascii="宋体_GB2312" w:hAnsi="宋体_GB2312" w:eastAsia="宋体_GB2312"/>
          <w:szCs w:val="24"/>
        </w:rPr>
        <w:t>中</w:t>
      </w:r>
      <w:r>
        <w:rPr>
          <w:rFonts w:hint="eastAsia" w:ascii="宋体_GB2312" w:hAnsi="宋体_GB2312" w:eastAsia="宋体_GB2312"/>
        </w:rPr>
        <w:t>的</w:t>
      </w:r>
      <w:r>
        <w:rPr>
          <w:rFonts w:hint="eastAsia" w:ascii="宋体_GB2312" w:hAnsi="宋体_GB2312" w:eastAsia="宋体_GB2312"/>
          <w:szCs w:val="24"/>
        </w:rPr>
        <w:t>要求。</w:t>
      </w:r>
    </w:p>
    <w:p>
      <w:pPr>
        <w:pStyle w:val="62"/>
        <w:spacing w:line="560" w:lineRule="exact"/>
        <w:rPr>
          <w:rFonts w:ascii="宋体_GB2312" w:hAnsi="宋体_GB2312" w:eastAsia="宋体_GB2312"/>
          <w:sz w:val="24"/>
          <w:szCs w:val="24"/>
        </w:rPr>
      </w:pPr>
      <w:bookmarkStart w:id="127" w:name="_Toc402257800"/>
      <w:bookmarkStart w:id="128" w:name="_Toc402258707"/>
      <w:bookmarkStart w:id="129" w:name="_Toc194038099"/>
      <w:r>
        <w:rPr>
          <w:rFonts w:ascii="宋体_GB2312" w:hAnsi="宋体_GB2312" w:eastAsia="宋体_GB2312"/>
          <w:sz w:val="24"/>
        </w:rPr>
        <w:t>5.2.8</w:t>
      </w:r>
      <w:r>
        <w:rPr>
          <w:rFonts w:hint="eastAsia" w:ascii="宋体_GB2312" w:hAnsi="宋体_GB2312" w:eastAsia="宋体_GB2312"/>
          <w:sz w:val="24"/>
          <w:szCs w:val="24"/>
        </w:rPr>
        <w:t>高压防护接地装置试验</w:t>
      </w:r>
      <w:bookmarkEnd w:id="127"/>
      <w:bookmarkEnd w:id="128"/>
      <w:bookmarkEnd w:id="129"/>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.2.8.1</w:t>
      </w:r>
      <w:r>
        <w:rPr>
          <w:rFonts w:hint="eastAsia" w:ascii="宋体_GB2312" w:hAnsi="宋体_GB2312" w:eastAsia="宋体_GB2312"/>
          <w:sz w:val="24"/>
        </w:rPr>
        <w:t>耐电压水平</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按</w:t>
      </w:r>
      <w:r>
        <w:rPr>
          <w:rFonts w:ascii="宋体_GB2312" w:hAnsi="宋体_GB2312" w:eastAsia="宋体_GB2312"/>
        </w:rPr>
        <w:t>GB/T 5095.2-1997中“试验4a：耐电压“的方法C进行。试验电压为直流电压3000V，施加试验电压的速率不大于500V/s，试验电压经受时间为60s±5s，</w:t>
      </w:r>
      <w:r>
        <w:rPr>
          <w:rFonts w:hint="eastAsia" w:ascii="宋体_GB2312" w:hAnsi="宋体_GB2312" w:eastAsia="宋体_GB2312"/>
          <w:szCs w:val="24"/>
        </w:rPr>
        <w:t>试验结果应能符合3.6</w:t>
      </w:r>
      <w:r>
        <w:rPr>
          <w:rFonts w:hint="eastAsia" w:ascii="宋体_GB2312" w:hAnsi="宋体_GB2312" w:eastAsia="宋体_GB2312"/>
        </w:rPr>
        <w:t>（3）</w:t>
      </w:r>
      <w:r>
        <w:rPr>
          <w:rFonts w:hint="eastAsia" w:ascii="宋体_GB2312" w:hAnsi="宋体_GB2312" w:eastAsia="宋体_GB2312"/>
          <w:szCs w:val="24"/>
        </w:rPr>
        <w:t>条</w:t>
      </w:r>
      <w:r>
        <w:rPr>
          <w:rFonts w:hint="eastAsia" w:ascii="宋体_GB2312" w:hAnsi="宋体_GB2312" w:eastAsia="宋体_GB2312"/>
        </w:rPr>
        <w:t>的</w:t>
      </w:r>
      <w:r>
        <w:rPr>
          <w:rFonts w:hint="eastAsia" w:ascii="宋体_GB2312" w:hAnsi="宋体_GB2312" w:eastAsia="宋体_GB2312"/>
          <w:szCs w:val="24"/>
        </w:rPr>
        <w:t>要求。</w:t>
      </w:r>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.2.8.2</w:t>
      </w:r>
      <w:r>
        <w:rPr>
          <w:rFonts w:hint="eastAsia" w:ascii="宋体_GB2312" w:hAnsi="宋体_GB2312" w:eastAsia="宋体_GB2312"/>
          <w:sz w:val="24"/>
        </w:rPr>
        <w:t>绝缘电阻试验</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按</w:t>
      </w:r>
      <w:r>
        <w:rPr>
          <w:rFonts w:ascii="宋体_GB2312" w:hAnsi="宋体_GB2312" w:eastAsia="宋体_GB2312"/>
        </w:rPr>
        <w:t>GB/T 5095.2-1997中“试验3a：绝缘电阻“的方法C进行。测量绝缘电阻的回路施加直流电压为500V±50V，读取稳定的绝缘电阻数值，如果未达到稳定，应在加压后的60s±5s读取数值，</w:t>
      </w:r>
      <w:r>
        <w:rPr>
          <w:rFonts w:hint="eastAsia" w:ascii="宋体_GB2312" w:hAnsi="宋体_GB2312" w:eastAsia="宋体_GB2312"/>
          <w:szCs w:val="24"/>
        </w:rPr>
        <w:t>试验结果应能符合3.6</w:t>
      </w:r>
      <w:r>
        <w:rPr>
          <w:rFonts w:hint="eastAsia" w:ascii="宋体_GB2312" w:hAnsi="宋体_GB2312" w:eastAsia="宋体_GB2312"/>
        </w:rPr>
        <w:t>（4）</w:t>
      </w:r>
      <w:r>
        <w:rPr>
          <w:rFonts w:hint="eastAsia" w:ascii="宋体_GB2312" w:hAnsi="宋体_GB2312" w:eastAsia="宋体_GB2312"/>
          <w:szCs w:val="24"/>
        </w:rPr>
        <w:t>条</w:t>
      </w:r>
      <w:r>
        <w:rPr>
          <w:rFonts w:hint="eastAsia" w:ascii="宋体_GB2312" w:hAnsi="宋体_GB2312" w:eastAsia="宋体_GB2312"/>
        </w:rPr>
        <w:t>的</w:t>
      </w:r>
      <w:r>
        <w:rPr>
          <w:rFonts w:hint="eastAsia" w:ascii="宋体_GB2312" w:hAnsi="宋体_GB2312" w:eastAsia="宋体_GB2312"/>
          <w:szCs w:val="24"/>
        </w:rPr>
        <w:t>要求</w:t>
      </w:r>
      <w:r>
        <w:rPr>
          <w:rFonts w:hint="eastAsia" w:ascii="宋体_GB2312" w:hAnsi="宋体_GB2312" w:eastAsia="宋体_GB2312"/>
        </w:rPr>
        <w:t>。</w:t>
      </w:r>
    </w:p>
    <w:p>
      <w:pPr>
        <w:pStyle w:val="62"/>
        <w:spacing w:line="560" w:lineRule="exact"/>
        <w:rPr>
          <w:rFonts w:ascii="宋体_GB2312" w:hAnsi="宋体_GB2312" w:eastAsia="宋体_GB2312"/>
          <w:sz w:val="24"/>
          <w:szCs w:val="24"/>
        </w:rPr>
      </w:pPr>
      <w:bookmarkStart w:id="130" w:name="_Toc194038100"/>
      <w:r>
        <w:rPr>
          <w:rFonts w:hint="eastAsia" w:ascii="宋体_GB2312" w:hAnsi="宋体_GB2312" w:eastAsia="宋体_GB2312"/>
          <w:sz w:val="24"/>
          <w:szCs w:val="24"/>
        </w:rPr>
        <w:t>5</w:t>
      </w:r>
      <w:r>
        <w:rPr>
          <w:rFonts w:ascii="宋体_GB2312" w:hAnsi="宋体_GB2312" w:eastAsia="宋体_GB2312"/>
          <w:sz w:val="24"/>
          <w:szCs w:val="24"/>
        </w:rPr>
        <w:t>.2.9</w:t>
      </w:r>
      <w:r>
        <w:rPr>
          <w:rFonts w:hint="eastAsia" w:ascii="宋体_GB2312" w:hAnsi="宋体_GB2312" w:eastAsia="宋体_GB2312"/>
          <w:sz w:val="24"/>
          <w:szCs w:val="24"/>
        </w:rPr>
        <w:t>机械物理性能检查</w:t>
      </w:r>
      <w:bookmarkEnd w:id="130"/>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.2.9.1</w:t>
      </w:r>
      <w:r>
        <w:rPr>
          <w:rFonts w:hint="eastAsia" w:ascii="宋体_GB2312" w:hAnsi="宋体_GB2312" w:eastAsia="宋体_GB2312"/>
          <w:sz w:val="24"/>
        </w:rPr>
        <w:t>箱体表面机械</w:t>
      </w:r>
      <w:r>
        <w:rPr>
          <w:rFonts w:hint="eastAsia" w:ascii="宋体_GB2312" w:hAnsi="宋体_GB2312" w:eastAsia="宋体_GB2312"/>
          <w:sz w:val="24"/>
          <w:szCs w:val="24"/>
        </w:rPr>
        <w:t>强度试验</w:t>
      </w:r>
    </w:p>
    <w:p>
      <w:pPr>
        <w:keepNext w:val="0"/>
        <w:spacing w:before="156" w:beforeLines="50" w:line="300" w:lineRule="auto"/>
        <w:ind w:left="0" w:leftChars="0" w:firstLine="480" w:firstLineChars="200"/>
        <w:contextualSpacing w:val="0"/>
        <w:rPr>
          <w:rFonts w:ascii="宋体_GB2312" w:hAnsi="宋体_GB2312" w:eastAsia="宋体_GB2312"/>
          <w:sz w:val="24"/>
          <w:szCs w:val="24"/>
        </w:rPr>
      </w:pPr>
      <w:r>
        <w:rPr>
          <w:rFonts w:hint="eastAsia" w:ascii="宋体_GB2312" w:hAnsi="宋体_GB2312" w:eastAsia="宋体_GB2312"/>
          <w:sz w:val="24"/>
          <w:szCs w:val="24"/>
        </w:rPr>
        <w:t>按</w:t>
      </w:r>
      <w:r>
        <w:rPr>
          <w:rFonts w:ascii="宋体_GB2312" w:hAnsi="宋体_GB2312" w:eastAsia="宋体_GB2312"/>
          <w:sz w:val="24"/>
        </w:rPr>
        <w:t>3.2</w:t>
      </w:r>
      <w:r>
        <w:rPr>
          <w:rFonts w:ascii="宋体_GB2312" w:hAnsi="宋体_GB2312" w:eastAsia="宋体_GB2312"/>
          <w:sz w:val="24"/>
          <w:szCs w:val="24"/>
        </w:rPr>
        <w:t>要求施加载荷，</w:t>
      </w:r>
      <w:r>
        <w:rPr>
          <w:rFonts w:hint="eastAsia" w:ascii="宋体_GB2312" w:hAnsi="宋体_GB2312" w:eastAsia="宋体_GB2312"/>
          <w:sz w:val="24"/>
          <w:szCs w:val="24"/>
        </w:rPr>
        <w:t>保持</w:t>
      </w:r>
      <w:r>
        <w:rPr>
          <w:rFonts w:ascii="宋体_GB2312" w:hAnsi="宋体_GB2312" w:eastAsia="宋体_GB2312"/>
          <w:sz w:val="24"/>
          <w:szCs w:val="24"/>
        </w:rPr>
        <w:t>15min，卸去载荷后，试验结果应符合</w:t>
      </w:r>
      <w:r>
        <w:rPr>
          <w:rFonts w:ascii="宋体_GB2312" w:hAnsi="宋体_GB2312" w:eastAsia="宋体_GB2312"/>
          <w:sz w:val="24"/>
        </w:rPr>
        <w:t>3.2</w:t>
      </w:r>
      <w:r>
        <w:rPr>
          <w:rFonts w:ascii="宋体_GB2312" w:hAnsi="宋体_GB2312" w:eastAsia="宋体_GB2312"/>
          <w:sz w:val="24"/>
          <w:szCs w:val="24"/>
        </w:rPr>
        <w:t>的要求。</w:t>
      </w:r>
    </w:p>
    <w:p>
      <w:pPr>
        <w:pStyle w:val="62"/>
        <w:spacing w:line="560" w:lineRule="exact"/>
        <w:rPr>
          <w:rFonts w:ascii="宋体_GB2312" w:hAnsi="宋体_GB2312" w:eastAsia="宋体_GB2312"/>
          <w:sz w:val="24"/>
          <w:szCs w:val="24"/>
        </w:rPr>
      </w:pPr>
      <w:r>
        <w:rPr>
          <w:rFonts w:hint="eastAsia" w:ascii="宋体_GB2312" w:hAnsi="宋体_GB2312" w:eastAsia="宋体_GB2312"/>
          <w:sz w:val="24"/>
          <w:szCs w:val="24"/>
        </w:rPr>
        <w:t>5</w:t>
      </w:r>
      <w:r>
        <w:rPr>
          <w:rFonts w:ascii="宋体_GB2312" w:hAnsi="宋体_GB2312" w:eastAsia="宋体_GB2312"/>
          <w:sz w:val="24"/>
          <w:szCs w:val="24"/>
        </w:rPr>
        <w:t>.2.9.2</w:t>
      </w:r>
      <w:r>
        <w:rPr>
          <w:rFonts w:hint="eastAsia" w:ascii="宋体_GB2312" w:hAnsi="宋体_GB2312" w:eastAsia="宋体_GB2312"/>
          <w:sz w:val="24"/>
          <w:szCs w:val="24"/>
        </w:rPr>
        <w:t>箱门机械强度试验</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箱门打开后，在门的最外端按</w:t>
      </w:r>
      <w:r>
        <w:rPr>
          <w:rFonts w:hint="eastAsia" w:ascii="宋体_GB2312" w:hAnsi="宋体_GB2312" w:eastAsia="宋体_GB2312"/>
        </w:rPr>
        <w:t>3</w:t>
      </w:r>
      <w:r>
        <w:rPr>
          <w:rFonts w:ascii="宋体_GB2312" w:hAnsi="宋体_GB2312" w:eastAsia="宋体_GB2312"/>
        </w:rPr>
        <w:t>.2</w:t>
      </w:r>
      <w:r>
        <w:rPr>
          <w:rFonts w:ascii="宋体_GB2312" w:hAnsi="宋体_GB2312" w:eastAsia="宋体_GB2312"/>
          <w:szCs w:val="24"/>
        </w:rPr>
        <w:t>要求施加载荷，保持15min，卸去载荷后，试验结果应符合</w:t>
      </w:r>
      <w:r>
        <w:rPr>
          <w:rFonts w:ascii="宋体_GB2312" w:hAnsi="宋体_GB2312" w:eastAsia="宋体_GB2312"/>
        </w:rPr>
        <w:t>3.2</w:t>
      </w:r>
      <w:r>
        <w:rPr>
          <w:rFonts w:ascii="宋体_GB2312" w:hAnsi="宋体_GB2312" w:eastAsia="宋体_GB2312"/>
          <w:szCs w:val="24"/>
        </w:rPr>
        <w:t>的要求。</w:t>
      </w:r>
    </w:p>
    <w:p>
      <w:pPr>
        <w:pStyle w:val="62"/>
        <w:spacing w:line="560" w:lineRule="exact"/>
        <w:rPr>
          <w:rFonts w:ascii="宋体_GB2312" w:hAnsi="宋体_GB2312" w:eastAsia="宋体_GB2312"/>
          <w:sz w:val="24"/>
        </w:rPr>
      </w:pPr>
      <w:r>
        <w:rPr>
          <w:rFonts w:hint="eastAsia" w:ascii="宋体_GB2312" w:hAnsi="宋体_GB2312" w:eastAsia="宋体_GB2312"/>
          <w:sz w:val="24"/>
          <w:szCs w:val="24"/>
        </w:rPr>
        <w:t>5</w:t>
      </w:r>
      <w:r>
        <w:rPr>
          <w:rFonts w:ascii="宋体_GB2312" w:hAnsi="宋体_GB2312" w:eastAsia="宋体_GB2312"/>
          <w:sz w:val="24"/>
          <w:szCs w:val="24"/>
        </w:rPr>
        <w:t>.2.9.3</w:t>
      </w:r>
      <w:r>
        <w:rPr>
          <w:rFonts w:hint="eastAsia" w:ascii="宋体_GB2312" w:hAnsi="宋体_GB2312" w:eastAsia="宋体_GB2312"/>
          <w:sz w:val="24"/>
        </w:rPr>
        <w:t>光缆</w:t>
      </w:r>
      <w:r>
        <w:rPr>
          <w:rFonts w:hint="eastAsia" w:ascii="宋体_GB2312" w:hAnsi="宋体_GB2312" w:eastAsia="宋体_GB2312"/>
          <w:sz w:val="24"/>
          <w:szCs w:val="24"/>
        </w:rPr>
        <w:t>拉伸试验</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准备一根箱体正常工作时使用的光缆</w:t>
      </w:r>
      <w:r>
        <w:rPr>
          <w:rFonts w:ascii="宋体_GB2312" w:hAnsi="宋体_GB2312" w:eastAsia="宋体_GB2312"/>
        </w:rPr>
        <w:t>(长约1m)，将光缆一端按工作状态在设备的光缆固定装置上固定牢固，同时固定好光缆的加强芯，用拉伸夹头将光缆另一端夹持牢固并拉伸，拉伸速度为20mm/min，最大拉力见3.2要求。达到最大拉力后持续2min，卸去拉力，检查光缆固定处，应符合3.2的要求。</w:t>
      </w:r>
    </w:p>
    <w:p>
      <w:pPr>
        <w:pStyle w:val="62"/>
        <w:spacing w:line="560" w:lineRule="exact"/>
        <w:rPr>
          <w:rFonts w:ascii="宋体_GB2312" w:hAnsi="宋体_GB2312" w:eastAsia="宋体_GB2312"/>
          <w:sz w:val="24"/>
        </w:rPr>
      </w:pPr>
      <w:r>
        <w:rPr>
          <w:rFonts w:hint="eastAsia" w:ascii="宋体_GB2312" w:hAnsi="宋体_GB2312" w:eastAsia="宋体_GB2312"/>
          <w:sz w:val="24"/>
          <w:szCs w:val="24"/>
        </w:rPr>
        <w:t>5</w:t>
      </w:r>
      <w:r>
        <w:rPr>
          <w:rFonts w:ascii="宋体_GB2312" w:hAnsi="宋体_GB2312" w:eastAsia="宋体_GB2312"/>
          <w:sz w:val="24"/>
          <w:szCs w:val="24"/>
        </w:rPr>
        <w:t>.2.9.4</w:t>
      </w:r>
      <w:r>
        <w:rPr>
          <w:rFonts w:hint="eastAsia" w:ascii="宋体_GB2312" w:hAnsi="宋体_GB2312" w:eastAsia="宋体_GB2312"/>
          <w:sz w:val="24"/>
        </w:rPr>
        <w:t>光缆扭转试验</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按</w:t>
      </w:r>
      <w:r>
        <w:rPr>
          <w:rFonts w:ascii="宋体_GB2312" w:hAnsi="宋体_GB2312" w:eastAsia="宋体_GB2312"/>
        </w:rPr>
        <w:t>3.2中要求安装试验光缆，并在距离光缆出口50cm处按3.2规定对光缆进行扭转，先扭转90º,在该位置保持1min后回到起始位置，在相反方向重复同样的操作，完成一个循环，共扭转3个循环。试验结束后，检查光缆固定处，应符合3.2的要求。</w:t>
      </w:r>
    </w:p>
    <w:p>
      <w:pPr>
        <w:pStyle w:val="62"/>
        <w:spacing w:line="560" w:lineRule="exact"/>
        <w:rPr>
          <w:rFonts w:ascii="宋体_GB2312" w:hAnsi="宋体_GB2312" w:eastAsia="宋体_GB2312"/>
          <w:sz w:val="24"/>
        </w:rPr>
      </w:pPr>
      <w:r>
        <w:rPr>
          <w:rFonts w:hint="eastAsia" w:ascii="宋体_GB2312" w:hAnsi="宋体_GB2312" w:eastAsia="宋体_GB2312"/>
          <w:sz w:val="24"/>
          <w:szCs w:val="24"/>
        </w:rPr>
        <w:t>5</w:t>
      </w:r>
      <w:r>
        <w:rPr>
          <w:rFonts w:ascii="宋体_GB2312" w:hAnsi="宋体_GB2312" w:eastAsia="宋体_GB2312"/>
          <w:sz w:val="24"/>
          <w:szCs w:val="24"/>
        </w:rPr>
        <w:t>.2.9.5</w:t>
      </w:r>
      <w:r>
        <w:rPr>
          <w:rFonts w:hint="eastAsia" w:ascii="宋体_GB2312" w:hAnsi="宋体_GB2312" w:eastAsia="宋体_GB2312"/>
          <w:sz w:val="24"/>
        </w:rPr>
        <w:t>门限试验</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本试验的试验对象为垂直铰链式门。</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打开门，并启动门限位装置；沿门打开的方向，在门外边缘并垂直于门表面施加如( 用: 推拉力计) 拉力 F，并保持至少1</w:t>
      </w:r>
      <w:r>
        <w:rPr>
          <w:rFonts w:ascii="宋体_GB2312" w:hAnsi="宋体_GB2312" w:eastAsia="宋体_GB2312"/>
        </w:rPr>
        <w:t>0</w:t>
      </w:r>
      <w:r>
        <w:rPr>
          <w:rFonts w:hint="eastAsia" w:ascii="宋体_GB2312" w:hAnsi="宋体_GB2312" w:eastAsia="宋体_GB2312"/>
        </w:rPr>
        <w:t>s；沿门关闭的方向，在门外边缘并垂直于门表面施加拉力 F，并保持至少1</w:t>
      </w:r>
      <w:r>
        <w:rPr>
          <w:rFonts w:ascii="宋体_GB2312" w:hAnsi="宋体_GB2312" w:eastAsia="宋体_GB2312"/>
        </w:rPr>
        <w:t>0</w:t>
      </w:r>
      <w:r>
        <w:rPr>
          <w:rFonts w:hint="eastAsia" w:ascii="宋体_GB2312" w:hAnsi="宋体_GB2312" w:eastAsia="宋体_GB2312"/>
        </w:rPr>
        <w:t>s；试验后，检查箱门及门限位，应符合</w:t>
      </w:r>
      <w:r>
        <w:rPr>
          <w:rFonts w:ascii="宋体_GB2312" w:hAnsi="宋体_GB2312" w:eastAsia="宋体_GB2312"/>
        </w:rPr>
        <w:t>3.2</w:t>
      </w:r>
      <w:r>
        <w:rPr>
          <w:rFonts w:hint="eastAsia" w:ascii="宋体_GB2312" w:hAnsi="宋体_GB2312" w:eastAsia="宋体_GB2312"/>
        </w:rPr>
        <w:t>的要求。</w:t>
      </w:r>
    </w:p>
    <w:p>
      <w:pPr>
        <w:pStyle w:val="62"/>
        <w:spacing w:line="560" w:lineRule="exact"/>
        <w:rPr>
          <w:rFonts w:ascii="宋体_GB2312" w:hAnsi="宋体_GB2312" w:eastAsia="宋体_GB2312"/>
          <w:sz w:val="24"/>
        </w:rPr>
      </w:pPr>
      <w:bookmarkStart w:id="131" w:name="_Toc194038101"/>
      <w:r>
        <w:rPr>
          <w:rFonts w:hint="eastAsia" w:ascii="宋体_GB2312" w:hAnsi="宋体_GB2312" w:eastAsia="宋体_GB2312"/>
          <w:sz w:val="24"/>
          <w:szCs w:val="24"/>
        </w:rPr>
        <w:t>5</w:t>
      </w:r>
      <w:r>
        <w:rPr>
          <w:rFonts w:ascii="宋体_GB2312" w:hAnsi="宋体_GB2312" w:eastAsia="宋体_GB2312"/>
          <w:sz w:val="24"/>
          <w:szCs w:val="24"/>
        </w:rPr>
        <w:t>.2.10</w:t>
      </w:r>
      <w:r>
        <w:rPr>
          <w:rFonts w:hint="eastAsia" w:ascii="宋体_GB2312" w:hAnsi="宋体_GB2312" w:eastAsia="宋体_GB2312"/>
          <w:sz w:val="24"/>
        </w:rPr>
        <w:t>密封性试验</w:t>
      </w:r>
      <w:bookmarkEnd w:id="131"/>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（1）</w:t>
      </w:r>
      <w:r>
        <w:rPr>
          <w:rFonts w:ascii="宋体_GB2312" w:hAnsi="宋体_GB2312" w:eastAsia="宋体_GB2312"/>
          <w:kern w:val="21"/>
        </w:rPr>
        <w:t>IPX</w:t>
      </w:r>
      <w:r>
        <w:rPr>
          <w:rFonts w:hint="eastAsia" w:ascii="宋体_GB2312" w:hAnsi="宋体_GB2312" w:eastAsia="宋体_GB2312"/>
          <w:kern w:val="21"/>
        </w:rPr>
        <w:t>5按</w:t>
      </w:r>
      <w:r>
        <w:rPr>
          <w:rFonts w:ascii="宋体_GB2312" w:hAnsi="宋体_GB2312" w:eastAsia="宋体_GB2312"/>
          <w:kern w:val="21"/>
        </w:rPr>
        <w:t>GB 4208-20</w:t>
      </w:r>
      <w:r>
        <w:rPr>
          <w:rFonts w:hint="eastAsia" w:ascii="宋体_GB2312" w:hAnsi="宋体_GB2312" w:eastAsia="宋体_GB2312"/>
          <w:kern w:val="21"/>
          <w:lang w:val="en-US" w:eastAsia="zh-CN"/>
        </w:rPr>
        <w:t>17</w:t>
      </w:r>
      <w:r>
        <w:rPr>
          <w:rFonts w:hint="eastAsia" w:ascii="宋体_GB2312" w:hAnsi="宋体_GB2312" w:eastAsia="宋体_GB2312"/>
          <w:kern w:val="21"/>
        </w:rPr>
        <w:t>中第1</w:t>
      </w:r>
      <w:r>
        <w:rPr>
          <w:rFonts w:ascii="宋体_GB2312" w:hAnsi="宋体_GB2312" w:eastAsia="宋体_GB2312"/>
          <w:kern w:val="21"/>
        </w:rPr>
        <w:t>4.2.5</w:t>
      </w:r>
      <w:r>
        <w:rPr>
          <w:rFonts w:hint="eastAsia" w:ascii="宋体_GB2312" w:hAnsi="宋体_GB2312" w:eastAsia="宋体_GB2312"/>
          <w:kern w:val="21"/>
        </w:rPr>
        <w:t>进行试验；</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（2）</w:t>
      </w:r>
      <w:r>
        <w:rPr>
          <w:rFonts w:ascii="宋体_GB2312" w:hAnsi="宋体_GB2312" w:eastAsia="宋体_GB2312"/>
          <w:kern w:val="21"/>
        </w:rPr>
        <w:t>IPX</w:t>
      </w:r>
      <w:r>
        <w:rPr>
          <w:rFonts w:hint="eastAsia" w:ascii="宋体_GB2312" w:hAnsi="宋体_GB2312" w:eastAsia="宋体_GB2312"/>
          <w:kern w:val="21"/>
        </w:rPr>
        <w:t>8按</w:t>
      </w:r>
      <w:r>
        <w:rPr>
          <w:rFonts w:ascii="宋体_GB2312" w:hAnsi="宋体_GB2312" w:eastAsia="宋体_GB2312"/>
          <w:kern w:val="21"/>
        </w:rPr>
        <w:t>GB 4208-20</w:t>
      </w:r>
      <w:r>
        <w:rPr>
          <w:rFonts w:hint="eastAsia" w:ascii="宋体_GB2312" w:hAnsi="宋体_GB2312" w:eastAsia="宋体_GB2312"/>
          <w:kern w:val="21"/>
          <w:lang w:val="en-US" w:eastAsia="zh-CN"/>
        </w:rPr>
        <w:t>17</w:t>
      </w:r>
      <w:r>
        <w:rPr>
          <w:rFonts w:hint="eastAsia" w:ascii="宋体_GB2312" w:hAnsi="宋体_GB2312" w:eastAsia="宋体_GB2312"/>
          <w:kern w:val="21"/>
        </w:rPr>
        <w:t>中第1</w:t>
      </w:r>
      <w:r>
        <w:rPr>
          <w:rFonts w:ascii="宋体_GB2312" w:hAnsi="宋体_GB2312" w:eastAsia="宋体_GB2312"/>
          <w:kern w:val="21"/>
        </w:rPr>
        <w:t>4.2.8</w:t>
      </w:r>
      <w:r>
        <w:rPr>
          <w:rFonts w:hint="eastAsia" w:ascii="宋体_GB2312" w:hAnsi="宋体_GB2312" w:eastAsia="宋体_GB2312"/>
          <w:kern w:val="21"/>
        </w:rPr>
        <w:t>进行试验。</w:t>
      </w:r>
    </w:p>
    <w:p>
      <w:pPr>
        <w:pStyle w:val="62"/>
        <w:spacing w:line="560" w:lineRule="exact"/>
        <w:rPr>
          <w:rFonts w:ascii="宋体_GB2312" w:hAnsi="宋体_GB2312" w:eastAsia="宋体_GB2312"/>
          <w:sz w:val="24"/>
        </w:rPr>
      </w:pPr>
      <w:bookmarkStart w:id="132" w:name="_Toc194038102"/>
      <w:r>
        <w:rPr>
          <w:rFonts w:hint="eastAsia" w:ascii="宋体_GB2312" w:hAnsi="宋体_GB2312" w:eastAsia="宋体_GB2312"/>
          <w:sz w:val="24"/>
          <w:szCs w:val="24"/>
        </w:rPr>
        <w:t>5</w:t>
      </w:r>
      <w:r>
        <w:rPr>
          <w:rFonts w:ascii="宋体_GB2312" w:hAnsi="宋体_GB2312" w:eastAsia="宋体_GB2312"/>
          <w:sz w:val="24"/>
          <w:szCs w:val="24"/>
        </w:rPr>
        <w:t>.2.11</w:t>
      </w:r>
      <w:r>
        <w:rPr>
          <w:rFonts w:hint="eastAsia" w:ascii="宋体_GB2312" w:hAnsi="宋体_GB2312" w:eastAsia="宋体_GB2312"/>
          <w:sz w:val="24"/>
        </w:rPr>
        <w:t>燃烧性能试验</w:t>
      </w:r>
      <w:bookmarkEnd w:id="132"/>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（1）按照G</w:t>
      </w:r>
      <w:r>
        <w:rPr>
          <w:rFonts w:ascii="宋体_GB2312" w:hAnsi="宋体_GB2312" w:eastAsia="宋体_GB2312"/>
          <w:kern w:val="21"/>
        </w:rPr>
        <w:t>B/T 5169.5-2008</w:t>
      </w:r>
      <w:r>
        <w:rPr>
          <w:rFonts w:hint="eastAsia" w:ascii="宋体_GB2312" w:hAnsi="宋体_GB2312" w:eastAsia="宋体_GB2312"/>
          <w:kern w:val="21"/>
        </w:rPr>
        <w:t>中规定</w:t>
      </w:r>
      <w:r>
        <w:rPr>
          <w:rFonts w:ascii="宋体_GB2312" w:hAnsi="宋体_GB2312" w:eastAsia="宋体_GB2312"/>
          <w:kern w:val="21"/>
        </w:rPr>
        <w:t>的方法进行试验，其中施加试验火焰持续时间优</w:t>
      </w:r>
      <w:r>
        <w:rPr>
          <w:rFonts w:hint="eastAsia" w:ascii="宋体_GB2312" w:hAnsi="宋体_GB2312" w:eastAsia="宋体_GB2312"/>
          <w:kern w:val="21"/>
        </w:rPr>
        <w:t>选</w:t>
      </w:r>
      <w:r>
        <w:rPr>
          <w:rFonts w:ascii="宋体_GB2312" w:hAnsi="宋体_GB2312" w:eastAsia="宋体_GB2312"/>
          <w:kern w:val="21"/>
        </w:rPr>
        <w:t>30</w:t>
      </w:r>
      <w:r>
        <w:rPr>
          <w:rFonts w:hint="eastAsia" w:ascii="宋体_GB2312" w:hAnsi="宋体_GB2312" w:eastAsia="宋体_GB2312"/>
          <w:kern w:val="21"/>
        </w:rPr>
        <w:t>s。</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（2）跳</w:t>
      </w:r>
      <w:r>
        <w:rPr>
          <w:rFonts w:ascii="宋体_GB2312" w:hAnsi="宋体_GB2312" w:eastAsia="宋体_GB2312"/>
          <w:kern w:val="21"/>
        </w:rPr>
        <w:t>纤或尾纤中使用的光缆阻燃性能试验方法按</w:t>
      </w:r>
      <w:r>
        <w:rPr>
          <w:rFonts w:hint="eastAsia" w:ascii="宋体_GB2312" w:hAnsi="宋体_GB2312" w:eastAsia="宋体_GB2312"/>
          <w:kern w:val="21"/>
        </w:rPr>
        <w:t>G</w:t>
      </w:r>
      <w:r>
        <w:rPr>
          <w:rFonts w:ascii="宋体_GB2312" w:hAnsi="宋体_GB2312" w:eastAsia="宋体_GB2312"/>
          <w:kern w:val="21"/>
        </w:rPr>
        <w:t>B/T 18380.12</w:t>
      </w:r>
      <w:r>
        <w:rPr>
          <w:rFonts w:hint="eastAsia" w:ascii="宋体_GB2312" w:hAnsi="宋体_GB2312" w:eastAsia="宋体_GB2312"/>
          <w:kern w:val="21"/>
        </w:rPr>
        <w:t>-</w:t>
      </w:r>
      <w:r>
        <w:rPr>
          <w:rFonts w:ascii="宋体_GB2312" w:hAnsi="宋体_GB2312" w:eastAsia="宋体_GB2312"/>
          <w:kern w:val="21"/>
        </w:rPr>
        <w:t>2008</w:t>
      </w:r>
      <w:r>
        <w:rPr>
          <w:rFonts w:hint="eastAsia" w:ascii="宋体_GB2312" w:hAnsi="宋体_GB2312" w:eastAsia="宋体_GB2312"/>
          <w:kern w:val="21"/>
        </w:rPr>
        <w:t>中规定</w:t>
      </w:r>
      <w:r>
        <w:rPr>
          <w:rFonts w:ascii="宋体_GB2312" w:hAnsi="宋体_GB2312" w:eastAsia="宋体_GB2312"/>
          <w:kern w:val="21"/>
        </w:rPr>
        <w:t>的方法进行试验。</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（3）试验样品离火后持续有焰燃烧时间不超过10s；</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w:t>
      </w:r>
      <w:r>
        <w:rPr>
          <w:rFonts w:ascii="宋体_GB2312" w:hAnsi="宋体_GB2312" w:eastAsia="宋体_GB2312"/>
          <w:kern w:val="21"/>
        </w:rPr>
        <w:t>4</w:t>
      </w:r>
      <w:r>
        <w:rPr>
          <w:rFonts w:hint="eastAsia" w:ascii="宋体_GB2312" w:hAnsi="宋体_GB2312" w:eastAsia="宋体_GB2312"/>
          <w:kern w:val="21"/>
        </w:rPr>
        <w:t>）从试验样品上掉落的燃烧或灼热颗粒未使燃烧蔓延到放在试验样品下面的铺底层。</w:t>
      </w:r>
    </w:p>
    <w:p>
      <w:pPr>
        <w:pStyle w:val="62"/>
        <w:spacing w:line="560" w:lineRule="exact"/>
        <w:rPr>
          <w:rFonts w:ascii="宋体_GB2312" w:hAnsi="宋体_GB2312" w:eastAsia="宋体_GB2312"/>
          <w:sz w:val="24"/>
        </w:rPr>
      </w:pPr>
      <w:bookmarkStart w:id="133" w:name="_Toc194038103"/>
      <w:r>
        <w:rPr>
          <w:rFonts w:hint="eastAsia" w:ascii="宋体_GB2312" w:hAnsi="宋体_GB2312" w:eastAsia="宋体_GB2312"/>
          <w:sz w:val="24"/>
        </w:rPr>
        <w:t>5</w:t>
      </w:r>
      <w:r>
        <w:rPr>
          <w:rFonts w:ascii="宋体_GB2312" w:hAnsi="宋体_GB2312" w:eastAsia="宋体_GB2312"/>
          <w:sz w:val="24"/>
        </w:rPr>
        <w:t>.2.12</w:t>
      </w:r>
      <w:r>
        <w:rPr>
          <w:rFonts w:hint="eastAsia" w:ascii="宋体_GB2312" w:hAnsi="宋体_GB2312" w:eastAsia="宋体_GB2312"/>
          <w:sz w:val="24"/>
        </w:rPr>
        <w:t>环境条件试验</w:t>
      </w:r>
      <w:bookmarkEnd w:id="133"/>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.2.12.1</w:t>
      </w:r>
      <w:r>
        <w:rPr>
          <w:rFonts w:hint="eastAsia" w:ascii="宋体_GB2312" w:hAnsi="宋体_GB2312" w:eastAsia="宋体_GB2312"/>
          <w:sz w:val="24"/>
        </w:rPr>
        <w:t>高温试验</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按GB/T</w:t>
      </w:r>
      <w:r>
        <w:rPr>
          <w:rFonts w:ascii="宋体_GB2312" w:hAnsi="宋体_GB2312" w:eastAsia="宋体_GB2312"/>
          <w:kern w:val="21"/>
        </w:rPr>
        <w:t xml:space="preserve"> </w:t>
      </w:r>
      <w:r>
        <w:rPr>
          <w:rFonts w:hint="eastAsia" w:ascii="宋体_GB2312" w:hAnsi="宋体_GB2312" w:eastAsia="宋体_GB2312"/>
          <w:kern w:val="21"/>
        </w:rPr>
        <w:t>2423.2-200</w:t>
      </w:r>
      <w:r>
        <w:rPr>
          <w:rFonts w:ascii="宋体_GB2312" w:hAnsi="宋体_GB2312" w:eastAsia="宋体_GB2312"/>
          <w:kern w:val="21"/>
        </w:rPr>
        <w:t>8</w:t>
      </w:r>
      <w:r>
        <w:rPr>
          <w:rFonts w:hint="eastAsia" w:ascii="宋体_GB2312" w:hAnsi="宋体_GB2312" w:eastAsia="宋体_GB2312"/>
          <w:kern w:val="21"/>
        </w:rPr>
        <w:t>中规定的试验Bb进行。将无包装的试验样品（含箱体关键材料、光纤终接装置、光纤存储装置、高压防护装置、光纤连接器）置于试验箱（室）内，试验温度为+60℃±2℃，持续时间8h，然后在试验标准大气条件下恢复1h后进行相关项目测试。</w:t>
      </w:r>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.2.12.2</w:t>
      </w:r>
      <w:r>
        <w:rPr>
          <w:rFonts w:hint="eastAsia" w:ascii="宋体_GB2312" w:hAnsi="宋体_GB2312" w:eastAsia="宋体_GB2312"/>
          <w:sz w:val="24"/>
        </w:rPr>
        <w:t>低温试验</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按GB/T</w:t>
      </w:r>
      <w:r>
        <w:rPr>
          <w:rFonts w:ascii="宋体_GB2312" w:hAnsi="宋体_GB2312" w:eastAsia="宋体_GB2312"/>
          <w:kern w:val="21"/>
        </w:rPr>
        <w:t xml:space="preserve"> </w:t>
      </w:r>
      <w:r>
        <w:rPr>
          <w:rFonts w:hint="eastAsia" w:ascii="宋体_GB2312" w:hAnsi="宋体_GB2312" w:eastAsia="宋体_GB2312"/>
          <w:kern w:val="21"/>
        </w:rPr>
        <w:t>2423.1-200</w:t>
      </w:r>
      <w:r>
        <w:rPr>
          <w:rFonts w:ascii="宋体_GB2312" w:hAnsi="宋体_GB2312" w:eastAsia="宋体_GB2312"/>
          <w:kern w:val="21"/>
        </w:rPr>
        <w:t>8</w:t>
      </w:r>
      <w:r>
        <w:rPr>
          <w:rFonts w:hint="eastAsia" w:ascii="宋体_GB2312" w:hAnsi="宋体_GB2312" w:eastAsia="宋体_GB2312"/>
          <w:kern w:val="21"/>
        </w:rPr>
        <w:t>中规定的试验Ab进行。将无包装的试验样品（含箱体关键材料、光纤终接装置、光纤存储装置、高压防护装置、光纤连接器）置于试验箱（室）内，试验温度为-40℃±3℃，持续时间8h，然后在试验标准大气条件下恢复1h后进行相关项目测试。</w:t>
      </w:r>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.2.12.3</w:t>
      </w:r>
      <w:r>
        <w:rPr>
          <w:rFonts w:hint="eastAsia" w:ascii="宋体_GB2312" w:hAnsi="宋体_GB2312" w:eastAsia="宋体_GB2312"/>
          <w:sz w:val="24"/>
        </w:rPr>
        <w:t>湿热试验</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设备应按</w:t>
      </w:r>
      <w:r>
        <w:rPr>
          <w:rFonts w:ascii="宋体_GB2312" w:hAnsi="宋体_GB2312" w:eastAsia="宋体_GB2312"/>
        </w:rPr>
        <w:t>GB/T2423.4-2008中“试验Db：交变湿热试验方法”进行，</w:t>
      </w:r>
      <w:r>
        <w:rPr>
          <w:rFonts w:hint="eastAsia" w:ascii="宋体_GB2312" w:hAnsi="宋体_GB2312" w:eastAsia="宋体_GB2312"/>
          <w:kern w:val="21"/>
        </w:rPr>
        <w:t>将无包装的试验样品（含箱体关键材料、光纤终接装置、光纤存储装置、高压防护装置、光纤连接器）置于试验箱（室）内，</w:t>
      </w:r>
      <w:r>
        <w:rPr>
          <w:rFonts w:ascii="宋体_GB2312" w:hAnsi="宋体_GB2312" w:eastAsia="宋体_GB2312"/>
        </w:rPr>
        <w:t>其中试验高温为+40℃±2℃，试验周期为</w:t>
      </w:r>
      <w:r>
        <w:rPr>
          <w:rFonts w:hint="eastAsia" w:ascii="宋体_GB2312" w:hAnsi="宋体_GB2312" w:eastAsia="宋体_GB2312"/>
        </w:rPr>
        <w:t>1</w:t>
      </w:r>
      <w:r>
        <w:rPr>
          <w:rFonts w:ascii="宋体_GB2312" w:hAnsi="宋体_GB2312" w:eastAsia="宋体_GB2312"/>
        </w:rPr>
        <w:t>44</w:t>
      </w:r>
      <w:r>
        <w:rPr>
          <w:rFonts w:hint="eastAsia" w:ascii="宋体_GB2312" w:hAnsi="宋体_GB2312" w:eastAsia="宋体_GB2312"/>
        </w:rPr>
        <w:t>h</w:t>
      </w:r>
      <w:r>
        <w:rPr>
          <w:rFonts w:ascii="宋体_GB2312" w:hAnsi="宋体_GB2312" w:eastAsia="宋体_GB2312"/>
        </w:rPr>
        <w:t>。</w:t>
      </w:r>
    </w:p>
    <w:p>
      <w:pPr>
        <w:spacing w:before="163" w:beforeLines="50" w:line="300" w:lineRule="auto"/>
        <w:ind w:firstLine="480" w:firstLineChars="200"/>
        <w:rPr>
          <w:rFonts w:ascii="宋体_GB2312" w:hAnsi="宋体_GB2312" w:eastAsia="宋体_GB2312"/>
        </w:rPr>
      </w:pPr>
      <w:r>
        <w:rPr>
          <w:rFonts w:hint="eastAsia" w:ascii="宋体_GB2312" w:hAnsi="宋体_GB2312" w:eastAsia="宋体_GB2312"/>
        </w:rPr>
        <w:t>条件试验之后，再调节到试验</w:t>
      </w:r>
      <w:r>
        <w:rPr>
          <w:rFonts w:hint="eastAsia" w:ascii="宋体_GB2312" w:hAnsi="宋体_GB2312" w:eastAsia="宋体_GB2312"/>
          <w:kern w:val="21"/>
          <w:szCs w:val="24"/>
        </w:rPr>
        <w:t>标准大气条件</w:t>
      </w:r>
      <w:r>
        <w:rPr>
          <w:rFonts w:hint="eastAsia" w:ascii="宋体_GB2312" w:hAnsi="宋体_GB2312" w:eastAsia="宋体_GB2312"/>
        </w:rPr>
        <w:t>下恢复</w:t>
      </w:r>
      <w:r>
        <w:rPr>
          <w:rFonts w:ascii="宋体_GB2312" w:hAnsi="宋体_GB2312" w:eastAsia="宋体_GB2312"/>
        </w:rPr>
        <w:t>2h后进行相关项目测试。</w:t>
      </w:r>
    </w:p>
    <w:p>
      <w:pPr>
        <w:pStyle w:val="62"/>
        <w:spacing w:line="560" w:lineRule="exac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.2.12.4</w:t>
      </w:r>
      <w:r>
        <w:rPr>
          <w:rFonts w:hint="eastAsia" w:ascii="宋体_GB2312" w:hAnsi="宋体_GB2312" w:eastAsia="宋体_GB2312"/>
          <w:sz w:val="24"/>
        </w:rPr>
        <w:t>盐雾试验</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按GB/T</w:t>
      </w:r>
      <w:r>
        <w:rPr>
          <w:rFonts w:ascii="宋体_GB2312" w:hAnsi="宋体_GB2312" w:eastAsia="宋体_GB2312"/>
          <w:kern w:val="21"/>
        </w:rPr>
        <w:t xml:space="preserve"> </w:t>
      </w:r>
      <w:r>
        <w:rPr>
          <w:rFonts w:hint="eastAsia" w:ascii="宋体_GB2312" w:hAnsi="宋体_GB2312" w:eastAsia="宋体_GB2312"/>
          <w:kern w:val="21"/>
        </w:rPr>
        <w:t>2423.17-</w:t>
      </w:r>
      <w:r>
        <w:rPr>
          <w:rFonts w:ascii="宋体_GB2312" w:hAnsi="宋体_GB2312" w:eastAsia="宋体_GB2312"/>
          <w:kern w:val="21"/>
        </w:rPr>
        <w:t>2008</w:t>
      </w:r>
      <w:r>
        <w:rPr>
          <w:rFonts w:hint="eastAsia" w:ascii="宋体_GB2312" w:hAnsi="宋体_GB2312" w:eastAsia="宋体_GB2312"/>
          <w:kern w:val="21"/>
        </w:rPr>
        <w:t>中规定的试验程序对实际使用或安装时的状态的试验样品（含金属电镀结构件和F</w:t>
      </w:r>
      <w:r>
        <w:rPr>
          <w:rFonts w:ascii="宋体_GB2312" w:hAnsi="宋体_GB2312" w:eastAsia="宋体_GB2312"/>
          <w:kern w:val="21"/>
        </w:rPr>
        <w:t>C</w:t>
      </w:r>
      <w:r>
        <w:rPr>
          <w:rFonts w:hint="eastAsia" w:ascii="宋体_GB2312" w:hAnsi="宋体_GB2312" w:eastAsia="宋体_GB2312"/>
          <w:kern w:val="21"/>
        </w:rPr>
        <w:t>型光纤连接器）进行48h的盐雾试验。</w:t>
      </w:r>
    </w:p>
    <w:p>
      <w:pPr>
        <w:pStyle w:val="62"/>
        <w:spacing w:line="560" w:lineRule="exact"/>
        <w:rPr>
          <w:rFonts w:ascii="宋体_GB2312" w:hAnsi="宋体_GB2312" w:eastAsia="宋体_GB2312"/>
          <w:sz w:val="24"/>
        </w:rPr>
      </w:pPr>
      <w:bookmarkStart w:id="134" w:name="_Toc194038104"/>
      <w:r>
        <w:rPr>
          <w:rFonts w:hint="eastAsia" w:ascii="宋体_GB2312" w:hAnsi="宋体_GB2312" w:eastAsia="宋体_GB2312"/>
          <w:sz w:val="24"/>
        </w:rPr>
        <w:t>5</w:t>
      </w:r>
      <w:r>
        <w:rPr>
          <w:rFonts w:ascii="宋体_GB2312" w:hAnsi="宋体_GB2312" w:eastAsia="宋体_GB2312"/>
          <w:sz w:val="24"/>
        </w:rPr>
        <w:t>.2.12.5</w:t>
      </w:r>
      <w:r>
        <w:rPr>
          <w:rFonts w:hint="eastAsia" w:ascii="宋体_GB2312" w:hAnsi="宋体_GB2312" w:eastAsia="宋体_GB2312"/>
          <w:sz w:val="24"/>
        </w:rPr>
        <w:t>运输试验</w:t>
      </w:r>
      <w:bookmarkEnd w:id="134"/>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rPr>
        <w:t>5</w:t>
      </w:r>
      <w:r>
        <w:rPr>
          <w:rFonts w:ascii="宋体_GB2312" w:hAnsi="宋体_GB2312" w:eastAsia="宋体_GB2312"/>
        </w:rPr>
        <w:t>.2.12.5.1</w:t>
      </w:r>
      <w:r>
        <w:rPr>
          <w:rFonts w:hint="eastAsia" w:ascii="宋体_GB2312" w:hAnsi="宋体_GB2312" w:eastAsia="宋体_GB2312"/>
          <w:kern w:val="21"/>
        </w:rPr>
        <w:t>总则</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按以下方法之一试验，试验后应能符合：</w:t>
      </w:r>
    </w:p>
    <w:p>
      <w:pPr>
        <w:spacing w:before="163" w:beforeLines="50" w:line="300" w:lineRule="auto"/>
        <w:ind w:firstLine="480" w:firstLineChars="200"/>
        <w:rPr>
          <w:rFonts w:ascii="宋体_GB2312" w:hAnsi="宋体_GB2312" w:eastAsia="宋体_GB2312"/>
          <w:kern w:val="21"/>
          <w:szCs w:val="24"/>
        </w:rPr>
      </w:pPr>
      <w:r>
        <w:rPr>
          <w:rFonts w:hint="eastAsia" w:ascii="宋体_GB2312" w:hAnsi="宋体_GB2312" w:eastAsia="宋体_GB2312"/>
          <w:kern w:val="21"/>
        </w:rPr>
        <w:t>（1）</w:t>
      </w:r>
      <w:r>
        <w:rPr>
          <w:rFonts w:ascii="宋体_GB2312" w:hAnsi="宋体_GB2312" w:eastAsia="宋体_GB2312"/>
          <w:kern w:val="21"/>
          <w:szCs w:val="24"/>
        </w:rPr>
        <w:t xml:space="preserve"> </w:t>
      </w:r>
      <w:r>
        <w:rPr>
          <w:rFonts w:hint="eastAsia" w:ascii="宋体_GB2312" w:hAnsi="宋体_GB2312" w:eastAsia="宋体_GB2312"/>
          <w:kern w:val="21"/>
          <w:szCs w:val="24"/>
        </w:rPr>
        <w:t>产品完整：产品表面及零部件不应有机械损伤，紧固件不得松脱；</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（2）</w:t>
      </w:r>
      <w:r>
        <w:rPr>
          <w:rFonts w:hint="eastAsia" w:ascii="宋体_GB2312" w:hAnsi="宋体_GB2312" w:eastAsia="宋体_GB2312"/>
          <w:kern w:val="21"/>
          <w:szCs w:val="24"/>
        </w:rPr>
        <w:t>应符合表</w:t>
      </w:r>
      <w:r>
        <w:rPr>
          <w:rFonts w:ascii="宋体_GB2312" w:hAnsi="宋体_GB2312" w:eastAsia="宋体_GB2312"/>
          <w:kern w:val="21"/>
        </w:rPr>
        <w:t>3</w:t>
      </w:r>
      <w:r>
        <w:rPr>
          <w:rFonts w:hint="eastAsia" w:ascii="宋体_GB2312" w:hAnsi="宋体_GB2312" w:eastAsia="宋体_GB2312"/>
          <w:kern w:val="21"/>
          <w:szCs w:val="24"/>
        </w:rPr>
        <w:t>中的要求。</w:t>
      </w:r>
    </w:p>
    <w:p>
      <w:pPr>
        <w:spacing w:before="163" w:beforeLines="50" w:line="300" w:lineRule="auto"/>
        <w:ind w:firstLine="480" w:firstLineChars="200"/>
        <w:rPr>
          <w:rFonts w:ascii="宋体_GB2312" w:hAnsi="宋体_GB2312" w:eastAsia="宋体_GB2312"/>
          <w:kern w:val="21"/>
          <w:szCs w:val="24"/>
        </w:rPr>
      </w:pPr>
      <w:r>
        <w:rPr>
          <w:rFonts w:hint="eastAsia" w:ascii="宋体_GB2312" w:hAnsi="宋体_GB2312" w:eastAsia="宋体_GB2312"/>
        </w:rPr>
        <w:t>5</w:t>
      </w:r>
      <w:r>
        <w:rPr>
          <w:rFonts w:ascii="宋体_GB2312" w:hAnsi="宋体_GB2312" w:eastAsia="宋体_GB2312"/>
        </w:rPr>
        <w:t>.2.12.5.2</w:t>
      </w:r>
      <w:r>
        <w:rPr>
          <w:rFonts w:hint="eastAsia" w:ascii="宋体_GB2312" w:hAnsi="宋体_GB2312" w:eastAsia="宋体_GB2312"/>
          <w:kern w:val="21"/>
          <w:szCs w:val="24"/>
        </w:rPr>
        <w:t>替代法</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以振动试验替代。试验条件：</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（1）频率范围：10Hz</w:t>
      </w:r>
      <w:r>
        <w:rPr>
          <w:rFonts w:ascii="宋体_GB2312" w:hAnsi="宋体_GB2312" w:eastAsia="宋体_GB2312"/>
          <w:kern w:val="21"/>
          <w:szCs w:val="24"/>
        </w:rPr>
        <w:t>～</w:t>
      </w:r>
      <w:r>
        <w:rPr>
          <w:rFonts w:hint="eastAsia" w:ascii="宋体_GB2312" w:hAnsi="宋体_GB2312" w:eastAsia="宋体_GB2312"/>
          <w:kern w:val="21"/>
        </w:rPr>
        <w:t>55Hz。</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（2）扫频要求：扫频的速率应为每分钟一个倍频程，其容差为±10%。</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（3）振幅：0.75mm。</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（4）每一方向持续时间：30min。</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（5）试验程序：将试样（含光纤终接装置、光纤存储装置、光纤连接器）固定在振动台上，并应在两个垂直方向上承受振动，方向之一与连接器公共轴线方向平行。</w:t>
      </w:r>
    </w:p>
    <w:p>
      <w:pPr>
        <w:spacing w:before="163" w:beforeLines="50" w:line="300" w:lineRule="auto"/>
        <w:ind w:firstLine="480" w:firstLineChars="200"/>
        <w:rPr>
          <w:rFonts w:ascii="宋体_GB2312" w:hAnsi="宋体_GB2312" w:eastAsia="宋体_GB2312"/>
          <w:kern w:val="21"/>
          <w:szCs w:val="24"/>
        </w:rPr>
      </w:pPr>
      <w:r>
        <w:rPr>
          <w:rFonts w:hint="eastAsia" w:ascii="宋体_GB2312" w:hAnsi="宋体_GB2312" w:eastAsia="宋体_GB2312"/>
        </w:rPr>
        <w:t>5</w:t>
      </w:r>
      <w:r>
        <w:rPr>
          <w:rFonts w:ascii="宋体_GB2312" w:hAnsi="宋体_GB2312" w:eastAsia="宋体_GB2312"/>
        </w:rPr>
        <w:t>.2.12.5.3</w:t>
      </w:r>
      <w:r>
        <w:rPr>
          <w:rFonts w:hint="eastAsia" w:ascii="宋体_GB2312" w:hAnsi="宋体_GB2312" w:eastAsia="宋体_GB2312"/>
          <w:kern w:val="21"/>
          <w:szCs w:val="24"/>
        </w:rPr>
        <w:t>基准法</w:t>
      </w:r>
    </w:p>
    <w:p>
      <w:pPr>
        <w:spacing w:before="163" w:beforeLines="50" w:line="300" w:lineRule="auto"/>
        <w:ind w:firstLine="480" w:firstLineChars="200"/>
        <w:rPr>
          <w:rFonts w:ascii="宋体_GB2312" w:hAnsi="宋体_GB2312" w:eastAsia="宋体_GB2312"/>
          <w:kern w:val="21"/>
        </w:rPr>
      </w:pPr>
      <w:r>
        <w:rPr>
          <w:rFonts w:hint="eastAsia" w:ascii="宋体_GB2312" w:hAnsi="宋体_GB2312" w:eastAsia="宋体_GB2312"/>
          <w:kern w:val="21"/>
        </w:rPr>
        <w:t>按GB/T</w:t>
      </w:r>
      <w:r>
        <w:rPr>
          <w:rFonts w:ascii="宋体_GB2312" w:hAnsi="宋体_GB2312" w:eastAsia="宋体_GB2312"/>
          <w:kern w:val="21"/>
        </w:rPr>
        <w:t xml:space="preserve"> </w:t>
      </w:r>
      <w:r>
        <w:rPr>
          <w:rFonts w:hint="eastAsia" w:ascii="宋体_GB2312" w:hAnsi="宋体_GB2312" w:eastAsia="宋体_GB2312"/>
          <w:kern w:val="21"/>
        </w:rPr>
        <w:t>3873中“A.10公路运输”的试验要求进行。</w:t>
      </w:r>
    </w:p>
    <w:p>
      <w:pPr>
        <w:pStyle w:val="62"/>
        <w:spacing w:line="560" w:lineRule="exact"/>
        <w:rPr>
          <w:rFonts w:ascii="宋体_GB2312" w:hAnsi="宋体_GB2312" w:eastAsia="宋体_GB2312"/>
          <w:sz w:val="24"/>
        </w:rPr>
      </w:pPr>
      <w:r>
        <w:rPr>
          <w:rFonts w:hint="eastAsia" w:ascii="宋体_GB2312" w:hAnsi="宋体_GB2312" w:eastAsia="宋体_GB2312"/>
          <w:sz w:val="24"/>
          <w:szCs w:val="24"/>
        </w:rPr>
        <w:t>5</w:t>
      </w:r>
      <w:r>
        <w:rPr>
          <w:rFonts w:ascii="宋体_GB2312" w:hAnsi="宋体_GB2312" w:eastAsia="宋体_GB2312"/>
          <w:sz w:val="24"/>
          <w:szCs w:val="24"/>
        </w:rPr>
        <w:t>.2.1</w:t>
      </w:r>
      <w:r>
        <w:rPr>
          <w:rFonts w:ascii="宋体_GB2312" w:hAnsi="宋体_GB2312" w:eastAsia="宋体_GB2312"/>
          <w:sz w:val="24"/>
        </w:rPr>
        <w:t>3</w:t>
      </w:r>
      <w:r>
        <w:rPr>
          <w:rFonts w:hint="eastAsia" w:ascii="宋体_GB2312" w:hAnsi="宋体_GB2312" w:eastAsia="宋体_GB2312"/>
          <w:sz w:val="24"/>
        </w:rPr>
        <w:t xml:space="preserve">限用物质含量试验   </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kern w:val="21"/>
        </w:rPr>
        <w:t>限用物质含量的试验方法按G</w:t>
      </w:r>
      <w:r>
        <w:rPr>
          <w:rFonts w:ascii="宋体_GB2312" w:hAnsi="宋体_GB2312" w:eastAsia="宋体_GB2312"/>
          <w:kern w:val="21"/>
        </w:rPr>
        <w:t>B/T 26125-2011</w:t>
      </w:r>
      <w:r>
        <w:rPr>
          <w:rFonts w:hint="eastAsia" w:ascii="宋体_GB2312" w:hAnsi="宋体_GB2312" w:eastAsia="宋体_GB2312"/>
          <w:kern w:val="21"/>
        </w:rPr>
        <w:t>《</w:t>
      </w:r>
      <w:r>
        <w:rPr>
          <w:rFonts w:ascii="宋体_GB2312" w:hAnsi="宋体_GB2312" w:eastAsia="宋体_GB2312"/>
          <w:kern w:val="21"/>
          <w:szCs w:val="24"/>
        </w:rPr>
        <w:t>电子电气产品 六种限用物质（铅、汞、镉、六价铬、多溴联苯和多溴二苯醚）的测定</w:t>
      </w:r>
      <w:r>
        <w:rPr>
          <w:rFonts w:hint="eastAsia" w:ascii="宋体_GB2312" w:hAnsi="宋体_GB2312" w:eastAsia="宋体_GB2312"/>
          <w:kern w:val="21"/>
        </w:rPr>
        <w:t>》的规定进行。</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135" w:name="_Toc2952"/>
      <w:bookmarkStart w:id="136" w:name="_Toc18424"/>
      <w:bookmarkStart w:id="137" w:name="_Toc27401426"/>
      <w:bookmarkStart w:id="138" w:name="_Toc16991"/>
      <w:bookmarkStart w:id="139" w:name="_Toc131219971"/>
      <w:bookmarkStart w:id="140" w:name="_Toc132100059"/>
      <w:bookmarkStart w:id="141" w:name="_Toc361036708"/>
      <w:r>
        <w:rPr>
          <w:rFonts w:ascii="宋体_GB2312" w:hAnsi="宋体_GB2312" w:eastAsia="宋体_GB2312"/>
          <w:bCs/>
          <w:sz w:val="24"/>
          <w:szCs w:val="24"/>
        </w:rPr>
        <w:t xml:space="preserve">6 </w:t>
      </w:r>
      <w:r>
        <w:rPr>
          <w:rFonts w:hint="eastAsia" w:ascii="宋体_GB2312" w:hAnsi="宋体_GB2312" w:eastAsia="宋体_GB2312"/>
          <w:bCs/>
          <w:sz w:val="24"/>
          <w:szCs w:val="24"/>
        </w:rPr>
        <w:t>包装、运输和贮存</w:t>
      </w:r>
      <w:bookmarkEnd w:id="135"/>
      <w:bookmarkEnd w:id="136"/>
      <w:bookmarkEnd w:id="137"/>
      <w:bookmarkEnd w:id="138"/>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142" w:name="_Toc19945"/>
      <w:bookmarkStart w:id="143" w:name="_Toc24615"/>
      <w:bookmarkStart w:id="144" w:name="_Toc27401427"/>
      <w:bookmarkStart w:id="145" w:name="_Toc27219"/>
      <w:r>
        <w:rPr>
          <w:rFonts w:ascii="宋体_GB2312" w:hAnsi="宋体_GB2312" w:eastAsia="宋体_GB2312"/>
          <w:bCs/>
          <w:sz w:val="24"/>
          <w:szCs w:val="24"/>
        </w:rPr>
        <w:t xml:space="preserve">6.1 </w:t>
      </w:r>
      <w:r>
        <w:rPr>
          <w:rFonts w:hint="eastAsia" w:ascii="宋体_GB2312" w:hAnsi="宋体_GB2312" w:eastAsia="宋体_GB2312"/>
          <w:bCs/>
          <w:sz w:val="24"/>
          <w:szCs w:val="24"/>
        </w:rPr>
        <w:t>包装</w:t>
      </w:r>
      <w:bookmarkEnd w:id="142"/>
      <w:bookmarkEnd w:id="143"/>
      <w:bookmarkEnd w:id="144"/>
      <w:bookmarkEnd w:id="145"/>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箱体应包装出厂，包装要求及包装箱面标志应符合</w:t>
      </w:r>
      <w:r>
        <w:rPr>
          <w:rFonts w:ascii="宋体_GB2312" w:hAnsi="宋体_GB2312" w:eastAsia="宋体_GB2312"/>
          <w:szCs w:val="24"/>
        </w:rPr>
        <w:t>GB/T 3873中的规定。包装材料应无污染、节能、绿色环保。包装箱内除产品外，还应装入以下物品和有关文件，文件可用塑料袋或纸袋封装：</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1）备附件及专用工具；</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2）产品使用说明书；</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3）产品合格证；</w:t>
      </w:r>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w:t>
      </w:r>
      <w:r>
        <w:rPr>
          <w:rFonts w:ascii="宋体_GB2312" w:hAnsi="宋体_GB2312" w:eastAsia="宋体_GB2312"/>
          <w:szCs w:val="24"/>
        </w:rPr>
        <w:t>4）装箱清单。</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146" w:name="_Toc21451"/>
      <w:bookmarkStart w:id="147" w:name="_Toc947"/>
      <w:bookmarkStart w:id="148" w:name="_Toc27401428"/>
      <w:bookmarkStart w:id="149" w:name="_Toc16272"/>
      <w:r>
        <w:rPr>
          <w:rFonts w:ascii="宋体_GB2312" w:hAnsi="宋体_GB2312" w:eastAsia="宋体_GB2312"/>
          <w:bCs/>
          <w:sz w:val="24"/>
          <w:szCs w:val="24"/>
        </w:rPr>
        <w:t xml:space="preserve">6.2 </w:t>
      </w:r>
      <w:r>
        <w:rPr>
          <w:rFonts w:hint="eastAsia" w:ascii="宋体_GB2312" w:hAnsi="宋体_GB2312" w:eastAsia="宋体_GB2312"/>
          <w:bCs/>
          <w:sz w:val="24"/>
          <w:szCs w:val="24"/>
        </w:rPr>
        <w:t>运输</w:t>
      </w:r>
      <w:bookmarkEnd w:id="146"/>
      <w:bookmarkEnd w:id="147"/>
      <w:bookmarkEnd w:id="148"/>
      <w:bookmarkEnd w:id="149"/>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包装后的产品，可用汽车、火车、轮船、飞机等运输，在运输中应避免碰撞、跌落、雨雪的直接淋袭和日光暴晒。</w:t>
      </w:r>
    </w:p>
    <w:p>
      <w:pPr>
        <w:pStyle w:val="2"/>
        <w:keepNext/>
        <w:keepLines/>
        <w:kinsoku/>
        <w:overflowPunct/>
        <w:autoSpaceDE/>
        <w:autoSpaceDN/>
        <w:snapToGrid/>
        <w:spacing w:before="0" w:line="276" w:lineRule="auto"/>
        <w:textAlignment w:val="baseline"/>
        <w:rPr>
          <w:rFonts w:ascii="宋体_GB2312" w:hAnsi="宋体_GB2312" w:eastAsia="宋体_GB2312"/>
          <w:bCs/>
          <w:sz w:val="24"/>
          <w:szCs w:val="24"/>
        </w:rPr>
      </w:pPr>
      <w:bookmarkStart w:id="150" w:name="_Toc18870"/>
      <w:bookmarkStart w:id="151" w:name="_Toc27401429"/>
      <w:bookmarkStart w:id="152" w:name="_Toc1351"/>
      <w:bookmarkStart w:id="153" w:name="_Toc13178"/>
      <w:r>
        <w:rPr>
          <w:rFonts w:ascii="宋体_GB2312" w:hAnsi="宋体_GB2312" w:eastAsia="宋体_GB2312"/>
          <w:bCs/>
          <w:sz w:val="24"/>
          <w:szCs w:val="24"/>
        </w:rPr>
        <w:t xml:space="preserve">6.3 </w:t>
      </w:r>
      <w:r>
        <w:rPr>
          <w:rFonts w:hint="eastAsia" w:ascii="宋体_GB2312" w:hAnsi="宋体_GB2312" w:eastAsia="宋体_GB2312"/>
          <w:bCs/>
          <w:sz w:val="24"/>
          <w:szCs w:val="24"/>
        </w:rPr>
        <w:t>贮存</w:t>
      </w:r>
      <w:bookmarkEnd w:id="150"/>
      <w:bookmarkEnd w:id="151"/>
      <w:bookmarkEnd w:id="152"/>
      <w:bookmarkEnd w:id="153"/>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szCs w:val="24"/>
        </w:rPr>
        <w:t>产品应贮存在通风良好、干燥的仓库中，周围不应有腐蚀性气体存在，贮存温度为</w:t>
      </w:r>
      <w:r>
        <w:rPr>
          <w:rFonts w:ascii="宋体_GB2312" w:hAnsi="宋体_GB2312" w:eastAsia="宋体_GB2312"/>
          <w:szCs w:val="24"/>
        </w:rPr>
        <w:t>-25℃～+55℃。</w:t>
      </w:r>
    </w:p>
    <w:bookmarkEnd w:id="139"/>
    <w:bookmarkEnd w:id="140"/>
    <w:bookmarkEnd w:id="141"/>
    <w:p>
      <w:pPr>
        <w:pStyle w:val="2"/>
        <w:spacing w:before="0" w:line="276" w:lineRule="auto"/>
        <w:textAlignment w:val="baseline"/>
        <w:rPr>
          <w:rFonts w:ascii="宋体_GB2312" w:hAnsi="宋体_GB2312" w:eastAsia="宋体_GB2312"/>
          <w:sz w:val="24"/>
          <w:szCs w:val="24"/>
        </w:rPr>
      </w:pPr>
      <w:bookmarkStart w:id="154" w:name="_Toc27401430"/>
      <w:bookmarkStart w:id="155" w:name="_Toc26845"/>
      <w:bookmarkStart w:id="156" w:name="_Toc18154"/>
      <w:bookmarkStart w:id="157" w:name="_Toc11271"/>
      <w:bookmarkStart w:id="158" w:name="_Toc362986223"/>
      <w:bookmarkStart w:id="159" w:name="_Hlk532890540"/>
      <w:r>
        <w:rPr>
          <w:rFonts w:hint="eastAsia" w:ascii="宋体_GB2312" w:hAnsi="宋体_GB2312" w:eastAsia="宋体_GB2312"/>
          <w:sz w:val="24"/>
          <w:szCs w:val="24"/>
        </w:rPr>
        <w:t>7其它技术指标和性能</w:t>
      </w:r>
      <w:bookmarkEnd w:id="154"/>
      <w:bookmarkEnd w:id="155"/>
      <w:bookmarkEnd w:id="156"/>
      <w:bookmarkEnd w:id="157"/>
    </w:p>
    <w:p>
      <w:pPr>
        <w:spacing w:before="163" w:beforeLines="50" w:line="300" w:lineRule="auto"/>
        <w:ind w:firstLine="480" w:firstLineChars="200"/>
        <w:rPr>
          <w:rFonts w:ascii="宋体_GB2312" w:hAnsi="宋体_GB2312" w:eastAsia="宋体_GB2312"/>
          <w:szCs w:val="24"/>
        </w:rPr>
      </w:pPr>
      <w:r>
        <w:rPr>
          <w:rFonts w:hint="eastAsia" w:ascii="宋体_GB2312" w:hAnsi="宋体_GB2312" w:eastAsia="宋体_GB2312"/>
        </w:rPr>
        <w:t>本</w:t>
      </w:r>
      <w:r>
        <w:rPr>
          <w:rFonts w:ascii="宋体_GB2312" w:hAnsi="宋体_GB2312" w:eastAsia="宋体_GB2312"/>
        </w:rPr>
        <w:t>技术规范书中</w:t>
      </w:r>
      <w:r>
        <w:rPr>
          <w:rFonts w:hint="eastAsia" w:ascii="宋体_GB2312" w:hAnsi="宋体_GB2312" w:eastAsia="宋体_GB2312"/>
        </w:rPr>
        <w:t>未</w:t>
      </w:r>
      <w:r>
        <w:rPr>
          <w:rFonts w:ascii="宋体_GB2312" w:hAnsi="宋体_GB2312" w:eastAsia="宋体_GB2312"/>
        </w:rPr>
        <w:t>规定的</w:t>
      </w:r>
      <w:r>
        <w:rPr>
          <w:rFonts w:hint="eastAsia" w:ascii="宋体_GB2312" w:hAnsi="宋体_GB2312" w:eastAsia="宋体_GB2312"/>
        </w:rPr>
        <w:t>其它</w:t>
      </w:r>
      <w:r>
        <w:rPr>
          <w:rFonts w:ascii="宋体_GB2312" w:hAnsi="宋体_GB2312" w:eastAsia="宋体_GB2312"/>
          <w:szCs w:val="24"/>
        </w:rPr>
        <w:t>技术</w:t>
      </w:r>
      <w:r>
        <w:rPr>
          <w:rFonts w:ascii="宋体_GB2312" w:hAnsi="宋体_GB2312" w:eastAsia="宋体_GB2312"/>
        </w:rPr>
        <w:t>指标</w:t>
      </w:r>
      <w:r>
        <w:rPr>
          <w:rFonts w:hint="eastAsia" w:ascii="宋体_GB2312" w:hAnsi="宋体_GB2312" w:eastAsia="宋体_GB2312"/>
        </w:rPr>
        <w:t>和性能</w:t>
      </w:r>
      <w:r>
        <w:rPr>
          <w:rFonts w:ascii="宋体_GB2312" w:hAnsi="宋体_GB2312" w:eastAsia="宋体_GB2312"/>
        </w:rPr>
        <w:t>，应满足</w:t>
      </w:r>
      <w:r>
        <w:rPr>
          <w:rFonts w:hint="eastAsia" w:ascii="宋体_GB2312" w:hAnsi="宋体_GB2312" w:eastAsia="宋体_GB2312"/>
        </w:rPr>
        <w:t>YD</w:t>
      </w:r>
      <w:r>
        <w:rPr>
          <w:rFonts w:ascii="宋体_GB2312" w:hAnsi="宋体_GB2312" w:eastAsia="宋体_GB2312"/>
        </w:rPr>
        <w:t>/</w:t>
      </w:r>
      <w:r>
        <w:rPr>
          <w:rFonts w:hint="eastAsia" w:ascii="宋体_GB2312" w:hAnsi="宋体_GB2312" w:eastAsia="宋体_GB2312"/>
        </w:rPr>
        <w:t>T 988-2015《 通信光缆交接箱》、</w:t>
      </w:r>
      <w:r>
        <w:rPr>
          <w:rFonts w:ascii="宋体_GB2312" w:hAnsi="宋体_GB2312" w:eastAsia="宋体_GB2312"/>
          <w:szCs w:val="24"/>
        </w:rPr>
        <w:t xml:space="preserve">YD/T 1272.3-2015《光纤活动连接器 </w:t>
      </w:r>
      <w:r>
        <w:rPr>
          <w:rFonts w:hint="eastAsia" w:ascii="宋体_GB2312" w:hAnsi="宋体_GB2312" w:eastAsia="宋体_GB2312"/>
          <w:szCs w:val="24"/>
        </w:rPr>
        <w:t>第</w:t>
      </w:r>
      <w:r>
        <w:rPr>
          <w:rFonts w:ascii="宋体_GB2312" w:hAnsi="宋体_GB2312" w:eastAsia="宋体_GB2312"/>
          <w:szCs w:val="24"/>
        </w:rPr>
        <w:t>3</w:t>
      </w:r>
      <w:r>
        <w:rPr>
          <w:rFonts w:hint="eastAsia" w:ascii="宋体_GB2312" w:hAnsi="宋体_GB2312" w:eastAsia="宋体_GB2312"/>
          <w:szCs w:val="24"/>
        </w:rPr>
        <w:t>部分：</w:t>
      </w:r>
      <w:r>
        <w:rPr>
          <w:rFonts w:ascii="宋体_GB2312" w:hAnsi="宋体_GB2312" w:eastAsia="宋体_GB2312"/>
          <w:szCs w:val="24"/>
        </w:rPr>
        <w:t xml:space="preserve"> SC型》、YD/T 1272.4-2018《光纤活动连接器 </w:t>
      </w:r>
      <w:r>
        <w:rPr>
          <w:rFonts w:hint="eastAsia" w:ascii="宋体_GB2312" w:hAnsi="宋体_GB2312" w:eastAsia="宋体_GB2312"/>
          <w:szCs w:val="24"/>
        </w:rPr>
        <w:t>第</w:t>
      </w:r>
      <w:r>
        <w:rPr>
          <w:rFonts w:ascii="宋体_GB2312" w:hAnsi="宋体_GB2312" w:eastAsia="宋体_GB2312"/>
          <w:szCs w:val="24"/>
        </w:rPr>
        <w:t>4</w:t>
      </w:r>
      <w:r>
        <w:rPr>
          <w:rFonts w:hint="eastAsia" w:ascii="宋体_GB2312" w:hAnsi="宋体_GB2312" w:eastAsia="宋体_GB2312"/>
          <w:szCs w:val="24"/>
        </w:rPr>
        <w:t>部分：</w:t>
      </w:r>
      <w:r>
        <w:rPr>
          <w:rFonts w:ascii="宋体_GB2312" w:hAnsi="宋体_GB2312" w:eastAsia="宋体_GB2312"/>
          <w:szCs w:val="24"/>
        </w:rPr>
        <w:t xml:space="preserve"> FC型》</w:t>
      </w:r>
      <w:r>
        <w:rPr>
          <w:rFonts w:hint="eastAsia" w:ascii="宋体_GB2312" w:hAnsi="宋体_GB2312" w:eastAsia="宋体_GB2312"/>
          <w:szCs w:val="24"/>
        </w:rPr>
        <w:t>等规范</w:t>
      </w:r>
      <w:r>
        <w:rPr>
          <w:rFonts w:ascii="宋体_GB2312" w:hAnsi="宋体_GB2312" w:eastAsia="宋体_GB2312"/>
          <w:szCs w:val="24"/>
        </w:rPr>
        <w:t>中的</w:t>
      </w:r>
      <w:r>
        <w:rPr>
          <w:rFonts w:hint="eastAsia" w:ascii="宋体_GB2312" w:hAnsi="宋体_GB2312" w:eastAsia="宋体_GB2312"/>
          <w:szCs w:val="24"/>
        </w:rPr>
        <w:t>规定</w:t>
      </w:r>
      <w:r>
        <w:rPr>
          <w:rFonts w:ascii="宋体_GB2312" w:hAnsi="宋体_GB2312" w:eastAsia="宋体_GB2312"/>
          <w:szCs w:val="24"/>
        </w:rPr>
        <w:t>要求</w:t>
      </w:r>
      <w:r>
        <w:rPr>
          <w:rFonts w:hint="eastAsia" w:ascii="宋体_GB2312" w:hAnsi="宋体_GB2312" w:eastAsia="宋体_GB2312"/>
        </w:rPr>
        <w:t>。</w:t>
      </w:r>
      <w:bookmarkEnd w:id="158"/>
      <w:bookmarkEnd w:id="159"/>
    </w:p>
    <w:p>
      <w:pPr>
        <w:pStyle w:val="77"/>
        <w:pageBreakBefore/>
        <w:numPr>
          <w:ilvl w:val="0"/>
          <w:numId w:val="11"/>
        </w:numPr>
        <w:spacing w:before="360" w:after="0" w:line="360" w:lineRule="auto"/>
        <w:ind w:firstLine="420" w:firstLineChars="200"/>
        <w:rPr>
          <w:rFonts w:ascii="宋体_GB2312" w:hAnsi="宋体_GB2312" w:eastAsia="宋体_GB2312"/>
          <w:szCs w:val="21"/>
        </w:rPr>
      </w:pPr>
      <w:r>
        <w:rPr>
          <w:rFonts w:ascii="宋体_GB2312" w:hAnsi="宋体_GB2312" w:eastAsia="宋体_GB2312"/>
          <w:szCs w:val="21"/>
        </w:rPr>
        <w:t xml:space="preserve">   </w:t>
      </w:r>
      <w:bookmarkStart w:id="160" w:name="_Toc20905"/>
      <w:bookmarkStart w:id="161" w:name="_Toc32263"/>
      <w:bookmarkStart w:id="162" w:name="_Toc27401431"/>
      <w:bookmarkStart w:id="163" w:name="_Toc30705"/>
      <w:r>
        <w:rPr>
          <w:rFonts w:hint="eastAsia" w:ascii="宋体_GB2312" w:hAnsi="宋体_GB2312" w:eastAsia="宋体_GB2312"/>
          <w:szCs w:val="21"/>
        </w:rPr>
        <w:t>免跳纤通信光缆交接箱</w:t>
      </w:r>
      <w:bookmarkEnd w:id="160"/>
      <w:bookmarkEnd w:id="161"/>
      <w:bookmarkEnd w:id="162"/>
      <w:bookmarkEnd w:id="163"/>
    </w:p>
    <w:p>
      <w:pPr>
        <w:spacing w:line="276" w:lineRule="auto"/>
        <w:ind w:firstLine="420" w:firstLineChars="200"/>
        <w:jc w:val="center"/>
        <w:rPr>
          <w:rFonts w:ascii="宋体_GB2312" w:hAnsi="宋体_GB2312" w:eastAsia="宋体_GB2312"/>
          <w:sz w:val="21"/>
          <w:szCs w:val="21"/>
        </w:rPr>
      </w:pPr>
      <w:r>
        <w:rPr>
          <w:rFonts w:hint="eastAsia" w:ascii="宋体_GB2312" w:hAnsi="宋体_GB2312" w:eastAsia="宋体_GB2312"/>
          <w:sz w:val="21"/>
          <w:szCs w:val="21"/>
        </w:rPr>
        <w:t>（标准性附录）</w:t>
      </w:r>
    </w:p>
    <w:p>
      <w:pPr>
        <w:pStyle w:val="78"/>
        <w:numPr>
          <w:ilvl w:val="1"/>
          <w:numId w:val="12"/>
        </w:numPr>
        <w:spacing w:before="163" w:after="163" w:line="276" w:lineRule="auto"/>
        <w:jc w:val="center"/>
        <w:rPr>
          <w:rFonts w:ascii="宋体_GB2312" w:hAnsi="宋体_GB2312" w:eastAsia="宋体_GB2312"/>
          <w:sz w:val="24"/>
          <w:szCs w:val="24"/>
        </w:rPr>
      </w:pPr>
      <w:bookmarkStart w:id="164" w:name="_Toc10634"/>
      <w:bookmarkStart w:id="165" w:name="_Toc27401432"/>
      <w:bookmarkStart w:id="166" w:name="_Toc277624958"/>
      <w:bookmarkStart w:id="167" w:name="_Toc282173837"/>
      <w:bookmarkStart w:id="168" w:name="_Toc14128"/>
      <w:bookmarkStart w:id="169" w:name="_Toc276577502"/>
      <w:bookmarkStart w:id="170" w:name="_Toc7213"/>
      <w:r>
        <w:rPr>
          <w:rFonts w:hint="eastAsia" w:ascii="宋体_GB2312" w:hAnsi="宋体_GB2312" w:eastAsia="宋体_GB2312"/>
          <w:sz w:val="24"/>
          <w:szCs w:val="24"/>
        </w:rPr>
        <w:t>免跳纤通信光缆交接箱</w:t>
      </w:r>
      <w:r>
        <w:rPr>
          <w:rFonts w:hint="eastAsia" w:ascii="宋体_GB2312" w:hAnsi="宋体_GB2312" w:eastAsia="宋体_GB2312"/>
          <w:kern w:val="44"/>
          <w:sz w:val="24"/>
          <w:szCs w:val="24"/>
        </w:rPr>
        <w:t>类型</w:t>
      </w:r>
      <w:r>
        <w:rPr>
          <w:rFonts w:hint="eastAsia" w:ascii="宋体_GB2312" w:hAnsi="宋体_GB2312" w:eastAsia="宋体_GB2312"/>
          <w:sz w:val="24"/>
          <w:szCs w:val="24"/>
        </w:rPr>
        <w:t>分类</w:t>
      </w:r>
      <w:bookmarkEnd w:id="164"/>
      <w:bookmarkEnd w:id="165"/>
      <w:bookmarkEnd w:id="166"/>
      <w:bookmarkEnd w:id="167"/>
      <w:bookmarkEnd w:id="168"/>
      <w:bookmarkEnd w:id="169"/>
      <w:bookmarkEnd w:id="170"/>
    </w:p>
    <w:p>
      <w:pPr>
        <w:pStyle w:val="62"/>
        <w:spacing w:line="276" w:lineRule="auto"/>
        <w:ind w:firstLine="480" w:firstLineChars="200"/>
        <w:rPr>
          <w:rFonts w:ascii="宋体_GB2312" w:hAnsi="宋体_GB2312" w:eastAsia="宋体_GB2312"/>
          <w:sz w:val="24"/>
          <w:szCs w:val="24"/>
        </w:rPr>
      </w:pPr>
      <w:r>
        <w:rPr>
          <w:rFonts w:hint="eastAsia" w:ascii="宋体_GB2312" w:hAnsi="宋体_GB2312" w:eastAsia="宋体_GB2312"/>
          <w:sz w:val="24"/>
          <w:szCs w:val="24"/>
        </w:rPr>
        <w:t>免跳纤通信光缆交接箱根据采用光分路器类型分为插片式光分路器型与盒式光分路器型两大类，满足室外落地、室内落地、室内外壁挂、架空安装。</w:t>
      </w:r>
    </w:p>
    <w:p>
      <w:pPr>
        <w:pStyle w:val="78"/>
        <w:numPr>
          <w:ilvl w:val="1"/>
          <w:numId w:val="12"/>
        </w:numPr>
        <w:spacing w:before="163" w:after="163" w:line="276" w:lineRule="auto"/>
        <w:jc w:val="center"/>
        <w:rPr>
          <w:rFonts w:ascii="宋体_GB2312" w:hAnsi="宋体_GB2312" w:eastAsia="宋体_GB2312"/>
          <w:sz w:val="24"/>
          <w:szCs w:val="24"/>
        </w:rPr>
      </w:pPr>
      <w:bookmarkStart w:id="171" w:name="_Toc276577503"/>
      <w:bookmarkStart w:id="172" w:name="_Toc282173838"/>
      <w:bookmarkStart w:id="173" w:name="_Toc277624959"/>
      <w:bookmarkStart w:id="174" w:name="_Toc276221814"/>
      <w:bookmarkStart w:id="175" w:name="_Toc276106498"/>
      <w:bookmarkStart w:id="176" w:name="_Toc28711"/>
      <w:bookmarkStart w:id="177" w:name="_Toc17481"/>
      <w:bookmarkStart w:id="178" w:name="_Toc27401433"/>
      <w:bookmarkStart w:id="179" w:name="_Toc23936"/>
      <w:r>
        <w:rPr>
          <w:rFonts w:hint="eastAsia" w:ascii="宋体_GB2312" w:hAnsi="宋体_GB2312" w:eastAsia="宋体_GB2312"/>
          <w:sz w:val="24"/>
          <w:szCs w:val="24"/>
        </w:rPr>
        <w:t>插片式光分路器型免跳纤通信光缆交接箱</w:t>
      </w:r>
      <w:bookmarkEnd w:id="171"/>
      <w:bookmarkEnd w:id="172"/>
      <w:bookmarkEnd w:id="173"/>
      <w:bookmarkEnd w:id="174"/>
      <w:bookmarkEnd w:id="175"/>
      <w:bookmarkEnd w:id="176"/>
      <w:bookmarkEnd w:id="177"/>
      <w:bookmarkEnd w:id="178"/>
      <w:bookmarkEnd w:id="179"/>
      <w:bookmarkStart w:id="180" w:name="_Toc276106499"/>
      <w:bookmarkStart w:id="181" w:name="_Toc276221815"/>
      <w:bookmarkStart w:id="182" w:name="_Toc276577504"/>
      <w:bookmarkStart w:id="183" w:name="_Toc277624960"/>
      <w:bookmarkStart w:id="184" w:name="_Toc282173839"/>
    </w:p>
    <w:p>
      <w:pPr>
        <w:pStyle w:val="62"/>
        <w:spacing w:line="276" w:lineRule="auto"/>
        <w:ind w:firstLine="480" w:firstLineChars="200"/>
        <w:rPr>
          <w:rFonts w:ascii="宋体_GB2312" w:hAnsi="宋体_GB2312" w:eastAsia="宋体_GB2312"/>
          <w:sz w:val="24"/>
          <w:szCs w:val="24"/>
        </w:rPr>
      </w:pPr>
      <w:r>
        <w:rPr>
          <w:rFonts w:hint="eastAsia" w:ascii="宋体_GB2312" w:hAnsi="宋体_GB2312" w:eastAsia="宋体_GB2312"/>
          <w:sz w:val="24"/>
          <w:szCs w:val="24"/>
        </w:rPr>
        <w:t>插片式光分路器型免跳纤通信光缆交接箱根据内部结构以及储纤方式的不同主要有</w:t>
      </w:r>
      <w:r>
        <w:rPr>
          <w:rFonts w:ascii="宋体_GB2312" w:hAnsi="宋体_GB2312" w:eastAsia="宋体_GB2312"/>
          <w:sz w:val="24"/>
          <w:szCs w:val="24"/>
        </w:rPr>
        <w:t>2类。</w:t>
      </w:r>
    </w:p>
    <w:p>
      <w:pPr>
        <w:pStyle w:val="62"/>
        <w:ind w:firstLine="480" w:firstLineChars="200"/>
        <w:rPr>
          <w:rFonts w:ascii="宋体_GB2312" w:hAnsi="宋体_GB2312" w:eastAsia="宋体_GB2312"/>
          <w:sz w:val="24"/>
          <w:szCs w:val="24"/>
        </w:rPr>
      </w:pPr>
      <w:r>
        <w:rPr>
          <w:rFonts w:ascii="宋体_GB2312" w:hAnsi="宋体_GB2312" w:eastAsia="宋体_GB2312"/>
          <w:sz w:val="24"/>
          <w:szCs w:val="24"/>
        </w:rPr>
        <w:t xml:space="preserve">A.2.1 </w:t>
      </w:r>
      <w:r>
        <w:rPr>
          <w:rFonts w:hint="eastAsia" w:ascii="宋体_GB2312" w:hAnsi="宋体_GB2312" w:eastAsia="宋体_GB2312"/>
          <w:sz w:val="24"/>
          <w:szCs w:val="24"/>
        </w:rPr>
        <w:t>插片式光分路器</w:t>
      </w:r>
      <w:r>
        <w:rPr>
          <w:rFonts w:ascii="宋体_GB2312" w:hAnsi="宋体_GB2312" w:eastAsia="宋体_GB2312"/>
          <w:sz w:val="24"/>
          <w:szCs w:val="24"/>
        </w:rPr>
        <w:t>I型</w:t>
      </w:r>
    </w:p>
    <w:p>
      <w:pPr>
        <w:pStyle w:val="62"/>
        <w:ind w:firstLine="480" w:firstLineChars="200"/>
        <w:rPr>
          <w:rFonts w:ascii="宋体_GB2312" w:hAnsi="宋体_GB2312" w:eastAsia="宋体_GB2312"/>
          <w:szCs w:val="21"/>
        </w:rPr>
      </w:pPr>
      <w:r>
        <w:rPr>
          <w:rFonts w:hint="eastAsia" w:ascii="宋体_GB2312" w:hAnsi="宋体_GB2312" w:eastAsia="宋体_GB2312"/>
          <w:sz w:val="24"/>
          <w:szCs w:val="24"/>
        </w:rPr>
        <w:t>（</w:t>
      </w:r>
      <w:r>
        <w:rPr>
          <w:rFonts w:ascii="宋体_GB2312" w:hAnsi="宋体_GB2312" w:eastAsia="宋体_GB2312"/>
          <w:sz w:val="24"/>
          <w:szCs w:val="24"/>
        </w:rPr>
        <w:t>1）箱体规格及容量配置见下表：</w:t>
      </w:r>
    </w:p>
    <w:tbl>
      <w:tblPr>
        <w:tblStyle w:val="37"/>
        <w:tblW w:w="9215"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9"/>
        <w:gridCol w:w="2126"/>
        <w:gridCol w:w="1985"/>
        <w:gridCol w:w="1417"/>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trPr>
        <w:tc>
          <w:tcPr>
            <w:tcW w:w="2269" w:type="dxa"/>
            <w:vAlign w:val="center"/>
          </w:tcPr>
          <w:p>
            <w:pPr>
              <w:spacing w:line="360" w:lineRule="auto"/>
              <w:ind w:firstLine="420" w:firstLineChars="200"/>
              <w:rPr>
                <w:rFonts w:ascii="宋体_GB2312" w:hAnsi="宋体_GB2312" w:eastAsia="宋体_GB2312" w:cs="Arial"/>
                <w:sz w:val="21"/>
                <w:szCs w:val="21"/>
              </w:rPr>
            </w:pPr>
            <w:r>
              <w:rPr>
                <w:rFonts w:hint="eastAsia" w:ascii="宋体_GB2312" w:hAnsi="宋体_GB2312" w:eastAsia="宋体_GB2312" w:cs="Arial"/>
                <w:sz w:val="21"/>
                <w:szCs w:val="21"/>
              </w:rPr>
              <w:t>规格</w:t>
            </w:r>
          </w:p>
        </w:tc>
        <w:tc>
          <w:tcPr>
            <w:tcW w:w="2126" w:type="dxa"/>
            <w:vAlign w:val="center"/>
          </w:tcPr>
          <w:p>
            <w:pPr>
              <w:spacing w:line="360" w:lineRule="auto"/>
              <w:ind w:firstLine="420" w:firstLineChars="200"/>
              <w:rPr>
                <w:rFonts w:ascii="宋体_GB2312" w:hAnsi="宋体_GB2312" w:eastAsia="宋体_GB2312" w:cs="Arial"/>
                <w:sz w:val="21"/>
                <w:szCs w:val="21"/>
              </w:rPr>
            </w:pPr>
            <w:r>
              <w:rPr>
                <w:rFonts w:hint="eastAsia" w:ascii="宋体_GB2312" w:hAnsi="宋体_GB2312" w:eastAsia="宋体_GB2312"/>
                <w:kern w:val="0"/>
                <w:sz w:val="21"/>
                <w:szCs w:val="21"/>
              </w:rPr>
              <w:t>托盘槽位</w:t>
            </w:r>
          </w:p>
        </w:tc>
        <w:tc>
          <w:tcPr>
            <w:tcW w:w="1985" w:type="dxa"/>
            <w:vAlign w:val="center"/>
          </w:tcPr>
          <w:p>
            <w:pPr>
              <w:ind w:firstLine="210" w:firstLineChars="100"/>
              <w:rPr>
                <w:rFonts w:ascii="宋体_GB2312" w:hAnsi="宋体_GB2312" w:eastAsia="宋体_GB2312"/>
                <w:kern w:val="0"/>
                <w:sz w:val="21"/>
                <w:szCs w:val="21"/>
              </w:rPr>
            </w:pPr>
            <w:r>
              <w:rPr>
                <w:rFonts w:hint="eastAsia" w:ascii="宋体_GB2312" w:hAnsi="宋体_GB2312" w:eastAsia="宋体_GB2312"/>
                <w:kern w:val="0"/>
                <w:sz w:val="21"/>
                <w:szCs w:val="21"/>
              </w:rPr>
              <w:t>过路熔接盘数量</w:t>
            </w:r>
          </w:p>
          <w:p>
            <w:pPr>
              <w:ind w:firstLine="420" w:firstLineChars="200"/>
              <w:rPr>
                <w:rFonts w:ascii="宋体_GB2312" w:hAnsi="宋体_GB2312" w:eastAsia="宋体_GB2312" w:cs="Arial"/>
                <w:sz w:val="21"/>
                <w:szCs w:val="21"/>
              </w:rPr>
            </w:pPr>
            <w:r>
              <w:rPr>
                <w:rFonts w:hint="eastAsia" w:ascii="宋体_GB2312" w:hAnsi="宋体_GB2312" w:eastAsia="宋体_GB2312" w:cs="Arial"/>
                <w:sz w:val="21"/>
                <w:szCs w:val="21"/>
              </w:rPr>
              <w:t>（选配）</w:t>
            </w:r>
          </w:p>
        </w:tc>
        <w:tc>
          <w:tcPr>
            <w:tcW w:w="1417" w:type="dxa"/>
            <w:vAlign w:val="center"/>
          </w:tcPr>
          <w:p>
            <w:pPr>
              <w:spacing w:line="360" w:lineRule="auto"/>
              <w:ind w:firstLine="105" w:firstLineChars="50"/>
              <w:rPr>
                <w:rFonts w:ascii="宋体_GB2312" w:hAnsi="宋体_GB2312" w:eastAsia="宋体_GB2312" w:cs="Arial"/>
                <w:sz w:val="21"/>
                <w:szCs w:val="21"/>
              </w:rPr>
            </w:pPr>
            <w:r>
              <w:rPr>
                <w:rFonts w:hint="eastAsia" w:ascii="宋体_GB2312" w:hAnsi="宋体_GB2312" w:eastAsia="宋体_GB2312" w:cs="Arial"/>
                <w:sz w:val="21"/>
                <w:szCs w:val="21"/>
              </w:rPr>
              <w:t>插片槽位</w:t>
            </w:r>
          </w:p>
        </w:tc>
        <w:tc>
          <w:tcPr>
            <w:tcW w:w="1418" w:type="dxa"/>
            <w:vAlign w:val="center"/>
          </w:tcPr>
          <w:p>
            <w:pPr>
              <w:spacing w:line="360" w:lineRule="auto"/>
              <w:ind w:firstLine="420" w:firstLineChars="200"/>
              <w:rPr>
                <w:rFonts w:ascii="宋体_GB2312" w:hAnsi="宋体_GB2312" w:eastAsia="宋体_GB2312" w:cs="Arial"/>
                <w:sz w:val="21"/>
                <w:szCs w:val="21"/>
              </w:rPr>
            </w:pPr>
            <w:r>
              <w:rPr>
                <w:rFonts w:hint="eastAsia" w:ascii="宋体_GB2312" w:hAnsi="宋体_GB2312" w:eastAsia="宋体_GB2312" w:cs="Arial"/>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3" w:hRule="atLeast"/>
        </w:trPr>
        <w:tc>
          <w:tcPr>
            <w:tcW w:w="2269" w:type="dxa"/>
            <w:vMerge w:val="restart"/>
            <w:vAlign w:val="center"/>
          </w:tcPr>
          <w:p>
            <w:pPr>
              <w:spacing w:line="360" w:lineRule="auto"/>
              <w:jc w:val="center"/>
              <w:rPr>
                <w:rFonts w:ascii="宋体_GB2312" w:hAnsi="宋体_GB2312" w:eastAsia="宋体_GB2312" w:cs="Arial"/>
                <w:bCs/>
                <w:sz w:val="21"/>
                <w:szCs w:val="21"/>
              </w:rPr>
            </w:pPr>
            <w:r>
              <w:rPr>
                <w:rFonts w:hint="eastAsia" w:ascii="宋体_GB2312" w:hAnsi="宋体_GB2312" w:eastAsia="宋体_GB2312"/>
                <w:sz w:val="21"/>
                <w:szCs w:val="21"/>
              </w:rPr>
              <w:t>插片式光分路器</w:t>
            </w:r>
            <w:r>
              <w:rPr>
                <w:rFonts w:ascii="宋体_GB2312" w:hAnsi="宋体_GB2312" w:eastAsia="宋体_GB2312"/>
                <w:sz w:val="21"/>
                <w:szCs w:val="21"/>
              </w:rPr>
              <w:t>I型</w:t>
            </w:r>
            <w:r>
              <w:rPr>
                <w:rFonts w:hint="eastAsia" w:ascii="宋体_GB2312" w:hAnsi="宋体_GB2312" w:eastAsia="宋体_GB2312"/>
                <w:kern w:val="0"/>
                <w:sz w:val="21"/>
                <w:szCs w:val="21"/>
              </w:rPr>
              <w:t>（</w:t>
            </w:r>
            <w:r>
              <w:rPr>
                <w:rFonts w:ascii="宋体_GB2312" w:hAnsi="宋体_GB2312" w:eastAsia="宋体_GB2312"/>
                <w:kern w:val="0"/>
                <w:sz w:val="21"/>
                <w:szCs w:val="21"/>
              </w:rPr>
              <w:t>SMC箱体）</w:t>
            </w:r>
          </w:p>
        </w:tc>
        <w:tc>
          <w:tcPr>
            <w:tcW w:w="2126" w:type="dxa"/>
            <w:vAlign w:val="center"/>
          </w:tcPr>
          <w:p>
            <w:pPr>
              <w:spacing w:line="360" w:lineRule="auto"/>
              <w:ind w:firstLine="315" w:firstLineChars="150"/>
              <w:jc w:val="center"/>
              <w:rPr>
                <w:rFonts w:ascii="宋体_GB2312" w:hAnsi="宋体_GB2312" w:eastAsia="宋体_GB2312" w:cs="Arial"/>
                <w:sz w:val="21"/>
                <w:szCs w:val="21"/>
              </w:rPr>
            </w:pPr>
            <w:r>
              <w:rPr>
                <w:rFonts w:ascii="宋体_GB2312" w:hAnsi="宋体_GB2312" w:eastAsia="宋体_GB2312" w:cs="Arial"/>
                <w:sz w:val="21"/>
                <w:szCs w:val="21"/>
              </w:rPr>
              <w:t>14（共168芯）</w:t>
            </w:r>
          </w:p>
        </w:tc>
        <w:tc>
          <w:tcPr>
            <w:tcW w:w="1985"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6（共72芯）</w:t>
            </w:r>
          </w:p>
        </w:tc>
        <w:tc>
          <w:tcPr>
            <w:tcW w:w="1417"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12</w:t>
            </w:r>
          </w:p>
        </w:tc>
        <w:tc>
          <w:tcPr>
            <w:tcW w:w="1418" w:type="dxa"/>
            <w:vAlign w:val="center"/>
          </w:tcPr>
          <w:p>
            <w:pPr>
              <w:spacing w:line="360" w:lineRule="auto"/>
              <w:jc w:val="center"/>
              <w:rPr>
                <w:rFonts w:ascii="宋体_GB2312" w:hAnsi="宋体_GB2312" w:eastAsia="宋体_GB2312" w:cs="Arial"/>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3" w:hRule="atLeast"/>
        </w:trPr>
        <w:tc>
          <w:tcPr>
            <w:tcW w:w="2269"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2126" w:type="dxa"/>
            <w:vAlign w:val="center"/>
          </w:tcPr>
          <w:p>
            <w:pPr>
              <w:spacing w:line="360" w:lineRule="auto"/>
              <w:ind w:firstLine="315" w:firstLineChars="150"/>
              <w:jc w:val="center"/>
              <w:rPr>
                <w:rFonts w:ascii="宋体_GB2312" w:hAnsi="宋体_GB2312" w:eastAsia="宋体_GB2312" w:cs="Arial"/>
                <w:sz w:val="21"/>
                <w:szCs w:val="21"/>
              </w:rPr>
            </w:pPr>
            <w:r>
              <w:rPr>
                <w:rFonts w:ascii="宋体_GB2312" w:hAnsi="宋体_GB2312" w:eastAsia="宋体_GB2312" w:cs="Arial"/>
                <w:sz w:val="21"/>
                <w:szCs w:val="21"/>
              </w:rPr>
              <w:t>28（共336芯）</w:t>
            </w:r>
          </w:p>
        </w:tc>
        <w:tc>
          <w:tcPr>
            <w:tcW w:w="1985"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12（共144芯）</w:t>
            </w:r>
          </w:p>
        </w:tc>
        <w:tc>
          <w:tcPr>
            <w:tcW w:w="1417"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28</w:t>
            </w:r>
          </w:p>
        </w:tc>
        <w:tc>
          <w:tcPr>
            <w:tcW w:w="1418" w:type="dxa"/>
            <w:vAlign w:val="center"/>
          </w:tcPr>
          <w:p>
            <w:pPr>
              <w:spacing w:line="360" w:lineRule="auto"/>
              <w:jc w:val="center"/>
              <w:rPr>
                <w:rFonts w:ascii="宋体_GB2312" w:hAnsi="宋体_GB2312" w:eastAsia="宋体_GB2312"/>
                <w:kern w:val="0"/>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3" w:hRule="atLeast"/>
        </w:trPr>
        <w:tc>
          <w:tcPr>
            <w:tcW w:w="2269"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2126" w:type="dxa"/>
            <w:vAlign w:val="center"/>
          </w:tcPr>
          <w:p>
            <w:pPr>
              <w:spacing w:line="360" w:lineRule="auto"/>
              <w:ind w:firstLine="315" w:firstLineChars="150"/>
              <w:jc w:val="center"/>
              <w:rPr>
                <w:rFonts w:ascii="宋体_GB2312" w:hAnsi="宋体_GB2312" w:eastAsia="宋体_GB2312" w:cs="Arial"/>
                <w:sz w:val="21"/>
                <w:szCs w:val="21"/>
              </w:rPr>
            </w:pPr>
            <w:r>
              <w:rPr>
                <w:rFonts w:ascii="宋体_GB2312" w:hAnsi="宋体_GB2312" w:eastAsia="宋体_GB2312" w:cs="Arial"/>
                <w:sz w:val="21"/>
                <w:szCs w:val="21"/>
              </w:rPr>
              <w:t>54（共648芯）</w:t>
            </w:r>
          </w:p>
        </w:tc>
        <w:tc>
          <w:tcPr>
            <w:tcW w:w="1985"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24（共288芯）</w:t>
            </w:r>
          </w:p>
        </w:tc>
        <w:tc>
          <w:tcPr>
            <w:tcW w:w="1417"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54</w:t>
            </w:r>
          </w:p>
        </w:tc>
        <w:tc>
          <w:tcPr>
            <w:tcW w:w="1418" w:type="dxa"/>
            <w:vAlign w:val="center"/>
          </w:tcPr>
          <w:p>
            <w:pPr>
              <w:spacing w:line="360" w:lineRule="auto"/>
              <w:jc w:val="center"/>
              <w:rPr>
                <w:rFonts w:ascii="宋体_GB2312" w:hAnsi="宋体_GB2312" w:eastAsia="宋体_GB2312" w:cs="Arial"/>
                <w:sz w:val="21"/>
                <w:szCs w:val="21"/>
              </w:rPr>
            </w:pPr>
            <w:r>
              <w:rPr>
                <w:rFonts w:hint="eastAsia" w:ascii="宋体_GB2312" w:hAnsi="宋体_GB2312" w:eastAsia="宋体_GB2312"/>
                <w:kern w:val="0"/>
                <w:sz w:val="21"/>
                <w:szCs w:val="21"/>
              </w:rPr>
              <w:t>双</w:t>
            </w:r>
            <w:r>
              <w:rPr>
                <w:rFonts w:ascii="宋体_GB2312" w:hAnsi="宋体_GB2312" w:eastAsia="宋体_GB2312"/>
                <w:kern w:val="0"/>
                <w:sz w:val="21"/>
                <w:szCs w:val="21"/>
              </w:rPr>
              <w:t>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3" w:hRule="atLeast"/>
        </w:trPr>
        <w:tc>
          <w:tcPr>
            <w:tcW w:w="2269" w:type="dxa"/>
            <w:vMerge w:val="restart"/>
            <w:vAlign w:val="center"/>
          </w:tcPr>
          <w:p>
            <w:pPr>
              <w:spacing w:line="360" w:lineRule="auto"/>
              <w:jc w:val="center"/>
              <w:rPr>
                <w:rFonts w:ascii="宋体_GB2312" w:hAnsi="宋体_GB2312" w:eastAsia="宋体_GB2312" w:cs="Arial"/>
                <w:bCs/>
                <w:sz w:val="21"/>
                <w:szCs w:val="21"/>
              </w:rPr>
            </w:pPr>
            <w:r>
              <w:rPr>
                <w:rFonts w:hint="eastAsia" w:ascii="宋体_GB2312" w:hAnsi="宋体_GB2312" w:eastAsia="宋体_GB2312"/>
                <w:sz w:val="21"/>
                <w:szCs w:val="21"/>
              </w:rPr>
              <w:t>插片式光分路器</w:t>
            </w:r>
            <w:r>
              <w:rPr>
                <w:rFonts w:ascii="宋体_GB2312" w:hAnsi="宋体_GB2312" w:eastAsia="宋体_GB2312"/>
                <w:sz w:val="21"/>
                <w:szCs w:val="21"/>
              </w:rPr>
              <w:t>I型</w:t>
            </w:r>
            <w:r>
              <w:rPr>
                <w:rFonts w:hint="eastAsia" w:ascii="宋体_GB2312" w:hAnsi="宋体_GB2312" w:eastAsia="宋体_GB2312"/>
                <w:kern w:val="0"/>
                <w:sz w:val="21"/>
                <w:szCs w:val="21"/>
              </w:rPr>
              <w:t>（金属箱体）</w:t>
            </w:r>
          </w:p>
        </w:tc>
        <w:tc>
          <w:tcPr>
            <w:tcW w:w="2126" w:type="dxa"/>
            <w:vAlign w:val="center"/>
          </w:tcPr>
          <w:p>
            <w:pPr>
              <w:spacing w:line="360" w:lineRule="auto"/>
              <w:ind w:firstLine="315" w:firstLineChars="150"/>
              <w:jc w:val="center"/>
              <w:rPr>
                <w:rFonts w:ascii="宋体_GB2312" w:hAnsi="宋体_GB2312" w:eastAsia="宋体_GB2312" w:cs="Arial"/>
                <w:sz w:val="21"/>
                <w:szCs w:val="21"/>
              </w:rPr>
            </w:pPr>
            <w:r>
              <w:rPr>
                <w:rFonts w:ascii="宋体_GB2312" w:hAnsi="宋体_GB2312" w:eastAsia="宋体_GB2312" w:cs="Arial"/>
                <w:sz w:val="21"/>
                <w:szCs w:val="21"/>
              </w:rPr>
              <w:t>14（共168芯）</w:t>
            </w:r>
          </w:p>
        </w:tc>
        <w:tc>
          <w:tcPr>
            <w:tcW w:w="1985"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6（共72芯）</w:t>
            </w:r>
          </w:p>
        </w:tc>
        <w:tc>
          <w:tcPr>
            <w:tcW w:w="1417"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12</w:t>
            </w:r>
          </w:p>
        </w:tc>
        <w:tc>
          <w:tcPr>
            <w:tcW w:w="1418" w:type="dxa"/>
            <w:vAlign w:val="center"/>
          </w:tcPr>
          <w:p>
            <w:pPr>
              <w:spacing w:line="360" w:lineRule="auto"/>
              <w:jc w:val="center"/>
              <w:rPr>
                <w:rFonts w:ascii="宋体_GB2312" w:hAnsi="宋体_GB2312" w:eastAsia="宋体_GB2312"/>
                <w:kern w:val="0"/>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3" w:hRule="atLeast"/>
        </w:trPr>
        <w:tc>
          <w:tcPr>
            <w:tcW w:w="2269"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2126" w:type="dxa"/>
            <w:vAlign w:val="center"/>
          </w:tcPr>
          <w:p>
            <w:pPr>
              <w:spacing w:line="360" w:lineRule="auto"/>
              <w:ind w:firstLine="315" w:firstLineChars="150"/>
              <w:jc w:val="center"/>
              <w:rPr>
                <w:rFonts w:ascii="宋体_GB2312" w:hAnsi="宋体_GB2312" w:eastAsia="宋体_GB2312" w:cs="Arial"/>
                <w:sz w:val="21"/>
                <w:szCs w:val="21"/>
              </w:rPr>
            </w:pPr>
            <w:r>
              <w:rPr>
                <w:rFonts w:ascii="宋体_GB2312" w:hAnsi="宋体_GB2312" w:eastAsia="宋体_GB2312" w:cs="Arial"/>
                <w:sz w:val="21"/>
                <w:szCs w:val="21"/>
              </w:rPr>
              <w:t>28（共336芯）</w:t>
            </w:r>
          </w:p>
        </w:tc>
        <w:tc>
          <w:tcPr>
            <w:tcW w:w="1985"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12（共144芯）</w:t>
            </w:r>
          </w:p>
        </w:tc>
        <w:tc>
          <w:tcPr>
            <w:tcW w:w="1417"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28</w:t>
            </w:r>
          </w:p>
        </w:tc>
        <w:tc>
          <w:tcPr>
            <w:tcW w:w="1418" w:type="dxa"/>
            <w:vAlign w:val="center"/>
          </w:tcPr>
          <w:p>
            <w:pPr>
              <w:spacing w:line="360" w:lineRule="auto"/>
              <w:jc w:val="center"/>
              <w:rPr>
                <w:rFonts w:ascii="宋体_GB2312" w:hAnsi="宋体_GB2312" w:eastAsia="宋体_GB2312" w:cs="Arial"/>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3" w:hRule="atLeast"/>
        </w:trPr>
        <w:tc>
          <w:tcPr>
            <w:tcW w:w="2269"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2126" w:type="dxa"/>
            <w:vAlign w:val="center"/>
          </w:tcPr>
          <w:p>
            <w:pPr>
              <w:spacing w:line="360" w:lineRule="auto"/>
              <w:ind w:firstLine="315" w:firstLineChars="150"/>
              <w:jc w:val="center"/>
              <w:rPr>
                <w:rFonts w:ascii="宋体_GB2312" w:hAnsi="宋体_GB2312" w:eastAsia="宋体_GB2312" w:cs="Arial"/>
                <w:sz w:val="21"/>
                <w:szCs w:val="21"/>
              </w:rPr>
            </w:pPr>
            <w:r>
              <w:rPr>
                <w:rFonts w:ascii="宋体_GB2312" w:hAnsi="宋体_GB2312" w:eastAsia="宋体_GB2312" w:cs="Arial"/>
                <w:sz w:val="21"/>
                <w:szCs w:val="21"/>
              </w:rPr>
              <w:t>54（共648芯）</w:t>
            </w:r>
          </w:p>
        </w:tc>
        <w:tc>
          <w:tcPr>
            <w:tcW w:w="1985"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24（共288芯）</w:t>
            </w:r>
          </w:p>
        </w:tc>
        <w:tc>
          <w:tcPr>
            <w:tcW w:w="1417"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54</w:t>
            </w:r>
          </w:p>
        </w:tc>
        <w:tc>
          <w:tcPr>
            <w:tcW w:w="1418" w:type="dxa"/>
            <w:vAlign w:val="center"/>
          </w:tcPr>
          <w:p>
            <w:pPr>
              <w:spacing w:line="360" w:lineRule="auto"/>
              <w:jc w:val="center"/>
              <w:rPr>
                <w:rFonts w:ascii="宋体_GB2312" w:hAnsi="宋体_GB2312" w:eastAsia="宋体_GB2312"/>
                <w:kern w:val="0"/>
                <w:sz w:val="21"/>
                <w:szCs w:val="21"/>
              </w:rPr>
            </w:pPr>
            <w:r>
              <w:rPr>
                <w:rFonts w:hint="eastAsia" w:ascii="宋体_GB2312" w:hAnsi="宋体_GB2312" w:eastAsia="宋体_GB2312"/>
                <w:kern w:val="0"/>
                <w:sz w:val="21"/>
                <w:szCs w:val="21"/>
              </w:rPr>
              <w:t>双</w:t>
            </w:r>
            <w:r>
              <w:rPr>
                <w:rFonts w:ascii="宋体_GB2312" w:hAnsi="宋体_GB2312" w:eastAsia="宋体_GB2312"/>
                <w:kern w:val="0"/>
                <w:sz w:val="21"/>
                <w:szCs w:val="21"/>
              </w:rPr>
              <w:t>面操作</w:t>
            </w:r>
          </w:p>
        </w:tc>
      </w:tr>
    </w:tbl>
    <w:p>
      <w:pPr>
        <w:ind w:firstLine="420" w:firstLineChars="200"/>
        <w:rPr>
          <w:rFonts w:ascii="宋体_GB2312" w:hAnsi="宋体_GB2312" w:eastAsia="宋体_GB2312"/>
          <w:sz w:val="21"/>
          <w:szCs w:val="21"/>
        </w:rPr>
      </w:pPr>
    </w:p>
    <w:p>
      <w:pPr>
        <w:pStyle w:val="62"/>
        <w:spacing w:line="240" w:lineRule="auto"/>
        <w:ind w:firstLine="480" w:firstLineChars="200"/>
        <w:rPr>
          <w:rFonts w:ascii="宋体_GB2312" w:hAnsi="宋体_GB2312" w:eastAsia="宋体_GB2312"/>
          <w:sz w:val="24"/>
          <w:szCs w:val="24"/>
        </w:rPr>
      </w:pPr>
      <w:r>
        <w:rPr>
          <w:rFonts w:hint="eastAsia" w:ascii="宋体_GB2312" w:hAnsi="宋体_GB2312" w:eastAsia="宋体_GB2312"/>
          <w:sz w:val="24"/>
          <w:szCs w:val="24"/>
        </w:rPr>
        <w:t>（</w:t>
      </w:r>
      <w:r>
        <w:rPr>
          <w:rFonts w:ascii="宋体_GB2312" w:hAnsi="宋体_GB2312" w:eastAsia="宋体_GB2312"/>
          <w:sz w:val="24"/>
          <w:szCs w:val="24"/>
        </w:rPr>
        <w:t>2）内部</w:t>
      </w:r>
      <w:bookmarkEnd w:id="180"/>
      <w:bookmarkEnd w:id="181"/>
      <w:r>
        <w:rPr>
          <w:rFonts w:hint="eastAsia" w:ascii="宋体_GB2312" w:hAnsi="宋体_GB2312" w:eastAsia="宋体_GB2312"/>
          <w:sz w:val="24"/>
          <w:szCs w:val="24"/>
        </w:rPr>
        <w:t>结构</w:t>
      </w:r>
      <w:bookmarkEnd w:id="182"/>
      <w:bookmarkEnd w:id="183"/>
      <w:bookmarkEnd w:id="184"/>
      <w:r>
        <w:rPr>
          <w:rFonts w:hint="eastAsia" w:ascii="宋体_GB2312" w:hAnsi="宋体_GB2312" w:eastAsia="宋体_GB2312"/>
          <w:sz w:val="24"/>
          <w:szCs w:val="24"/>
        </w:rPr>
        <w:t>示意图</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966085" cy="2878455"/>
            <wp:effectExtent l="0" t="0" r="0" b="0"/>
            <wp:docPr id="20" name="图片 20" descr="[8]$CN8Q%1OU6_Z`~)$7K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8]$CN8Q%1OU6_Z`~)$7K3A"/>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966085" cy="2878455"/>
                    </a:xfrm>
                    <a:prstGeom prst="rect">
                      <a:avLst/>
                    </a:prstGeom>
                    <a:noFill/>
                    <a:ln>
                      <a:noFill/>
                    </a:ln>
                  </pic:spPr>
                </pic:pic>
              </a:graphicData>
            </a:graphic>
          </wp:inline>
        </w:drawing>
      </w:r>
      <w:r>
        <w:rPr>
          <w:rFonts w:ascii="宋体_GB2312" w:hAnsi="宋体_GB2312" w:eastAsia="宋体_GB2312" w:cs="宋体"/>
          <w:kern w:val="0"/>
          <w:szCs w:val="24"/>
        </w:rPr>
        <w:drawing>
          <wp:inline distT="0" distB="0" distL="0" distR="0">
            <wp:extent cx="2385695" cy="2774950"/>
            <wp:effectExtent l="0" t="0" r="0" b="0"/>
            <wp:docPr id="21" name="图片 21" descr="6(XSW%RGH1@SLJNZ@8I19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6(XSW%RGH1@SLJNZ@8I19Q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385695" cy="277495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1：144芯箱体内部结构图                 图2：144芯箱体走线示意图</w:t>
      </w:r>
      <w:r>
        <w:rPr>
          <w:rFonts w:ascii="宋体_GB2312" w:hAnsi="宋体_GB2312" w:eastAsia="宋体_GB2312"/>
          <w:szCs w:val="21"/>
        </w:rPr>
        <w:t xml:space="preserve">  </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901950" cy="2941955"/>
            <wp:effectExtent l="0" t="0" r="0" b="0"/>
            <wp:docPr id="22" name="图片 22" descr="BHG89S6ZC%]E%J@1Y}%~H$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BHG89S6ZC%]E%J@1Y}%~H$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901950" cy="2941955"/>
                    </a:xfrm>
                    <a:prstGeom prst="rect">
                      <a:avLst/>
                    </a:prstGeom>
                    <a:noFill/>
                    <a:ln>
                      <a:noFill/>
                    </a:ln>
                  </pic:spPr>
                </pic:pic>
              </a:graphicData>
            </a:graphic>
          </wp:inline>
        </w:drawing>
      </w:r>
      <w:r>
        <w:rPr>
          <w:rFonts w:ascii="宋体_GB2312" w:hAnsi="宋体_GB2312" w:eastAsia="宋体_GB2312"/>
        </w:rPr>
        <w:t xml:space="preserve"> </w:t>
      </w:r>
      <w:r>
        <w:rPr>
          <w:rFonts w:ascii="宋体_GB2312" w:hAnsi="宋体_GB2312" w:eastAsia="宋体_GB2312" w:cs="宋体"/>
          <w:kern w:val="0"/>
          <w:szCs w:val="24"/>
        </w:rPr>
        <w:drawing>
          <wp:inline distT="0" distB="0" distL="0" distR="0">
            <wp:extent cx="2393315" cy="2878455"/>
            <wp:effectExtent l="0" t="0" r="0" b="0"/>
            <wp:docPr id="23" name="图片 23" descr="I9BUT5DP3EW917SB7J4QPQ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9BUT5DP3EW917SB7J4QPQ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393315" cy="2878455"/>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3：288芯箱体内部结构图                图4：288芯箱体走线示意图</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6003290" cy="3307715"/>
            <wp:effectExtent l="0" t="0" r="0" b="0"/>
            <wp:docPr id="24" name="图片 24" descr="`%OTNA@[]R5M7GIW2]KTZ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OTNA@[]R5M7GIW2]KTZM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003290" cy="3307715"/>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5：576芯箱体内部结构图</w:t>
      </w:r>
    </w:p>
    <w:p>
      <w:pPr>
        <w:autoSpaceDE w:val="0"/>
        <w:autoSpaceDN w:val="0"/>
        <w:adjustRightInd w:val="0"/>
        <w:spacing w:line="360" w:lineRule="auto"/>
        <w:ind w:firstLine="420" w:firstLineChars="200"/>
        <w:jc w:val="center"/>
        <w:rPr>
          <w:rFonts w:ascii="宋体_GB2312" w:hAnsi="宋体_GB2312" w:eastAsia="宋体_GB2312"/>
          <w:kern w:val="0"/>
          <w:sz w:val="21"/>
          <w:szCs w:val="21"/>
        </w:rPr>
      </w:pP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5430520" cy="3133090"/>
            <wp:effectExtent l="0" t="0" r="0" b="0"/>
            <wp:docPr id="25" name="图片 25" descr="JZT@3A]I`BBRFN%$W6CZD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JZT@3A]I`BBRFN%$W6CZD0B"/>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430520" cy="313309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6：576芯箱体走线示意图</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（3）主要工作单元结构</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1）光分单元</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光分单元由光分框和光分插片组成，用于光分插片的安装</w:t>
      </w:r>
      <w:r>
        <w:rPr>
          <w:rFonts w:hint="eastAsia" w:ascii="宋体_GB2312" w:hAnsi="宋体_GB2312" w:eastAsia="宋体_GB2312"/>
          <w:sz w:val="24"/>
          <w:szCs w:val="24"/>
        </w:rPr>
        <w:t>。</w:t>
      </w:r>
      <w:r>
        <w:rPr>
          <w:rFonts w:ascii="宋体_GB2312" w:hAnsi="宋体_GB2312" w:eastAsia="宋体_GB2312"/>
          <w:sz w:val="24"/>
          <w:szCs w:val="24"/>
        </w:rPr>
        <w:t xml:space="preserve"> </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1757045" cy="2011680"/>
            <wp:effectExtent l="0" t="0" r="0" b="0"/>
            <wp:docPr id="26" name="图片 26" descr="VJ9KF}YBDBD0TJCWFJ14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VJ9KF}YBDBD0TJCWFJ14A$W"/>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1757045" cy="201168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7：光分框示意图</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2）主干光缆熔接单元</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主干光缆熔接单元由12芯熔配一体化托盘组成，用于主干光缆（</w:t>
      </w:r>
      <w:r>
        <w:rPr>
          <w:rFonts w:hint="eastAsia" w:ascii="宋体_GB2312" w:hAnsi="宋体_GB2312" w:eastAsia="宋体_GB2312"/>
          <w:sz w:val="24"/>
          <w:szCs w:val="24"/>
        </w:rPr>
        <w:t>局向</w:t>
      </w:r>
      <w:r>
        <w:rPr>
          <w:rFonts w:ascii="宋体_GB2312" w:hAnsi="宋体_GB2312" w:eastAsia="宋体_GB2312"/>
          <w:sz w:val="24"/>
          <w:szCs w:val="24"/>
        </w:rPr>
        <w:t>光缆）的</w:t>
      </w:r>
      <w:r>
        <w:rPr>
          <w:rFonts w:hint="eastAsia" w:ascii="宋体_GB2312" w:hAnsi="宋体_GB2312" w:eastAsia="宋体_GB2312"/>
          <w:sz w:val="24"/>
          <w:szCs w:val="24"/>
        </w:rPr>
        <w:t>成</w:t>
      </w:r>
      <w:r>
        <w:rPr>
          <w:rFonts w:ascii="宋体_GB2312" w:hAnsi="宋体_GB2312" w:eastAsia="宋体_GB2312"/>
          <w:sz w:val="24"/>
          <w:szCs w:val="24"/>
        </w:rPr>
        <w:t>端，采用标准一体化托盘</w:t>
      </w:r>
      <w:r>
        <w:rPr>
          <w:rFonts w:hint="eastAsia" w:ascii="宋体_GB2312" w:hAnsi="宋体_GB2312" w:eastAsia="宋体_GB2312"/>
          <w:sz w:val="24"/>
          <w:szCs w:val="24"/>
        </w:rPr>
        <w:t>，可安装标准</w:t>
      </w:r>
      <w:r>
        <w:rPr>
          <w:rFonts w:ascii="宋体_GB2312" w:hAnsi="宋体_GB2312" w:eastAsia="宋体_GB2312"/>
          <w:sz w:val="24"/>
          <w:szCs w:val="24"/>
        </w:rPr>
        <w:t xml:space="preserve">FC或SC适配器。 </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12芯熔配一体化托盘为左出纤或右出纤设计，满足外缆的熔接、尾纤的存贮、成端等功能。托盘材料采用阻燃ABS、颜色为PANTONE 3405U，盖板材料采用阻燃ABS、颜色为PANTONE 427U。</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989580" cy="2480945"/>
            <wp:effectExtent l="0" t="0" r="0" b="0"/>
            <wp:docPr id="27" name="图片 27" descr="A[`%K]B7XT)12NIREDP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A[`%K]B7XT)12NIREDPT%{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989580" cy="2480945"/>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8：12芯熔配一体化托盘</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3）配</w:t>
      </w:r>
      <w:r>
        <w:rPr>
          <w:rFonts w:hint="eastAsia" w:ascii="宋体_GB2312" w:hAnsi="宋体_GB2312" w:eastAsia="宋体_GB2312"/>
          <w:sz w:val="24"/>
          <w:szCs w:val="24"/>
        </w:rPr>
        <w:t>线光</w:t>
      </w:r>
      <w:r>
        <w:rPr>
          <w:rFonts w:ascii="宋体_GB2312" w:hAnsi="宋体_GB2312" w:eastAsia="宋体_GB2312"/>
          <w:sz w:val="24"/>
          <w:szCs w:val="24"/>
        </w:rPr>
        <w:t>缆熔接单元</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配</w:t>
      </w:r>
      <w:r>
        <w:rPr>
          <w:rFonts w:hint="eastAsia" w:ascii="宋体_GB2312" w:hAnsi="宋体_GB2312" w:eastAsia="宋体_GB2312"/>
          <w:sz w:val="24"/>
          <w:szCs w:val="24"/>
        </w:rPr>
        <w:t>线光</w:t>
      </w:r>
      <w:r>
        <w:rPr>
          <w:rFonts w:ascii="宋体_GB2312" w:hAnsi="宋体_GB2312" w:eastAsia="宋体_GB2312"/>
          <w:sz w:val="24"/>
          <w:szCs w:val="24"/>
        </w:rPr>
        <w:t>缆熔接单元</w:t>
      </w:r>
      <w:r>
        <w:rPr>
          <w:rFonts w:hint="eastAsia" w:ascii="宋体_GB2312" w:hAnsi="宋体_GB2312" w:eastAsia="宋体_GB2312"/>
          <w:sz w:val="24"/>
          <w:szCs w:val="24"/>
        </w:rPr>
        <w:t>由</w:t>
      </w:r>
      <w:r>
        <w:rPr>
          <w:rFonts w:ascii="宋体_GB2312" w:hAnsi="宋体_GB2312" w:eastAsia="宋体_GB2312"/>
          <w:sz w:val="24"/>
          <w:szCs w:val="24"/>
        </w:rPr>
        <w:t>12芯熔接存储一体化托盘组成，应同时具备</w:t>
      </w:r>
      <w:r>
        <w:rPr>
          <w:rFonts w:hint="eastAsia" w:ascii="宋体_GB2312" w:hAnsi="宋体_GB2312" w:eastAsia="宋体_GB2312"/>
          <w:sz w:val="24"/>
          <w:szCs w:val="24"/>
        </w:rPr>
        <w:t>熔接、存</w:t>
      </w:r>
      <w:r>
        <w:rPr>
          <w:rFonts w:ascii="宋体_GB2312" w:hAnsi="宋体_GB2312" w:eastAsia="宋体_GB2312"/>
          <w:sz w:val="24"/>
          <w:szCs w:val="24"/>
        </w:rPr>
        <w:t>储</w:t>
      </w:r>
      <w:r>
        <w:rPr>
          <w:rFonts w:hint="eastAsia" w:ascii="宋体_GB2312" w:hAnsi="宋体_GB2312" w:eastAsia="宋体_GB2312"/>
          <w:sz w:val="24"/>
          <w:szCs w:val="24"/>
        </w:rPr>
        <w:t>尾纤</w:t>
      </w:r>
      <w:r>
        <w:rPr>
          <w:rFonts w:ascii="宋体_GB2312" w:hAnsi="宋体_GB2312" w:eastAsia="宋体_GB2312"/>
          <w:sz w:val="24"/>
          <w:szCs w:val="24"/>
        </w:rPr>
        <w:t>的功能，用于配</w:t>
      </w:r>
      <w:r>
        <w:rPr>
          <w:rFonts w:hint="eastAsia" w:ascii="宋体_GB2312" w:hAnsi="宋体_GB2312" w:eastAsia="宋体_GB2312"/>
          <w:sz w:val="24"/>
          <w:szCs w:val="24"/>
        </w:rPr>
        <w:t>线光</w:t>
      </w:r>
      <w:r>
        <w:rPr>
          <w:rFonts w:ascii="宋体_GB2312" w:hAnsi="宋体_GB2312" w:eastAsia="宋体_GB2312"/>
          <w:sz w:val="24"/>
          <w:szCs w:val="24"/>
        </w:rPr>
        <w:t>缆纤芯</w:t>
      </w:r>
      <w:r>
        <w:rPr>
          <w:rFonts w:hint="eastAsia" w:ascii="宋体_GB2312" w:hAnsi="宋体_GB2312" w:eastAsia="宋体_GB2312"/>
          <w:sz w:val="24"/>
          <w:szCs w:val="24"/>
        </w:rPr>
        <w:t>的终</w:t>
      </w:r>
      <w:r>
        <w:rPr>
          <w:rFonts w:ascii="宋体_GB2312" w:hAnsi="宋体_GB2312" w:eastAsia="宋体_GB2312"/>
          <w:sz w:val="24"/>
          <w:szCs w:val="24"/>
        </w:rPr>
        <w:t>端和</w:t>
      </w:r>
      <w:r>
        <w:rPr>
          <w:rFonts w:hint="eastAsia" w:ascii="宋体_GB2312" w:hAnsi="宋体_GB2312" w:eastAsia="宋体_GB2312"/>
          <w:sz w:val="24"/>
          <w:szCs w:val="24"/>
        </w:rPr>
        <w:t>尾纤</w:t>
      </w:r>
      <w:r>
        <w:rPr>
          <w:rFonts w:ascii="宋体_GB2312" w:hAnsi="宋体_GB2312" w:eastAsia="宋体_GB2312"/>
          <w:sz w:val="24"/>
          <w:szCs w:val="24"/>
        </w:rPr>
        <w:t>储存</w:t>
      </w:r>
      <w:r>
        <w:rPr>
          <w:rFonts w:hint="eastAsia" w:ascii="宋体_GB2312" w:hAnsi="宋体_GB2312" w:eastAsia="宋体_GB2312"/>
          <w:sz w:val="24"/>
          <w:szCs w:val="24"/>
        </w:rPr>
        <w:t>，可以和主干光缆熔接单元互换安装。熔接和存储的分区可为左右或上下、前后结构。</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12芯熔接存储一体化托盘为左出纤设计，满足外缆的熔接、尾纤的存贮、终端等功能。托盘材料采用阻燃ABS、颜色为PANTONE 129U。托盘外形尺寸同12芯熔配一体化托盘。</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3649345" cy="2385695"/>
            <wp:effectExtent l="0" t="0" r="0" b="0"/>
            <wp:docPr id="28" name="图片 28" descr="[`XV5H9SQ[_SGN(SBVG}2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XV5H9SQ[_SGN(SBVG}2S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649345" cy="2385695"/>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9：12芯熔接存储一体化托盘</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4）</w:t>
      </w:r>
      <w:r>
        <w:rPr>
          <w:rFonts w:hint="eastAsia" w:ascii="宋体_GB2312" w:hAnsi="宋体_GB2312" w:eastAsia="宋体_GB2312"/>
          <w:sz w:val="24"/>
          <w:szCs w:val="24"/>
        </w:rPr>
        <w:t>直熔</w:t>
      </w:r>
      <w:r>
        <w:rPr>
          <w:rFonts w:ascii="宋体_GB2312" w:hAnsi="宋体_GB2312" w:eastAsia="宋体_GB2312"/>
          <w:sz w:val="24"/>
          <w:szCs w:val="24"/>
        </w:rPr>
        <w:t>单元</w:t>
      </w:r>
    </w:p>
    <w:p>
      <w:pPr>
        <w:pStyle w:val="62"/>
        <w:spacing w:line="560" w:lineRule="exact"/>
        <w:ind w:firstLine="480" w:firstLineChars="200"/>
        <w:rPr>
          <w:rFonts w:ascii="宋体_GB2312" w:hAnsi="宋体_GB2312" w:eastAsia="宋体_GB2312"/>
          <w:sz w:val="24"/>
          <w:szCs w:val="24"/>
        </w:rPr>
      </w:pPr>
      <w:r>
        <w:rPr>
          <w:rFonts w:hint="eastAsia" w:ascii="宋体_GB2312" w:hAnsi="宋体_GB2312" w:eastAsia="宋体_GB2312"/>
          <w:sz w:val="24"/>
          <w:szCs w:val="24"/>
        </w:rPr>
        <w:t>直熔</w:t>
      </w:r>
      <w:r>
        <w:rPr>
          <w:rFonts w:ascii="宋体_GB2312" w:hAnsi="宋体_GB2312" w:eastAsia="宋体_GB2312"/>
          <w:sz w:val="24"/>
          <w:szCs w:val="24"/>
        </w:rPr>
        <w:t>单元</w:t>
      </w:r>
      <w:r>
        <w:rPr>
          <w:rFonts w:hint="eastAsia" w:ascii="宋体_GB2312" w:hAnsi="宋体_GB2312" w:eastAsia="宋体_GB2312"/>
          <w:sz w:val="24"/>
          <w:szCs w:val="24"/>
        </w:rPr>
        <w:t>由</w:t>
      </w:r>
      <w:r>
        <w:rPr>
          <w:rFonts w:ascii="宋体_GB2312" w:hAnsi="宋体_GB2312" w:eastAsia="宋体_GB2312"/>
          <w:sz w:val="24"/>
          <w:szCs w:val="24"/>
        </w:rPr>
        <w:t>12芯直熔盘组成，用于过路光缆的熔接。</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12芯直熔盘的材料采用阻燃ABS、颜色为PANTONE 3405U。</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353310" cy="1725295"/>
            <wp:effectExtent l="0" t="0" r="0" b="0"/>
            <wp:docPr id="29" name="图片 29" descr="43UKU]R3P}9%9`YOJ2ZB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43UKU]R3P}9%9`YOJ2ZBS%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353310" cy="1725295"/>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Cs w:val="21"/>
        </w:rPr>
      </w:pPr>
      <w:r>
        <w:rPr>
          <w:rFonts w:hint="eastAsia" w:ascii="宋体_GB2312" w:hAnsi="宋体_GB2312" w:eastAsia="宋体_GB2312"/>
          <w:sz w:val="24"/>
          <w:szCs w:val="24"/>
        </w:rPr>
        <w:t>图</w:t>
      </w:r>
      <w:r>
        <w:rPr>
          <w:rFonts w:ascii="宋体_GB2312" w:hAnsi="宋体_GB2312" w:eastAsia="宋体_GB2312"/>
          <w:sz w:val="24"/>
          <w:szCs w:val="24"/>
        </w:rPr>
        <w:t>10：12芯直熔盘</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 xml:space="preserve">A.2.2 </w:t>
      </w:r>
      <w:r>
        <w:rPr>
          <w:rFonts w:hint="eastAsia" w:ascii="宋体_GB2312" w:hAnsi="宋体_GB2312" w:eastAsia="宋体_GB2312"/>
          <w:sz w:val="24"/>
          <w:szCs w:val="24"/>
        </w:rPr>
        <w:t>插片式光分路器型</w:t>
      </w:r>
      <w:r>
        <w:rPr>
          <w:rFonts w:ascii="宋体_GB2312" w:hAnsi="宋体_GB2312" w:eastAsia="宋体_GB2312"/>
          <w:sz w:val="24"/>
          <w:szCs w:val="24"/>
        </w:rPr>
        <w:t>-II</w:t>
      </w:r>
    </w:p>
    <w:p>
      <w:pPr>
        <w:pStyle w:val="62"/>
        <w:spacing w:line="560" w:lineRule="exact"/>
        <w:ind w:firstLine="480" w:firstLineChars="200"/>
        <w:rPr>
          <w:rFonts w:ascii="宋体_GB2312" w:hAnsi="宋体_GB2312" w:eastAsia="宋体_GB2312"/>
          <w:sz w:val="24"/>
          <w:szCs w:val="24"/>
        </w:rPr>
      </w:pPr>
      <w:r>
        <w:rPr>
          <w:rFonts w:hint="eastAsia" w:ascii="宋体_GB2312" w:hAnsi="宋体_GB2312" w:eastAsia="宋体_GB2312"/>
          <w:sz w:val="24"/>
          <w:szCs w:val="24"/>
        </w:rPr>
        <w:t>（</w:t>
      </w:r>
      <w:r>
        <w:rPr>
          <w:rFonts w:ascii="宋体_GB2312" w:hAnsi="宋体_GB2312" w:eastAsia="宋体_GB2312"/>
          <w:sz w:val="24"/>
          <w:szCs w:val="24"/>
        </w:rPr>
        <w:t>1）箱体外形尺寸及容量配置见下表：</w:t>
      </w:r>
    </w:p>
    <w:tbl>
      <w:tblPr>
        <w:tblStyle w:val="37"/>
        <w:tblW w:w="9215"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1"/>
        <w:gridCol w:w="1984"/>
        <w:gridCol w:w="1701"/>
        <w:gridCol w:w="1559"/>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trPr>
        <w:tc>
          <w:tcPr>
            <w:tcW w:w="2411" w:type="dxa"/>
            <w:vAlign w:val="center"/>
          </w:tcPr>
          <w:p>
            <w:pPr>
              <w:spacing w:line="360" w:lineRule="auto"/>
              <w:ind w:firstLine="630" w:firstLineChars="300"/>
              <w:rPr>
                <w:rFonts w:ascii="宋体_GB2312" w:hAnsi="宋体_GB2312" w:eastAsia="宋体_GB2312" w:cs="Arial"/>
                <w:sz w:val="21"/>
                <w:szCs w:val="21"/>
              </w:rPr>
            </w:pPr>
            <w:r>
              <w:rPr>
                <w:rFonts w:hint="eastAsia" w:ascii="宋体_GB2312" w:hAnsi="宋体_GB2312" w:eastAsia="宋体_GB2312" w:cs="Arial"/>
                <w:sz w:val="21"/>
                <w:szCs w:val="21"/>
              </w:rPr>
              <w:t>规格</w:t>
            </w:r>
          </w:p>
        </w:tc>
        <w:tc>
          <w:tcPr>
            <w:tcW w:w="1984" w:type="dxa"/>
            <w:vAlign w:val="center"/>
          </w:tcPr>
          <w:p>
            <w:pPr>
              <w:spacing w:line="360" w:lineRule="auto"/>
              <w:ind w:firstLine="420" w:firstLineChars="200"/>
              <w:jc w:val="center"/>
              <w:rPr>
                <w:rFonts w:ascii="宋体_GB2312" w:hAnsi="宋体_GB2312" w:eastAsia="宋体_GB2312" w:cs="Arial"/>
                <w:sz w:val="21"/>
                <w:szCs w:val="21"/>
              </w:rPr>
            </w:pPr>
            <w:r>
              <w:rPr>
                <w:rFonts w:hint="eastAsia" w:ascii="宋体_GB2312" w:hAnsi="宋体_GB2312" w:eastAsia="宋体_GB2312"/>
                <w:kern w:val="0"/>
                <w:sz w:val="21"/>
                <w:szCs w:val="21"/>
              </w:rPr>
              <w:t>主干托盘槽位</w:t>
            </w:r>
          </w:p>
        </w:tc>
        <w:tc>
          <w:tcPr>
            <w:tcW w:w="1701" w:type="dxa"/>
            <w:vAlign w:val="center"/>
          </w:tcPr>
          <w:p>
            <w:pPr>
              <w:spacing w:line="360" w:lineRule="auto"/>
              <w:ind w:firstLine="105" w:firstLineChars="50"/>
              <w:rPr>
                <w:rFonts w:ascii="宋体_GB2312" w:hAnsi="宋体_GB2312" w:eastAsia="宋体_GB2312" w:cs="Arial"/>
                <w:sz w:val="21"/>
                <w:szCs w:val="21"/>
              </w:rPr>
            </w:pPr>
            <w:r>
              <w:rPr>
                <w:rFonts w:hint="eastAsia" w:ascii="宋体_GB2312" w:hAnsi="宋体_GB2312" w:eastAsia="宋体_GB2312"/>
                <w:kern w:val="0"/>
                <w:sz w:val="21"/>
                <w:szCs w:val="21"/>
              </w:rPr>
              <w:t>配线托盘槽位</w:t>
            </w:r>
          </w:p>
        </w:tc>
        <w:tc>
          <w:tcPr>
            <w:tcW w:w="1559" w:type="dxa"/>
            <w:vAlign w:val="center"/>
          </w:tcPr>
          <w:p>
            <w:pPr>
              <w:spacing w:line="360" w:lineRule="auto"/>
              <w:ind w:firstLine="210" w:firstLineChars="100"/>
              <w:rPr>
                <w:rFonts w:ascii="宋体_GB2312" w:hAnsi="宋体_GB2312" w:eastAsia="宋体_GB2312" w:cs="Arial"/>
                <w:sz w:val="21"/>
                <w:szCs w:val="21"/>
              </w:rPr>
            </w:pPr>
            <w:r>
              <w:rPr>
                <w:rFonts w:hint="eastAsia" w:ascii="宋体_GB2312" w:hAnsi="宋体_GB2312" w:eastAsia="宋体_GB2312" w:cs="Arial"/>
                <w:sz w:val="21"/>
                <w:szCs w:val="21"/>
              </w:rPr>
              <w:t>插片槽位</w:t>
            </w:r>
          </w:p>
        </w:tc>
        <w:tc>
          <w:tcPr>
            <w:tcW w:w="1560" w:type="dxa"/>
            <w:vAlign w:val="center"/>
          </w:tcPr>
          <w:p>
            <w:pPr>
              <w:spacing w:line="360" w:lineRule="auto"/>
              <w:ind w:firstLine="420" w:firstLineChars="200"/>
              <w:jc w:val="center"/>
              <w:rPr>
                <w:rFonts w:ascii="宋体_GB2312" w:hAnsi="宋体_GB2312" w:eastAsia="宋体_GB2312" w:cs="Arial"/>
                <w:sz w:val="21"/>
                <w:szCs w:val="21"/>
              </w:rPr>
            </w:pPr>
            <w:r>
              <w:rPr>
                <w:rFonts w:hint="eastAsia" w:ascii="宋体_GB2312" w:hAnsi="宋体_GB2312" w:eastAsia="宋体_GB2312" w:cs="Arial"/>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2" w:hRule="atLeast"/>
        </w:trPr>
        <w:tc>
          <w:tcPr>
            <w:tcW w:w="2411" w:type="dxa"/>
            <w:vMerge w:val="restart"/>
            <w:vAlign w:val="center"/>
          </w:tcPr>
          <w:p>
            <w:pPr>
              <w:spacing w:line="360" w:lineRule="auto"/>
              <w:ind w:firstLine="105" w:firstLineChars="50"/>
              <w:rPr>
                <w:rFonts w:ascii="宋体_GB2312" w:hAnsi="宋体_GB2312" w:eastAsia="宋体_GB2312"/>
                <w:sz w:val="21"/>
                <w:szCs w:val="21"/>
              </w:rPr>
            </w:pPr>
            <w:r>
              <w:rPr>
                <w:rFonts w:hint="eastAsia" w:ascii="宋体_GB2312" w:hAnsi="宋体_GB2312" w:eastAsia="宋体_GB2312"/>
                <w:sz w:val="21"/>
                <w:szCs w:val="21"/>
              </w:rPr>
              <w:t>插片式光分路器</w:t>
            </w:r>
            <w:r>
              <w:rPr>
                <w:rFonts w:ascii="宋体_GB2312" w:hAnsi="宋体_GB2312" w:eastAsia="宋体_GB2312"/>
                <w:sz w:val="21"/>
                <w:szCs w:val="21"/>
              </w:rPr>
              <w:t>II型</w:t>
            </w:r>
          </w:p>
          <w:p>
            <w:pPr>
              <w:spacing w:line="360" w:lineRule="auto"/>
              <w:ind w:firstLine="420" w:firstLineChars="200"/>
              <w:jc w:val="center"/>
              <w:rPr>
                <w:rFonts w:ascii="宋体_GB2312" w:hAnsi="宋体_GB2312" w:eastAsia="宋体_GB2312" w:cs="Arial"/>
                <w:bCs/>
                <w:sz w:val="21"/>
                <w:szCs w:val="21"/>
              </w:rPr>
            </w:pPr>
            <w:r>
              <w:rPr>
                <w:rFonts w:hint="eastAsia" w:ascii="宋体_GB2312" w:hAnsi="宋体_GB2312" w:eastAsia="宋体_GB2312"/>
                <w:kern w:val="0"/>
                <w:sz w:val="21"/>
                <w:szCs w:val="21"/>
              </w:rPr>
              <w:t>（</w:t>
            </w:r>
            <w:r>
              <w:rPr>
                <w:rFonts w:ascii="宋体_GB2312" w:hAnsi="宋体_GB2312" w:eastAsia="宋体_GB2312"/>
                <w:kern w:val="0"/>
                <w:sz w:val="21"/>
                <w:szCs w:val="21"/>
              </w:rPr>
              <w:t>SMC箱体）</w:t>
            </w:r>
          </w:p>
        </w:tc>
        <w:tc>
          <w:tcPr>
            <w:tcW w:w="1984"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4（共48芯）</w:t>
            </w:r>
          </w:p>
        </w:tc>
        <w:tc>
          <w:tcPr>
            <w:tcW w:w="1701"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16（共192芯）</w:t>
            </w:r>
          </w:p>
        </w:tc>
        <w:tc>
          <w:tcPr>
            <w:tcW w:w="1559"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16</w:t>
            </w:r>
          </w:p>
        </w:tc>
        <w:tc>
          <w:tcPr>
            <w:tcW w:w="1560" w:type="dxa"/>
            <w:vAlign w:val="center"/>
          </w:tcPr>
          <w:p>
            <w:pPr>
              <w:spacing w:line="360" w:lineRule="auto"/>
              <w:ind w:firstLine="210" w:firstLineChars="100"/>
              <w:rPr>
                <w:rFonts w:ascii="宋体_GB2312" w:hAnsi="宋体_GB2312" w:eastAsia="宋体_GB2312" w:cs="Arial"/>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1" w:hRule="atLeast"/>
        </w:trPr>
        <w:tc>
          <w:tcPr>
            <w:tcW w:w="2411"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1984"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4（共48芯）</w:t>
            </w:r>
          </w:p>
        </w:tc>
        <w:tc>
          <w:tcPr>
            <w:tcW w:w="1701"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24（共288芯）</w:t>
            </w:r>
          </w:p>
        </w:tc>
        <w:tc>
          <w:tcPr>
            <w:tcW w:w="1559"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32</w:t>
            </w:r>
          </w:p>
        </w:tc>
        <w:tc>
          <w:tcPr>
            <w:tcW w:w="1560" w:type="dxa"/>
            <w:vAlign w:val="center"/>
          </w:tcPr>
          <w:p>
            <w:pPr>
              <w:spacing w:line="360" w:lineRule="auto"/>
              <w:ind w:firstLine="210" w:firstLineChars="100"/>
              <w:rPr>
                <w:rFonts w:ascii="宋体_GB2312" w:hAnsi="宋体_GB2312" w:eastAsia="宋体_GB2312"/>
                <w:kern w:val="0"/>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7" w:hRule="atLeast"/>
        </w:trPr>
        <w:tc>
          <w:tcPr>
            <w:tcW w:w="2411"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1984"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8（共96芯）</w:t>
            </w:r>
          </w:p>
        </w:tc>
        <w:tc>
          <w:tcPr>
            <w:tcW w:w="1701"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48（共576芯）</w:t>
            </w:r>
          </w:p>
        </w:tc>
        <w:tc>
          <w:tcPr>
            <w:tcW w:w="1559"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64</w:t>
            </w:r>
          </w:p>
        </w:tc>
        <w:tc>
          <w:tcPr>
            <w:tcW w:w="1560" w:type="dxa"/>
            <w:vAlign w:val="center"/>
          </w:tcPr>
          <w:p>
            <w:pPr>
              <w:spacing w:line="360" w:lineRule="auto"/>
              <w:ind w:firstLine="210" w:firstLineChars="100"/>
              <w:rPr>
                <w:rFonts w:ascii="宋体_GB2312" w:hAnsi="宋体_GB2312" w:eastAsia="宋体_GB2312" w:cs="Arial"/>
                <w:sz w:val="21"/>
                <w:szCs w:val="21"/>
              </w:rPr>
            </w:pPr>
            <w:r>
              <w:rPr>
                <w:rFonts w:hint="eastAsia" w:ascii="宋体_GB2312" w:hAnsi="宋体_GB2312" w:eastAsia="宋体_GB2312"/>
                <w:kern w:val="0"/>
                <w:sz w:val="21"/>
                <w:szCs w:val="21"/>
              </w:rPr>
              <w:t>双</w:t>
            </w:r>
            <w:r>
              <w:rPr>
                <w:rFonts w:ascii="宋体_GB2312" w:hAnsi="宋体_GB2312" w:eastAsia="宋体_GB2312"/>
                <w:kern w:val="0"/>
                <w:sz w:val="21"/>
                <w:szCs w:val="21"/>
              </w:rPr>
              <w:t>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2411" w:type="dxa"/>
            <w:vMerge w:val="restart"/>
            <w:vAlign w:val="center"/>
          </w:tcPr>
          <w:p>
            <w:pPr>
              <w:spacing w:line="360" w:lineRule="auto"/>
              <w:ind w:firstLine="105" w:firstLineChars="50"/>
              <w:rPr>
                <w:rFonts w:ascii="宋体_GB2312" w:hAnsi="宋体_GB2312" w:eastAsia="宋体_GB2312"/>
                <w:sz w:val="21"/>
                <w:szCs w:val="21"/>
              </w:rPr>
            </w:pPr>
            <w:r>
              <w:rPr>
                <w:rFonts w:hint="eastAsia" w:ascii="宋体_GB2312" w:hAnsi="宋体_GB2312" w:eastAsia="宋体_GB2312"/>
                <w:sz w:val="21"/>
                <w:szCs w:val="21"/>
              </w:rPr>
              <w:t>插片式光分路器</w:t>
            </w:r>
            <w:r>
              <w:rPr>
                <w:rFonts w:ascii="宋体_GB2312" w:hAnsi="宋体_GB2312" w:eastAsia="宋体_GB2312"/>
                <w:sz w:val="21"/>
                <w:szCs w:val="21"/>
              </w:rPr>
              <w:t>II型</w:t>
            </w:r>
          </w:p>
          <w:p>
            <w:pPr>
              <w:spacing w:line="360" w:lineRule="auto"/>
              <w:ind w:firstLine="420" w:firstLineChars="200"/>
              <w:jc w:val="center"/>
              <w:rPr>
                <w:rFonts w:ascii="宋体_GB2312" w:hAnsi="宋体_GB2312" w:eastAsia="宋体_GB2312" w:cs="Arial"/>
                <w:bCs/>
                <w:sz w:val="21"/>
                <w:szCs w:val="21"/>
              </w:rPr>
            </w:pPr>
            <w:r>
              <w:rPr>
                <w:rFonts w:hint="eastAsia" w:ascii="宋体_GB2312" w:hAnsi="宋体_GB2312" w:eastAsia="宋体_GB2312"/>
                <w:kern w:val="0"/>
                <w:sz w:val="21"/>
                <w:szCs w:val="21"/>
              </w:rPr>
              <w:t>（金属箱体）</w:t>
            </w:r>
          </w:p>
        </w:tc>
        <w:tc>
          <w:tcPr>
            <w:tcW w:w="1984"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4（共48芯）</w:t>
            </w:r>
          </w:p>
        </w:tc>
        <w:tc>
          <w:tcPr>
            <w:tcW w:w="1701"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16（共192芯）</w:t>
            </w:r>
          </w:p>
        </w:tc>
        <w:tc>
          <w:tcPr>
            <w:tcW w:w="1559"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16</w:t>
            </w:r>
          </w:p>
        </w:tc>
        <w:tc>
          <w:tcPr>
            <w:tcW w:w="1560" w:type="dxa"/>
            <w:vAlign w:val="center"/>
          </w:tcPr>
          <w:p>
            <w:pPr>
              <w:spacing w:line="360" w:lineRule="auto"/>
              <w:ind w:firstLine="210" w:firstLineChars="100"/>
              <w:rPr>
                <w:rFonts w:ascii="宋体_GB2312" w:hAnsi="宋体_GB2312" w:eastAsia="宋体_GB2312"/>
                <w:kern w:val="0"/>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trPr>
        <w:tc>
          <w:tcPr>
            <w:tcW w:w="2411"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1984"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4（共48芯）</w:t>
            </w:r>
          </w:p>
        </w:tc>
        <w:tc>
          <w:tcPr>
            <w:tcW w:w="1701"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24（共288芯）</w:t>
            </w:r>
          </w:p>
        </w:tc>
        <w:tc>
          <w:tcPr>
            <w:tcW w:w="1559"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32</w:t>
            </w:r>
          </w:p>
        </w:tc>
        <w:tc>
          <w:tcPr>
            <w:tcW w:w="1560" w:type="dxa"/>
            <w:vAlign w:val="center"/>
          </w:tcPr>
          <w:p>
            <w:pPr>
              <w:spacing w:line="360" w:lineRule="auto"/>
              <w:ind w:firstLine="210" w:firstLineChars="100"/>
              <w:rPr>
                <w:rFonts w:ascii="宋体_GB2312" w:hAnsi="宋体_GB2312" w:eastAsia="宋体_GB2312" w:cs="Arial"/>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6" w:hRule="atLeast"/>
        </w:trPr>
        <w:tc>
          <w:tcPr>
            <w:tcW w:w="2411"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1984"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8（共96芯）</w:t>
            </w:r>
          </w:p>
        </w:tc>
        <w:tc>
          <w:tcPr>
            <w:tcW w:w="1701"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48（共576芯）</w:t>
            </w:r>
          </w:p>
        </w:tc>
        <w:tc>
          <w:tcPr>
            <w:tcW w:w="1559"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64</w:t>
            </w:r>
          </w:p>
        </w:tc>
        <w:tc>
          <w:tcPr>
            <w:tcW w:w="1560" w:type="dxa"/>
            <w:vAlign w:val="center"/>
          </w:tcPr>
          <w:p>
            <w:pPr>
              <w:spacing w:line="360" w:lineRule="auto"/>
              <w:ind w:firstLine="210" w:firstLineChars="100"/>
              <w:rPr>
                <w:rFonts w:ascii="宋体_GB2312" w:hAnsi="宋体_GB2312" w:eastAsia="宋体_GB2312"/>
                <w:kern w:val="0"/>
                <w:sz w:val="21"/>
                <w:szCs w:val="21"/>
              </w:rPr>
            </w:pPr>
            <w:r>
              <w:rPr>
                <w:rFonts w:hint="eastAsia" w:ascii="宋体_GB2312" w:hAnsi="宋体_GB2312" w:eastAsia="宋体_GB2312"/>
                <w:kern w:val="0"/>
                <w:sz w:val="21"/>
                <w:szCs w:val="21"/>
              </w:rPr>
              <w:t>双</w:t>
            </w:r>
            <w:r>
              <w:rPr>
                <w:rFonts w:ascii="宋体_GB2312" w:hAnsi="宋体_GB2312" w:eastAsia="宋体_GB2312"/>
                <w:kern w:val="0"/>
                <w:sz w:val="21"/>
                <w:szCs w:val="21"/>
              </w:rPr>
              <w:t>面操作</w:t>
            </w:r>
          </w:p>
        </w:tc>
      </w:tr>
    </w:tbl>
    <w:p>
      <w:pPr>
        <w:pStyle w:val="62"/>
        <w:spacing w:line="560" w:lineRule="exact"/>
        <w:ind w:firstLine="480" w:firstLineChars="200"/>
        <w:rPr>
          <w:rFonts w:ascii="宋体_GB2312" w:hAnsi="宋体_GB2312" w:eastAsia="宋体_GB2312"/>
          <w:sz w:val="24"/>
          <w:szCs w:val="24"/>
        </w:rPr>
      </w:pPr>
      <w:r>
        <w:rPr>
          <w:rFonts w:hint="eastAsia" w:ascii="宋体_GB2312" w:hAnsi="宋体_GB2312" w:eastAsia="宋体_GB2312"/>
          <w:sz w:val="24"/>
          <w:szCs w:val="24"/>
        </w:rPr>
        <w:t>（</w:t>
      </w:r>
      <w:r>
        <w:rPr>
          <w:rFonts w:ascii="宋体_GB2312" w:hAnsi="宋体_GB2312" w:eastAsia="宋体_GB2312"/>
          <w:sz w:val="24"/>
          <w:szCs w:val="24"/>
        </w:rPr>
        <w:t>1）内部结构示意图</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154555" cy="3307715"/>
            <wp:effectExtent l="0" t="0" r="0" b="0"/>
            <wp:docPr id="30" name="图片 30" descr="7YJW@MZ1_P%C@SQHW[X(9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7YJW@MZ1_P%C@SQHW[X(9OL"/>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154555" cy="3307715"/>
                    </a:xfrm>
                    <a:prstGeom prst="rect">
                      <a:avLst/>
                    </a:prstGeom>
                    <a:noFill/>
                    <a:ln>
                      <a:noFill/>
                    </a:ln>
                  </pic:spPr>
                </pic:pic>
              </a:graphicData>
            </a:graphic>
          </wp:inline>
        </w:drawing>
      </w:r>
      <w:r>
        <w:rPr>
          <w:rFonts w:ascii="宋体_GB2312" w:hAnsi="宋体_GB2312" w:eastAsia="宋体_GB2312" w:cs="宋体"/>
          <w:kern w:val="0"/>
          <w:szCs w:val="24"/>
        </w:rPr>
        <w:t xml:space="preserve">      </w:t>
      </w:r>
      <w:r>
        <w:rPr>
          <w:rFonts w:ascii="宋体_GB2312" w:hAnsi="宋体_GB2312" w:eastAsia="宋体_GB2312" w:cs="宋体"/>
          <w:kern w:val="0"/>
          <w:szCs w:val="24"/>
        </w:rPr>
        <w:drawing>
          <wp:inline distT="0" distB="0" distL="0" distR="0">
            <wp:extent cx="2799080" cy="2973705"/>
            <wp:effectExtent l="0" t="0" r="0" b="0"/>
            <wp:docPr id="31" name="图片 31" descr="}S_%6R7D~]HTQ6QJGCZV0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_%6R7D~]HTQ6QJGCZV04X"/>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799080" cy="2973705"/>
                    </a:xfrm>
                    <a:prstGeom prst="rect">
                      <a:avLst/>
                    </a:prstGeom>
                    <a:noFill/>
                    <a:ln>
                      <a:noFill/>
                    </a:ln>
                  </pic:spPr>
                </pic:pic>
              </a:graphicData>
            </a:graphic>
          </wp:inline>
        </w:drawing>
      </w:r>
    </w:p>
    <w:p>
      <w:pPr>
        <w:pStyle w:val="55"/>
        <w:spacing w:line="360" w:lineRule="auto"/>
        <w:ind w:firstLine="679" w:firstLineChars="283"/>
        <w:jc w:val="left"/>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11： 144芯箱体内部结构图           图12：144芯箱体</w:t>
      </w:r>
      <w:r>
        <w:rPr>
          <w:rFonts w:hint="eastAsia" w:ascii="宋体_GB2312" w:hAnsi="宋体_GB2312" w:eastAsia="宋体_GB2312"/>
          <w:sz w:val="24"/>
          <w:szCs w:val="24"/>
        </w:rPr>
        <w:t>走线示意图</w:t>
      </w:r>
    </w:p>
    <w:p>
      <w:pPr>
        <w:pStyle w:val="55"/>
        <w:spacing w:line="360" w:lineRule="auto"/>
        <w:ind w:firstLine="199" w:firstLineChars="83"/>
        <w:jc w:val="center"/>
        <w:rPr>
          <w:rFonts w:ascii="宋体_GB2312" w:hAnsi="宋体_GB2312" w:eastAsia="宋体_GB2312"/>
          <w:sz w:val="24"/>
          <w:szCs w:val="24"/>
        </w:rPr>
      </w:pPr>
    </w:p>
    <w:p>
      <w:pPr>
        <w:widowControl/>
        <w:jc w:val="center"/>
        <w:rPr>
          <w:rFonts w:ascii="宋体_GB2312" w:hAnsi="宋体_GB2312" w:eastAsia="宋体_GB2312"/>
        </w:rPr>
      </w:pPr>
      <w:r>
        <w:rPr>
          <w:rFonts w:ascii="宋体_GB2312" w:hAnsi="宋体_GB2312" w:eastAsia="宋体_GB2312" w:cs="宋体"/>
          <w:kern w:val="0"/>
          <w:szCs w:val="24"/>
        </w:rPr>
        <w:drawing>
          <wp:inline distT="0" distB="0" distL="0" distR="0">
            <wp:extent cx="2401570" cy="2743200"/>
            <wp:effectExtent l="0" t="0" r="0" b="0"/>
            <wp:docPr id="32" name="图片 32" descr="(9XQU~S`[L{GD%V(Z(`_J9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9XQU~S`[L{GD%V(Z(`_J9P"/>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401570" cy="2743200"/>
                    </a:xfrm>
                    <a:prstGeom prst="rect">
                      <a:avLst/>
                    </a:prstGeom>
                    <a:noFill/>
                    <a:ln>
                      <a:noFill/>
                    </a:ln>
                  </pic:spPr>
                </pic:pic>
              </a:graphicData>
            </a:graphic>
          </wp:inline>
        </w:drawing>
      </w:r>
      <w:r>
        <w:rPr>
          <w:rFonts w:ascii="宋体_GB2312" w:hAnsi="宋体_GB2312" w:eastAsia="宋体_GB2312" w:cs="宋体"/>
          <w:kern w:val="0"/>
          <w:szCs w:val="24"/>
        </w:rPr>
        <w:t xml:space="preserve">      </w:t>
      </w:r>
      <w:r>
        <w:rPr>
          <w:rFonts w:ascii="宋体_GB2312" w:hAnsi="宋体_GB2312" w:eastAsia="宋体_GB2312"/>
        </w:rPr>
        <w:drawing>
          <wp:inline distT="0" distB="0" distL="0" distR="0">
            <wp:extent cx="2488565" cy="2997835"/>
            <wp:effectExtent l="0" t="0" r="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488565" cy="2997835"/>
                    </a:xfrm>
                    <a:prstGeom prst="rect">
                      <a:avLst/>
                    </a:prstGeom>
                    <a:noFill/>
                    <a:ln>
                      <a:noFill/>
                    </a:ln>
                  </pic:spPr>
                </pic:pic>
              </a:graphicData>
            </a:graphic>
          </wp:inline>
        </w:drawing>
      </w:r>
    </w:p>
    <w:p>
      <w:pPr>
        <w:pStyle w:val="55"/>
        <w:spacing w:line="360" w:lineRule="auto"/>
        <w:ind w:firstLine="556" w:firstLineChars="232"/>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13：288芯箱体内部结构图           图14：288芯箱体</w:t>
      </w:r>
      <w:r>
        <w:rPr>
          <w:rFonts w:hint="eastAsia" w:ascii="宋体_GB2312" w:hAnsi="宋体_GB2312" w:eastAsia="宋体_GB2312"/>
          <w:sz w:val="24"/>
          <w:szCs w:val="24"/>
        </w:rPr>
        <w:t>走线示意图</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5240020" cy="3117215"/>
            <wp:effectExtent l="0" t="0" r="0" b="0"/>
            <wp:docPr id="34" name="图片 34" descr="Q(@Z})1N9ISMY]D}EO8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Q(@Z})1N9ISMY]D}EO8F$`S"/>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40020" cy="3117215"/>
                    </a:xfrm>
                    <a:prstGeom prst="rect">
                      <a:avLst/>
                    </a:prstGeom>
                    <a:noFill/>
                    <a:ln>
                      <a:noFill/>
                    </a:ln>
                  </pic:spPr>
                </pic:pic>
              </a:graphicData>
            </a:graphic>
          </wp:inline>
        </w:drawing>
      </w:r>
    </w:p>
    <w:p>
      <w:pPr>
        <w:pStyle w:val="55"/>
        <w:spacing w:line="360" w:lineRule="auto"/>
        <w:ind w:firstLine="2640" w:firstLineChars="1100"/>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15：576芯箱体内部结构图</w:t>
      </w:r>
    </w:p>
    <w:p>
      <w:pPr>
        <w:autoSpaceDE w:val="0"/>
        <w:autoSpaceDN w:val="0"/>
        <w:adjustRightInd w:val="0"/>
        <w:spacing w:line="360" w:lineRule="auto"/>
        <w:jc w:val="center"/>
        <w:rPr>
          <w:rFonts w:ascii="宋体_GB2312" w:hAnsi="宋体_GB2312" w:eastAsia="宋体_GB2312"/>
          <w:kern w:val="0"/>
          <w:sz w:val="21"/>
          <w:szCs w:val="21"/>
        </w:rPr>
      </w:pP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5208270" cy="2592070"/>
            <wp:effectExtent l="0" t="0" r="0" b="0"/>
            <wp:docPr id="35" name="图片 35" descr="B9OUUM%%Z7RSPI]NE(54F[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B9OUUM%%Z7RSPI]NE(54F[W"/>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208270" cy="259207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16：576芯箱体</w:t>
      </w:r>
      <w:r>
        <w:rPr>
          <w:rFonts w:hint="eastAsia" w:ascii="宋体_GB2312" w:hAnsi="宋体_GB2312" w:eastAsia="宋体_GB2312"/>
          <w:sz w:val="24"/>
          <w:szCs w:val="24"/>
        </w:rPr>
        <w:t>走线示意图</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（2）主要工作单元结构</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 xml:space="preserve"> 1）光分单元</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光分单元由光分框和光分插片组成，用于光分插片的安装</w:t>
      </w:r>
      <w:r>
        <w:rPr>
          <w:rFonts w:hint="eastAsia" w:ascii="宋体_GB2312" w:hAnsi="宋体_GB2312" w:eastAsia="宋体_GB2312"/>
          <w:sz w:val="24"/>
          <w:szCs w:val="24"/>
        </w:rPr>
        <w:t>。</w:t>
      </w:r>
      <w:r>
        <w:rPr>
          <w:rFonts w:ascii="宋体_GB2312" w:hAnsi="宋体_GB2312" w:eastAsia="宋体_GB2312"/>
          <w:sz w:val="24"/>
          <w:szCs w:val="24"/>
        </w:rPr>
        <w:t xml:space="preserve"> </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1797050" cy="2019935"/>
            <wp:effectExtent l="0" t="0" r="0" b="0"/>
            <wp:docPr id="36" name="图片 36" descr="@PXPI4AK9ERNP]DGP$$J%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PXPI4AK9ERNP]DGP$$J%FS"/>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797050" cy="2019935"/>
                    </a:xfrm>
                    <a:prstGeom prst="rect">
                      <a:avLst/>
                    </a:prstGeom>
                    <a:noFill/>
                    <a:ln>
                      <a:noFill/>
                    </a:ln>
                  </pic:spPr>
                </pic:pic>
              </a:graphicData>
            </a:graphic>
          </wp:inline>
        </w:drawing>
      </w:r>
    </w:p>
    <w:p>
      <w:pPr>
        <w:pStyle w:val="55"/>
        <w:spacing w:line="360" w:lineRule="auto"/>
        <w:ind w:firstLine="3240" w:firstLineChars="1350"/>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17：光分框示意图</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2）主干光缆熔接单元</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主干光缆熔接单元由12芯小型熔配一体化托盘组成，用于主干光缆（通局光缆）的</w:t>
      </w:r>
      <w:r>
        <w:rPr>
          <w:rFonts w:hint="eastAsia" w:ascii="宋体_GB2312" w:hAnsi="宋体_GB2312" w:eastAsia="宋体_GB2312"/>
          <w:sz w:val="24"/>
          <w:szCs w:val="24"/>
        </w:rPr>
        <w:t>成</w:t>
      </w:r>
      <w:r>
        <w:rPr>
          <w:rFonts w:ascii="宋体_GB2312" w:hAnsi="宋体_GB2312" w:eastAsia="宋体_GB2312"/>
          <w:sz w:val="24"/>
          <w:szCs w:val="24"/>
        </w:rPr>
        <w:t>端</w:t>
      </w:r>
      <w:r>
        <w:rPr>
          <w:rFonts w:hint="eastAsia" w:ascii="宋体_GB2312" w:hAnsi="宋体_GB2312" w:eastAsia="宋体_GB2312"/>
          <w:sz w:val="24"/>
          <w:szCs w:val="24"/>
        </w:rPr>
        <w:t>。</w:t>
      </w:r>
      <w:r>
        <w:rPr>
          <w:rFonts w:ascii="宋体_GB2312" w:hAnsi="宋体_GB2312" w:eastAsia="宋体_GB2312"/>
          <w:sz w:val="24"/>
          <w:szCs w:val="24"/>
        </w:rPr>
        <w:t xml:space="preserve"> </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12芯小型熔配一体化托盘为左右出纤设计，满足外缆的熔接、尾纤的存贮、成端等功能。托盘材料采用阻燃ABS、颜色为PANTONE 427U。</w:t>
      </w:r>
    </w:p>
    <w:p>
      <w:pPr>
        <w:pStyle w:val="55"/>
        <w:spacing w:line="360" w:lineRule="auto"/>
        <w:ind w:firstLine="0" w:firstLineChars="0"/>
        <w:rPr>
          <w:rFonts w:ascii="宋体_GB2312" w:hAnsi="宋体_GB2312" w:eastAsia="宋体_GB2312"/>
          <w:szCs w:val="21"/>
        </w:rPr>
      </w:pP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3148965" cy="3450590"/>
            <wp:effectExtent l="0" t="0" r="0" b="0"/>
            <wp:docPr id="37" name="图片 37" descr="`E$7L7DTGEI2(T7B5YG[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E$7L7DTGEI2(T7B5YG[C`A"/>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148965" cy="345059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Cs w:val="21"/>
        </w:rPr>
      </w:pPr>
      <w:r>
        <w:rPr>
          <w:rFonts w:hint="eastAsia" w:ascii="宋体_GB2312" w:hAnsi="宋体_GB2312" w:eastAsia="宋体_GB2312"/>
          <w:sz w:val="24"/>
          <w:szCs w:val="24"/>
        </w:rPr>
        <w:t>图</w:t>
      </w:r>
      <w:r>
        <w:rPr>
          <w:rFonts w:ascii="宋体_GB2312" w:hAnsi="宋体_GB2312" w:eastAsia="宋体_GB2312"/>
          <w:sz w:val="24"/>
          <w:szCs w:val="24"/>
        </w:rPr>
        <w:t>18：12芯小型熔配一体化托盘</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3）配</w:t>
      </w:r>
      <w:r>
        <w:rPr>
          <w:rFonts w:hint="eastAsia" w:ascii="宋体_GB2312" w:hAnsi="宋体_GB2312" w:eastAsia="宋体_GB2312"/>
          <w:sz w:val="24"/>
          <w:szCs w:val="24"/>
        </w:rPr>
        <w:t>线光</w:t>
      </w:r>
      <w:r>
        <w:rPr>
          <w:rFonts w:ascii="宋体_GB2312" w:hAnsi="宋体_GB2312" w:eastAsia="宋体_GB2312"/>
          <w:sz w:val="24"/>
          <w:szCs w:val="24"/>
        </w:rPr>
        <w:t>缆熔接单元</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配</w:t>
      </w:r>
      <w:r>
        <w:rPr>
          <w:rFonts w:hint="eastAsia" w:ascii="宋体_GB2312" w:hAnsi="宋体_GB2312" w:eastAsia="宋体_GB2312"/>
          <w:sz w:val="24"/>
          <w:szCs w:val="24"/>
        </w:rPr>
        <w:t>线光</w:t>
      </w:r>
      <w:r>
        <w:rPr>
          <w:rFonts w:ascii="宋体_GB2312" w:hAnsi="宋体_GB2312" w:eastAsia="宋体_GB2312"/>
          <w:sz w:val="24"/>
          <w:szCs w:val="24"/>
        </w:rPr>
        <w:t>缆熔接单元</w:t>
      </w:r>
      <w:r>
        <w:rPr>
          <w:rFonts w:hint="eastAsia" w:ascii="宋体_GB2312" w:hAnsi="宋体_GB2312" w:eastAsia="宋体_GB2312"/>
          <w:sz w:val="24"/>
          <w:szCs w:val="24"/>
        </w:rPr>
        <w:t>由</w:t>
      </w:r>
      <w:r>
        <w:rPr>
          <w:rFonts w:ascii="宋体_GB2312" w:hAnsi="宋体_GB2312" w:eastAsia="宋体_GB2312"/>
          <w:sz w:val="24"/>
          <w:szCs w:val="24"/>
        </w:rPr>
        <w:t>12芯小型熔接出尾纤托盘组成，用于配</w:t>
      </w:r>
      <w:r>
        <w:rPr>
          <w:rFonts w:hint="eastAsia" w:ascii="宋体_GB2312" w:hAnsi="宋体_GB2312" w:eastAsia="宋体_GB2312"/>
          <w:sz w:val="24"/>
          <w:szCs w:val="24"/>
        </w:rPr>
        <w:t>线光</w:t>
      </w:r>
      <w:r>
        <w:rPr>
          <w:rFonts w:ascii="宋体_GB2312" w:hAnsi="宋体_GB2312" w:eastAsia="宋体_GB2312"/>
          <w:sz w:val="24"/>
          <w:szCs w:val="24"/>
        </w:rPr>
        <w:t>缆纤芯</w:t>
      </w:r>
      <w:r>
        <w:rPr>
          <w:rFonts w:hint="eastAsia" w:ascii="宋体_GB2312" w:hAnsi="宋体_GB2312" w:eastAsia="宋体_GB2312"/>
          <w:sz w:val="24"/>
          <w:szCs w:val="24"/>
        </w:rPr>
        <w:t>的终</w:t>
      </w:r>
      <w:r>
        <w:rPr>
          <w:rFonts w:ascii="宋体_GB2312" w:hAnsi="宋体_GB2312" w:eastAsia="宋体_GB2312"/>
          <w:sz w:val="24"/>
          <w:szCs w:val="24"/>
        </w:rPr>
        <w:t>端</w:t>
      </w:r>
      <w:r>
        <w:rPr>
          <w:rFonts w:hint="eastAsia" w:ascii="宋体_GB2312" w:hAnsi="宋体_GB2312" w:eastAsia="宋体_GB2312"/>
          <w:sz w:val="24"/>
          <w:szCs w:val="24"/>
        </w:rPr>
        <w:t>。</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12芯小型熔接出尾纤托盘为左出纤设计，满足外缆的熔接、尾纤的引出。托盘材料采用阻燃ABS、颜色为PANTONE 427U。</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3832225" cy="3466465"/>
            <wp:effectExtent l="0" t="0" r="0" b="0"/>
            <wp:docPr id="38" name="图片 38" descr="DH1M9KB_IDQK1(V]TLFH9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DH1M9KB_IDQK1(V]TLFH9R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832225" cy="3466465"/>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19：12芯小型熔接出尾纤托盘</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4）</w:t>
      </w:r>
      <w:r>
        <w:rPr>
          <w:rFonts w:hint="eastAsia" w:ascii="宋体_GB2312" w:hAnsi="宋体_GB2312" w:eastAsia="宋体_GB2312"/>
          <w:sz w:val="24"/>
          <w:szCs w:val="24"/>
        </w:rPr>
        <w:t>尾纤驻留</w:t>
      </w:r>
      <w:r>
        <w:rPr>
          <w:rFonts w:ascii="宋体_GB2312" w:hAnsi="宋体_GB2312" w:eastAsia="宋体_GB2312"/>
          <w:sz w:val="24"/>
          <w:szCs w:val="24"/>
        </w:rPr>
        <w:t>单元</w:t>
      </w:r>
    </w:p>
    <w:p>
      <w:pPr>
        <w:pStyle w:val="62"/>
        <w:spacing w:line="560" w:lineRule="exact"/>
        <w:ind w:firstLine="480" w:firstLineChars="200"/>
        <w:rPr>
          <w:rFonts w:ascii="宋体_GB2312" w:hAnsi="宋体_GB2312" w:eastAsia="宋体_GB2312"/>
          <w:sz w:val="24"/>
          <w:szCs w:val="24"/>
        </w:rPr>
      </w:pPr>
      <w:r>
        <w:rPr>
          <w:rFonts w:hint="eastAsia" w:ascii="宋体_GB2312" w:hAnsi="宋体_GB2312" w:eastAsia="宋体_GB2312"/>
          <w:sz w:val="24"/>
          <w:szCs w:val="24"/>
        </w:rPr>
        <w:t>用于光缆成端尾纤或盒式光分路器成端尾纤的储存，主要有托盘式、适配器插槽式、槽盒式三种结构形式。</w:t>
      </w:r>
    </w:p>
    <w:p>
      <w:pPr>
        <w:pStyle w:val="78"/>
        <w:numPr>
          <w:ilvl w:val="1"/>
          <w:numId w:val="12"/>
        </w:numPr>
        <w:spacing w:before="163" w:after="163" w:line="276" w:lineRule="auto"/>
        <w:jc w:val="center"/>
        <w:rPr>
          <w:rFonts w:ascii="宋体_GB2312" w:hAnsi="宋体_GB2312" w:eastAsia="宋体_GB2312"/>
          <w:sz w:val="24"/>
          <w:szCs w:val="24"/>
        </w:rPr>
      </w:pPr>
      <w:bookmarkStart w:id="185" w:name="_Toc22555"/>
      <w:bookmarkStart w:id="186" w:name="_Toc322287296"/>
      <w:bookmarkStart w:id="187" w:name="_Toc16725"/>
      <w:bookmarkStart w:id="188" w:name="_Toc27401434"/>
      <w:bookmarkStart w:id="189" w:name="_Toc32163"/>
      <w:r>
        <w:rPr>
          <w:rFonts w:ascii="宋体_GB2312" w:hAnsi="宋体_GB2312" w:eastAsia="宋体_GB2312"/>
          <w:sz w:val="24"/>
          <w:szCs w:val="24"/>
        </w:rPr>
        <w:t>采用盒式光分路器型免跳纤通信光缆交接箱</w:t>
      </w:r>
      <w:bookmarkEnd w:id="185"/>
      <w:bookmarkEnd w:id="186"/>
      <w:bookmarkEnd w:id="187"/>
      <w:bookmarkEnd w:id="188"/>
      <w:bookmarkEnd w:id="189"/>
    </w:p>
    <w:p>
      <w:pPr>
        <w:pStyle w:val="62"/>
        <w:spacing w:line="560" w:lineRule="exact"/>
        <w:ind w:firstLine="480" w:firstLineChars="200"/>
        <w:rPr>
          <w:rFonts w:ascii="宋体_GB2312" w:hAnsi="宋体_GB2312" w:eastAsia="宋体_GB2312"/>
          <w:sz w:val="24"/>
          <w:szCs w:val="24"/>
        </w:rPr>
      </w:pPr>
      <w:r>
        <w:rPr>
          <w:rFonts w:hint="eastAsia" w:ascii="宋体_GB2312" w:hAnsi="宋体_GB2312" w:eastAsia="宋体_GB2312"/>
          <w:sz w:val="24"/>
          <w:szCs w:val="24"/>
        </w:rPr>
        <w:t>（</w:t>
      </w:r>
      <w:r>
        <w:rPr>
          <w:rFonts w:ascii="宋体_GB2312" w:hAnsi="宋体_GB2312" w:eastAsia="宋体_GB2312"/>
          <w:sz w:val="24"/>
          <w:szCs w:val="24"/>
        </w:rPr>
        <w:t>1）箱体外形尺寸及容量配置见下表：</w:t>
      </w:r>
    </w:p>
    <w:tbl>
      <w:tblPr>
        <w:tblStyle w:val="37"/>
        <w:tblW w:w="949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9"/>
        <w:gridCol w:w="1843"/>
        <w:gridCol w:w="1984"/>
        <w:gridCol w:w="2126"/>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trPr>
        <w:tc>
          <w:tcPr>
            <w:tcW w:w="2269" w:type="dxa"/>
            <w:vAlign w:val="center"/>
          </w:tcPr>
          <w:p>
            <w:pPr>
              <w:spacing w:line="360" w:lineRule="auto"/>
              <w:ind w:firstLine="420" w:firstLineChars="200"/>
              <w:jc w:val="center"/>
              <w:rPr>
                <w:rFonts w:ascii="宋体_GB2312" w:hAnsi="宋体_GB2312" w:eastAsia="宋体_GB2312" w:cs="Arial"/>
                <w:sz w:val="21"/>
                <w:szCs w:val="21"/>
              </w:rPr>
            </w:pPr>
            <w:r>
              <w:rPr>
                <w:rFonts w:hint="eastAsia" w:ascii="宋体_GB2312" w:hAnsi="宋体_GB2312" w:eastAsia="宋体_GB2312" w:cs="Arial"/>
                <w:sz w:val="21"/>
                <w:szCs w:val="21"/>
              </w:rPr>
              <w:t>规格</w:t>
            </w:r>
          </w:p>
        </w:tc>
        <w:tc>
          <w:tcPr>
            <w:tcW w:w="1843" w:type="dxa"/>
            <w:vAlign w:val="center"/>
          </w:tcPr>
          <w:p>
            <w:pPr>
              <w:spacing w:line="360" w:lineRule="auto"/>
              <w:ind w:firstLine="420" w:firstLineChars="200"/>
              <w:jc w:val="center"/>
              <w:rPr>
                <w:rFonts w:ascii="宋体_GB2312" w:hAnsi="宋体_GB2312" w:eastAsia="宋体_GB2312" w:cs="Arial"/>
                <w:sz w:val="21"/>
                <w:szCs w:val="21"/>
              </w:rPr>
            </w:pPr>
            <w:r>
              <w:rPr>
                <w:rFonts w:hint="eastAsia" w:ascii="宋体_GB2312" w:hAnsi="宋体_GB2312" w:eastAsia="宋体_GB2312"/>
                <w:kern w:val="0"/>
                <w:sz w:val="21"/>
                <w:szCs w:val="21"/>
              </w:rPr>
              <w:t>托盘槽位</w:t>
            </w:r>
          </w:p>
        </w:tc>
        <w:tc>
          <w:tcPr>
            <w:tcW w:w="1984" w:type="dxa"/>
            <w:vAlign w:val="center"/>
          </w:tcPr>
          <w:p>
            <w:pPr>
              <w:spacing w:line="360" w:lineRule="auto"/>
              <w:ind w:firstLine="105" w:firstLineChars="50"/>
              <w:rPr>
                <w:rFonts w:ascii="宋体_GB2312" w:hAnsi="宋体_GB2312" w:eastAsia="宋体_GB2312"/>
                <w:kern w:val="0"/>
                <w:sz w:val="21"/>
                <w:szCs w:val="21"/>
              </w:rPr>
            </w:pPr>
            <w:r>
              <w:rPr>
                <w:rFonts w:hint="eastAsia" w:ascii="宋体_GB2312" w:hAnsi="宋体_GB2312" w:eastAsia="宋体_GB2312"/>
                <w:kern w:val="0"/>
                <w:sz w:val="21"/>
                <w:szCs w:val="21"/>
              </w:rPr>
              <w:t>过路熔接盘数量</w:t>
            </w:r>
          </w:p>
          <w:p>
            <w:pPr>
              <w:spacing w:line="360" w:lineRule="auto"/>
              <w:ind w:firstLine="525" w:firstLineChars="250"/>
              <w:rPr>
                <w:rFonts w:ascii="宋体_GB2312" w:hAnsi="宋体_GB2312" w:eastAsia="宋体_GB2312" w:cs="Arial"/>
                <w:sz w:val="21"/>
                <w:szCs w:val="21"/>
              </w:rPr>
            </w:pPr>
            <w:r>
              <w:rPr>
                <w:rFonts w:hint="eastAsia" w:ascii="宋体_GB2312" w:hAnsi="宋体_GB2312" w:eastAsia="宋体_GB2312" w:cs="Arial"/>
                <w:sz w:val="21"/>
                <w:szCs w:val="21"/>
              </w:rPr>
              <w:t>（选配）</w:t>
            </w:r>
          </w:p>
        </w:tc>
        <w:tc>
          <w:tcPr>
            <w:tcW w:w="2126" w:type="dxa"/>
            <w:vAlign w:val="center"/>
          </w:tcPr>
          <w:p>
            <w:pPr>
              <w:spacing w:line="360" w:lineRule="auto"/>
              <w:ind w:firstLine="105" w:firstLineChars="50"/>
              <w:rPr>
                <w:rFonts w:ascii="宋体_GB2312" w:hAnsi="宋体_GB2312" w:eastAsia="宋体_GB2312" w:cs="Arial"/>
                <w:sz w:val="21"/>
                <w:szCs w:val="21"/>
              </w:rPr>
            </w:pPr>
            <w:r>
              <w:rPr>
                <w:rFonts w:hint="eastAsia" w:ascii="宋体_GB2312" w:hAnsi="宋体_GB2312" w:eastAsia="宋体_GB2312" w:cs="Arial"/>
                <w:sz w:val="21"/>
                <w:szCs w:val="21"/>
              </w:rPr>
              <w:t>盒式分光器槽位</w:t>
            </w:r>
          </w:p>
        </w:tc>
        <w:tc>
          <w:tcPr>
            <w:tcW w:w="1276" w:type="dxa"/>
            <w:vAlign w:val="center"/>
          </w:tcPr>
          <w:p>
            <w:pPr>
              <w:spacing w:line="360" w:lineRule="auto"/>
              <w:ind w:firstLine="420" w:firstLineChars="200"/>
              <w:jc w:val="center"/>
              <w:rPr>
                <w:rFonts w:ascii="宋体_GB2312" w:hAnsi="宋体_GB2312" w:eastAsia="宋体_GB2312" w:cs="Arial"/>
                <w:sz w:val="21"/>
                <w:szCs w:val="21"/>
              </w:rPr>
            </w:pPr>
            <w:r>
              <w:rPr>
                <w:rFonts w:hint="eastAsia" w:ascii="宋体_GB2312" w:hAnsi="宋体_GB2312" w:eastAsia="宋体_GB2312" w:cs="Arial"/>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trPr>
        <w:tc>
          <w:tcPr>
            <w:tcW w:w="2269" w:type="dxa"/>
            <w:vMerge w:val="restart"/>
            <w:vAlign w:val="center"/>
          </w:tcPr>
          <w:p>
            <w:pPr>
              <w:spacing w:line="360" w:lineRule="auto"/>
              <w:ind w:firstLine="420" w:firstLineChars="200"/>
              <w:rPr>
                <w:rFonts w:ascii="宋体_GB2312" w:hAnsi="宋体_GB2312" w:eastAsia="宋体_GB2312"/>
                <w:sz w:val="21"/>
                <w:szCs w:val="21"/>
              </w:rPr>
            </w:pPr>
            <w:r>
              <w:rPr>
                <w:rFonts w:hint="eastAsia" w:ascii="宋体_GB2312" w:hAnsi="宋体_GB2312" w:eastAsia="宋体_GB2312"/>
                <w:sz w:val="21"/>
                <w:szCs w:val="21"/>
              </w:rPr>
              <w:t>盒式光分路器</w:t>
            </w:r>
            <w:r>
              <w:rPr>
                <w:rFonts w:ascii="宋体_GB2312" w:hAnsi="宋体_GB2312" w:eastAsia="宋体_GB2312"/>
                <w:sz w:val="21"/>
                <w:szCs w:val="21"/>
              </w:rPr>
              <w:t>I型</w:t>
            </w:r>
          </w:p>
          <w:p>
            <w:pPr>
              <w:spacing w:line="360" w:lineRule="auto"/>
              <w:ind w:firstLine="420" w:firstLineChars="200"/>
              <w:jc w:val="center"/>
              <w:rPr>
                <w:rFonts w:ascii="宋体_GB2312" w:hAnsi="宋体_GB2312" w:eastAsia="宋体_GB2312" w:cs="Arial"/>
                <w:bCs/>
                <w:sz w:val="21"/>
                <w:szCs w:val="21"/>
              </w:rPr>
            </w:pPr>
            <w:r>
              <w:rPr>
                <w:rFonts w:hint="eastAsia" w:ascii="宋体_GB2312" w:hAnsi="宋体_GB2312" w:eastAsia="宋体_GB2312"/>
                <w:kern w:val="0"/>
                <w:sz w:val="21"/>
                <w:szCs w:val="21"/>
              </w:rPr>
              <w:t>（</w:t>
            </w:r>
            <w:r>
              <w:rPr>
                <w:rFonts w:ascii="宋体_GB2312" w:hAnsi="宋体_GB2312" w:eastAsia="宋体_GB2312"/>
                <w:kern w:val="0"/>
                <w:sz w:val="21"/>
                <w:szCs w:val="21"/>
              </w:rPr>
              <w:t>SMC箱体）</w:t>
            </w:r>
          </w:p>
        </w:tc>
        <w:tc>
          <w:tcPr>
            <w:tcW w:w="1843"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14（共168芯）</w:t>
            </w:r>
          </w:p>
        </w:tc>
        <w:tc>
          <w:tcPr>
            <w:tcW w:w="1984"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12（共144芯）</w:t>
            </w:r>
          </w:p>
        </w:tc>
        <w:tc>
          <w:tcPr>
            <w:tcW w:w="2126"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6</w:t>
            </w:r>
          </w:p>
        </w:tc>
        <w:tc>
          <w:tcPr>
            <w:tcW w:w="1276" w:type="dxa"/>
            <w:vAlign w:val="center"/>
          </w:tcPr>
          <w:p>
            <w:pPr>
              <w:spacing w:line="360" w:lineRule="auto"/>
              <w:rPr>
                <w:rFonts w:ascii="宋体_GB2312" w:hAnsi="宋体_GB2312" w:eastAsia="宋体_GB2312" w:cs="Arial"/>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trPr>
        <w:tc>
          <w:tcPr>
            <w:tcW w:w="2269"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1843"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28（共336芯）</w:t>
            </w:r>
          </w:p>
        </w:tc>
        <w:tc>
          <w:tcPr>
            <w:tcW w:w="1984"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12（共144芯）</w:t>
            </w:r>
          </w:p>
        </w:tc>
        <w:tc>
          <w:tcPr>
            <w:tcW w:w="2126"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8</w:t>
            </w:r>
          </w:p>
        </w:tc>
        <w:tc>
          <w:tcPr>
            <w:tcW w:w="1276" w:type="dxa"/>
            <w:vAlign w:val="center"/>
          </w:tcPr>
          <w:p>
            <w:pPr>
              <w:spacing w:line="360" w:lineRule="auto"/>
              <w:rPr>
                <w:rFonts w:ascii="宋体_GB2312" w:hAnsi="宋体_GB2312" w:eastAsia="宋体_GB2312"/>
                <w:kern w:val="0"/>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trPr>
        <w:tc>
          <w:tcPr>
            <w:tcW w:w="2269"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1843"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60（共720芯）</w:t>
            </w:r>
          </w:p>
        </w:tc>
        <w:tc>
          <w:tcPr>
            <w:tcW w:w="1984"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24（共288芯）</w:t>
            </w:r>
          </w:p>
        </w:tc>
        <w:tc>
          <w:tcPr>
            <w:tcW w:w="2126"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16</w:t>
            </w:r>
          </w:p>
        </w:tc>
        <w:tc>
          <w:tcPr>
            <w:tcW w:w="1276" w:type="dxa"/>
            <w:vAlign w:val="center"/>
          </w:tcPr>
          <w:p>
            <w:pPr>
              <w:spacing w:line="360" w:lineRule="auto"/>
              <w:rPr>
                <w:rFonts w:ascii="宋体_GB2312" w:hAnsi="宋体_GB2312" w:eastAsia="宋体_GB2312"/>
                <w:kern w:val="0"/>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trPr>
        <w:tc>
          <w:tcPr>
            <w:tcW w:w="2269"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1843"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56（共672芯）</w:t>
            </w:r>
          </w:p>
        </w:tc>
        <w:tc>
          <w:tcPr>
            <w:tcW w:w="1984"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24（共288芯）</w:t>
            </w:r>
          </w:p>
        </w:tc>
        <w:tc>
          <w:tcPr>
            <w:tcW w:w="2126"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16</w:t>
            </w:r>
          </w:p>
        </w:tc>
        <w:tc>
          <w:tcPr>
            <w:tcW w:w="1276" w:type="dxa"/>
            <w:vAlign w:val="center"/>
          </w:tcPr>
          <w:p>
            <w:pPr>
              <w:spacing w:line="360" w:lineRule="auto"/>
              <w:rPr>
                <w:rFonts w:ascii="宋体_GB2312" w:hAnsi="宋体_GB2312" w:eastAsia="宋体_GB2312" w:cs="Arial"/>
                <w:sz w:val="21"/>
                <w:szCs w:val="21"/>
              </w:rPr>
            </w:pPr>
            <w:r>
              <w:rPr>
                <w:rFonts w:hint="eastAsia" w:ascii="宋体_GB2312" w:hAnsi="宋体_GB2312" w:eastAsia="宋体_GB2312"/>
                <w:kern w:val="0"/>
                <w:sz w:val="21"/>
                <w:szCs w:val="21"/>
              </w:rPr>
              <w:t>双</w:t>
            </w:r>
            <w:r>
              <w:rPr>
                <w:rFonts w:ascii="宋体_GB2312" w:hAnsi="宋体_GB2312" w:eastAsia="宋体_GB2312"/>
                <w:kern w:val="0"/>
                <w:sz w:val="21"/>
                <w:szCs w:val="21"/>
              </w:rPr>
              <w:t>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trPr>
        <w:tc>
          <w:tcPr>
            <w:tcW w:w="2269" w:type="dxa"/>
            <w:vMerge w:val="restart"/>
            <w:vAlign w:val="center"/>
          </w:tcPr>
          <w:p>
            <w:pPr>
              <w:spacing w:line="360" w:lineRule="auto"/>
              <w:ind w:firstLine="420" w:firstLineChars="200"/>
              <w:rPr>
                <w:rFonts w:ascii="宋体_GB2312" w:hAnsi="宋体_GB2312" w:eastAsia="宋体_GB2312"/>
                <w:sz w:val="21"/>
                <w:szCs w:val="21"/>
              </w:rPr>
            </w:pPr>
            <w:r>
              <w:rPr>
                <w:rFonts w:hint="eastAsia" w:ascii="宋体_GB2312" w:hAnsi="宋体_GB2312" w:eastAsia="宋体_GB2312"/>
                <w:sz w:val="21"/>
                <w:szCs w:val="21"/>
              </w:rPr>
              <w:t>盒式光分路器</w:t>
            </w:r>
            <w:r>
              <w:rPr>
                <w:rFonts w:ascii="宋体_GB2312" w:hAnsi="宋体_GB2312" w:eastAsia="宋体_GB2312"/>
                <w:sz w:val="21"/>
                <w:szCs w:val="21"/>
              </w:rPr>
              <w:t>I型</w:t>
            </w:r>
          </w:p>
          <w:p>
            <w:pPr>
              <w:spacing w:line="360" w:lineRule="auto"/>
              <w:ind w:firstLine="420" w:firstLineChars="200"/>
              <w:jc w:val="center"/>
              <w:rPr>
                <w:rFonts w:ascii="宋体_GB2312" w:hAnsi="宋体_GB2312" w:eastAsia="宋体_GB2312" w:cs="Arial"/>
                <w:bCs/>
                <w:sz w:val="21"/>
                <w:szCs w:val="21"/>
              </w:rPr>
            </w:pPr>
            <w:r>
              <w:rPr>
                <w:rFonts w:hint="eastAsia" w:ascii="宋体_GB2312" w:hAnsi="宋体_GB2312" w:eastAsia="宋体_GB2312"/>
                <w:kern w:val="0"/>
                <w:sz w:val="21"/>
                <w:szCs w:val="21"/>
              </w:rPr>
              <w:t>（金属箱体）</w:t>
            </w:r>
          </w:p>
        </w:tc>
        <w:tc>
          <w:tcPr>
            <w:tcW w:w="1843"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14（共168芯）</w:t>
            </w:r>
          </w:p>
        </w:tc>
        <w:tc>
          <w:tcPr>
            <w:tcW w:w="1984"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12（共144芯）</w:t>
            </w:r>
          </w:p>
        </w:tc>
        <w:tc>
          <w:tcPr>
            <w:tcW w:w="2126"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6</w:t>
            </w:r>
          </w:p>
        </w:tc>
        <w:tc>
          <w:tcPr>
            <w:tcW w:w="1276" w:type="dxa"/>
            <w:vAlign w:val="center"/>
          </w:tcPr>
          <w:p>
            <w:pPr>
              <w:spacing w:line="360" w:lineRule="auto"/>
              <w:rPr>
                <w:rFonts w:ascii="宋体_GB2312" w:hAnsi="宋体_GB2312" w:eastAsia="宋体_GB2312"/>
                <w:kern w:val="0"/>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trPr>
        <w:tc>
          <w:tcPr>
            <w:tcW w:w="2269"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1843"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28（共336芯）</w:t>
            </w:r>
          </w:p>
        </w:tc>
        <w:tc>
          <w:tcPr>
            <w:tcW w:w="1984"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12（共144芯）</w:t>
            </w:r>
          </w:p>
        </w:tc>
        <w:tc>
          <w:tcPr>
            <w:tcW w:w="2126"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8</w:t>
            </w:r>
          </w:p>
        </w:tc>
        <w:tc>
          <w:tcPr>
            <w:tcW w:w="1276" w:type="dxa"/>
            <w:vAlign w:val="center"/>
          </w:tcPr>
          <w:p>
            <w:pPr>
              <w:spacing w:line="360" w:lineRule="auto"/>
              <w:rPr>
                <w:rFonts w:ascii="宋体_GB2312" w:hAnsi="宋体_GB2312" w:eastAsia="宋体_GB2312" w:cs="Arial"/>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trPr>
        <w:tc>
          <w:tcPr>
            <w:tcW w:w="2269"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1843"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60（共720芯）</w:t>
            </w:r>
          </w:p>
        </w:tc>
        <w:tc>
          <w:tcPr>
            <w:tcW w:w="1984"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24（共288芯）</w:t>
            </w:r>
          </w:p>
        </w:tc>
        <w:tc>
          <w:tcPr>
            <w:tcW w:w="2126"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16</w:t>
            </w:r>
          </w:p>
        </w:tc>
        <w:tc>
          <w:tcPr>
            <w:tcW w:w="1276" w:type="dxa"/>
            <w:vAlign w:val="center"/>
          </w:tcPr>
          <w:p>
            <w:pPr>
              <w:spacing w:line="360" w:lineRule="auto"/>
              <w:rPr>
                <w:rFonts w:ascii="宋体_GB2312" w:hAnsi="宋体_GB2312" w:eastAsia="宋体_GB2312"/>
                <w:kern w:val="0"/>
                <w:sz w:val="21"/>
                <w:szCs w:val="21"/>
              </w:rPr>
            </w:pPr>
            <w:r>
              <w:rPr>
                <w:rFonts w:ascii="宋体_GB2312" w:hAnsi="宋体_GB2312" w:eastAsia="宋体_GB2312"/>
                <w:kern w:val="0"/>
                <w:sz w:val="21"/>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trPr>
        <w:tc>
          <w:tcPr>
            <w:tcW w:w="2269" w:type="dxa"/>
            <w:vMerge w:val="continue"/>
            <w:vAlign w:val="center"/>
          </w:tcPr>
          <w:p>
            <w:pPr>
              <w:spacing w:line="360" w:lineRule="auto"/>
              <w:ind w:firstLine="420" w:firstLineChars="200"/>
              <w:jc w:val="center"/>
              <w:rPr>
                <w:rFonts w:ascii="宋体_GB2312" w:hAnsi="宋体_GB2312" w:eastAsia="宋体_GB2312" w:cs="Arial"/>
                <w:bCs/>
                <w:sz w:val="21"/>
                <w:szCs w:val="21"/>
              </w:rPr>
            </w:pPr>
          </w:p>
        </w:tc>
        <w:tc>
          <w:tcPr>
            <w:tcW w:w="1843" w:type="dxa"/>
            <w:vAlign w:val="center"/>
          </w:tcPr>
          <w:p>
            <w:pPr>
              <w:spacing w:line="360" w:lineRule="auto"/>
              <w:rPr>
                <w:rFonts w:ascii="宋体_GB2312" w:hAnsi="宋体_GB2312" w:eastAsia="宋体_GB2312" w:cs="Arial"/>
                <w:sz w:val="21"/>
                <w:szCs w:val="21"/>
              </w:rPr>
            </w:pPr>
            <w:r>
              <w:rPr>
                <w:rFonts w:ascii="宋体_GB2312" w:hAnsi="宋体_GB2312" w:eastAsia="宋体_GB2312" w:cs="Arial"/>
                <w:sz w:val="21"/>
                <w:szCs w:val="21"/>
              </w:rPr>
              <w:t>56（共672芯）</w:t>
            </w:r>
          </w:p>
        </w:tc>
        <w:tc>
          <w:tcPr>
            <w:tcW w:w="1984" w:type="dxa"/>
            <w:vAlign w:val="center"/>
          </w:tcPr>
          <w:p>
            <w:pPr>
              <w:spacing w:line="360" w:lineRule="auto"/>
              <w:ind w:firstLine="420" w:firstLineChars="200"/>
              <w:rPr>
                <w:rFonts w:ascii="宋体_GB2312" w:hAnsi="宋体_GB2312" w:eastAsia="宋体_GB2312" w:cs="Arial"/>
                <w:sz w:val="21"/>
                <w:szCs w:val="21"/>
              </w:rPr>
            </w:pPr>
            <w:r>
              <w:rPr>
                <w:rFonts w:ascii="宋体_GB2312" w:hAnsi="宋体_GB2312" w:eastAsia="宋体_GB2312" w:cs="Arial"/>
                <w:sz w:val="21"/>
                <w:szCs w:val="21"/>
              </w:rPr>
              <w:t>24（共288芯）</w:t>
            </w:r>
          </w:p>
        </w:tc>
        <w:tc>
          <w:tcPr>
            <w:tcW w:w="2126" w:type="dxa"/>
            <w:vAlign w:val="center"/>
          </w:tcPr>
          <w:p>
            <w:pPr>
              <w:spacing w:line="360" w:lineRule="auto"/>
              <w:ind w:firstLine="420" w:firstLineChars="200"/>
              <w:jc w:val="center"/>
              <w:rPr>
                <w:rFonts w:ascii="宋体_GB2312" w:hAnsi="宋体_GB2312" w:eastAsia="宋体_GB2312" w:cs="Arial"/>
                <w:sz w:val="21"/>
                <w:szCs w:val="21"/>
              </w:rPr>
            </w:pPr>
            <w:r>
              <w:rPr>
                <w:rFonts w:ascii="宋体_GB2312" w:hAnsi="宋体_GB2312" w:eastAsia="宋体_GB2312" w:cs="Arial"/>
                <w:sz w:val="21"/>
                <w:szCs w:val="21"/>
              </w:rPr>
              <w:t>16</w:t>
            </w:r>
          </w:p>
        </w:tc>
        <w:tc>
          <w:tcPr>
            <w:tcW w:w="1276" w:type="dxa"/>
            <w:vAlign w:val="center"/>
          </w:tcPr>
          <w:p>
            <w:pPr>
              <w:spacing w:line="360" w:lineRule="auto"/>
              <w:rPr>
                <w:rFonts w:ascii="宋体_GB2312" w:hAnsi="宋体_GB2312" w:eastAsia="宋体_GB2312"/>
                <w:kern w:val="0"/>
                <w:sz w:val="21"/>
                <w:szCs w:val="21"/>
              </w:rPr>
            </w:pPr>
            <w:r>
              <w:rPr>
                <w:rFonts w:hint="eastAsia" w:ascii="宋体_GB2312" w:hAnsi="宋体_GB2312" w:eastAsia="宋体_GB2312"/>
                <w:kern w:val="0"/>
                <w:sz w:val="21"/>
                <w:szCs w:val="21"/>
              </w:rPr>
              <w:t>双</w:t>
            </w:r>
            <w:r>
              <w:rPr>
                <w:rFonts w:ascii="宋体_GB2312" w:hAnsi="宋体_GB2312" w:eastAsia="宋体_GB2312"/>
                <w:kern w:val="0"/>
                <w:sz w:val="21"/>
                <w:szCs w:val="21"/>
              </w:rPr>
              <w:t>面操作</w:t>
            </w:r>
          </w:p>
        </w:tc>
      </w:tr>
    </w:tbl>
    <w:p>
      <w:pPr>
        <w:pStyle w:val="62"/>
        <w:spacing w:line="560" w:lineRule="exact"/>
        <w:ind w:firstLine="480" w:firstLineChars="200"/>
        <w:rPr>
          <w:rFonts w:ascii="宋体_GB2312" w:hAnsi="宋体_GB2312" w:eastAsia="宋体_GB2312"/>
          <w:sz w:val="24"/>
          <w:szCs w:val="24"/>
        </w:rPr>
      </w:pPr>
    </w:p>
    <w:p>
      <w:pPr>
        <w:pStyle w:val="62"/>
        <w:spacing w:line="560" w:lineRule="exact"/>
        <w:ind w:firstLine="480" w:firstLineChars="200"/>
        <w:rPr>
          <w:rFonts w:ascii="宋体_GB2312" w:hAnsi="宋体_GB2312" w:eastAsia="宋体_GB2312"/>
          <w:sz w:val="24"/>
          <w:szCs w:val="24"/>
        </w:rPr>
      </w:pPr>
      <w:r>
        <w:rPr>
          <w:rFonts w:hint="eastAsia" w:ascii="宋体_GB2312" w:hAnsi="宋体_GB2312" w:eastAsia="宋体_GB2312"/>
          <w:sz w:val="24"/>
          <w:szCs w:val="24"/>
        </w:rPr>
        <w:t>（</w:t>
      </w:r>
      <w:r>
        <w:rPr>
          <w:rFonts w:ascii="宋体_GB2312" w:hAnsi="宋体_GB2312" w:eastAsia="宋体_GB2312"/>
          <w:sz w:val="24"/>
          <w:szCs w:val="24"/>
        </w:rPr>
        <w:t>2）内部结构示意图</w:t>
      </w:r>
      <w:r>
        <w:rPr>
          <w:rFonts w:ascii="宋体_GB2312" w:hAnsi="宋体_GB2312" w:eastAsia="宋体_GB2312"/>
          <w:szCs w:val="21"/>
        </w:rPr>
        <w:t xml:space="preserve">  </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727325" cy="2512695"/>
            <wp:effectExtent l="0" t="0" r="0" b="0"/>
            <wp:docPr id="39" name="图片 39" descr="1Y8P21P{C9}%Q%)VAZS96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Y8P21P{C9}%Q%)VAZS96U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727325" cy="2512695"/>
                    </a:xfrm>
                    <a:prstGeom prst="rect">
                      <a:avLst/>
                    </a:prstGeom>
                    <a:noFill/>
                    <a:ln>
                      <a:noFill/>
                    </a:ln>
                  </pic:spPr>
                </pic:pic>
              </a:graphicData>
            </a:graphic>
          </wp:inline>
        </w:drawing>
      </w:r>
      <w:r>
        <w:rPr>
          <w:rFonts w:ascii="宋体_GB2312" w:hAnsi="宋体_GB2312" w:eastAsia="宋体_GB2312"/>
        </w:rPr>
        <w:t xml:space="preserve"> </w:t>
      </w:r>
      <w:r>
        <w:rPr>
          <w:rFonts w:ascii="宋体_GB2312" w:hAnsi="宋体_GB2312" w:eastAsia="宋体_GB2312"/>
        </w:rPr>
        <w:drawing>
          <wp:inline distT="0" distB="0" distL="0" distR="0">
            <wp:extent cx="2790825" cy="2512695"/>
            <wp:effectExtent l="0" t="0" r="0" b="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790825" cy="2512695"/>
                    </a:xfrm>
                    <a:prstGeom prst="rect">
                      <a:avLst/>
                    </a:prstGeom>
                    <a:noFill/>
                    <a:ln>
                      <a:noFill/>
                    </a:ln>
                  </pic:spPr>
                </pic:pic>
              </a:graphicData>
            </a:graphic>
          </wp:inline>
        </w:drawing>
      </w:r>
    </w:p>
    <w:p>
      <w:pPr>
        <w:pStyle w:val="55"/>
        <w:spacing w:line="360" w:lineRule="auto"/>
        <w:ind w:firstLine="600" w:firstLineChars="250"/>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20：144芯箱体内部结构图                图21：144芯箱体</w:t>
      </w:r>
      <w:r>
        <w:rPr>
          <w:rFonts w:hint="eastAsia" w:ascii="宋体_GB2312" w:hAnsi="宋体_GB2312" w:eastAsia="宋体_GB2312"/>
          <w:sz w:val="24"/>
          <w:szCs w:val="24"/>
        </w:rPr>
        <w:t>走线示意</w:t>
      </w:r>
      <w:r>
        <w:rPr>
          <w:rFonts w:ascii="宋体_GB2312" w:hAnsi="宋体_GB2312" w:eastAsia="宋体_GB2312"/>
          <w:sz w:val="24"/>
          <w:szCs w:val="24"/>
        </w:rPr>
        <w:t>图</w:t>
      </w:r>
    </w:p>
    <w:p>
      <w:pPr>
        <w:pStyle w:val="55"/>
        <w:spacing w:line="360" w:lineRule="auto"/>
        <w:ind w:firstLine="420"/>
        <w:jc w:val="center"/>
        <w:rPr>
          <w:rFonts w:ascii="宋体_GB2312" w:hAnsi="宋体_GB2312" w:eastAsia="宋体_GB2312"/>
          <w:szCs w:val="21"/>
        </w:rPr>
      </w:pP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4317365" cy="3260090"/>
            <wp:effectExtent l="0" t="0" r="0" b="0"/>
            <wp:docPr id="41" name="图片 41" descr="N}K}9I6MG]{2T07[3C((W@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N}K}9I6MG]{2T07[3C((W@L"/>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317365" cy="326009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22：288芯箱体内部结构图</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4277995" cy="3347720"/>
            <wp:effectExtent l="0" t="0" r="0" b="0"/>
            <wp:docPr id="42" name="图片 42" descr="@]O2R0C`I7DN~$({BE3F0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O2R0C`I7DN~$({BE3F0D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277995" cy="334772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23：288芯箱体</w:t>
      </w:r>
      <w:r>
        <w:rPr>
          <w:rFonts w:hint="eastAsia" w:ascii="宋体_GB2312" w:hAnsi="宋体_GB2312" w:eastAsia="宋体_GB2312"/>
          <w:sz w:val="24"/>
          <w:szCs w:val="24"/>
        </w:rPr>
        <w:t>走线示意</w:t>
      </w:r>
      <w:r>
        <w:rPr>
          <w:rFonts w:ascii="宋体_GB2312" w:hAnsi="宋体_GB2312" w:eastAsia="宋体_GB2312"/>
          <w:sz w:val="24"/>
          <w:szCs w:val="24"/>
        </w:rPr>
        <w:t>图</w:t>
      </w:r>
    </w:p>
    <w:p>
      <w:pPr>
        <w:pStyle w:val="55"/>
        <w:spacing w:line="360" w:lineRule="auto"/>
        <w:ind w:firstLine="480"/>
        <w:jc w:val="center"/>
        <w:rPr>
          <w:rFonts w:ascii="宋体_GB2312" w:hAnsi="宋体_GB2312" w:eastAsia="宋体_GB2312"/>
          <w:sz w:val="24"/>
          <w:szCs w:val="24"/>
        </w:rPr>
      </w:pP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5192395" cy="3068955"/>
            <wp:effectExtent l="0" t="0" r="0" b="0"/>
            <wp:docPr id="43" name="图片 43" descr="IHF7XMSW9XUB}B9H_S5L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IHF7XMSW9XUB}B9H_S5LI{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192395" cy="3068955"/>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24：576芯单面箱体内部结构图</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5502275" cy="3315970"/>
            <wp:effectExtent l="0" t="0" r="0" b="0"/>
            <wp:docPr id="44" name="图片 44" descr="UFG0(~`S[`ZZ%S{D{@U[RN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UFG0(~`S[`ZZ%S{D{@U[RNB"/>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5502275" cy="331597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25：576芯单面箱体走线示意图</w:t>
      </w:r>
    </w:p>
    <w:p>
      <w:pPr>
        <w:autoSpaceDE w:val="0"/>
        <w:autoSpaceDN w:val="0"/>
        <w:adjustRightInd w:val="0"/>
        <w:spacing w:line="360" w:lineRule="auto"/>
        <w:ind w:firstLine="420" w:firstLineChars="200"/>
        <w:jc w:val="center"/>
        <w:rPr>
          <w:rFonts w:ascii="宋体_GB2312" w:hAnsi="宋体_GB2312" w:eastAsia="宋体_GB2312"/>
          <w:kern w:val="0"/>
          <w:sz w:val="21"/>
          <w:szCs w:val="21"/>
        </w:rPr>
      </w:pP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4301490" cy="2901950"/>
            <wp:effectExtent l="0" t="0" r="0" b="0"/>
            <wp:docPr id="45" name="图片 45" descr="ZFB]~9UIU4K_UF2}TF_8ID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ZFB]~9UIU4K_UF2}TF_8IDQ"/>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301490" cy="290195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26：576芯箱体内部结构图</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4723130" cy="3228340"/>
            <wp:effectExtent l="0" t="0" r="0" b="0"/>
            <wp:docPr id="46" name="图片 46" descr="6$FTIE[ZFZQ%M)HET~V9%Y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6$FTIE[ZFZQ%M)HET~V9%YH"/>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723130" cy="322834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27：576芯箱体</w:t>
      </w:r>
      <w:r>
        <w:rPr>
          <w:rFonts w:hint="eastAsia" w:ascii="宋体_GB2312" w:hAnsi="宋体_GB2312" w:eastAsia="宋体_GB2312"/>
          <w:sz w:val="24"/>
          <w:szCs w:val="24"/>
        </w:rPr>
        <w:t>走线示意</w:t>
      </w:r>
      <w:r>
        <w:rPr>
          <w:rFonts w:ascii="宋体_GB2312" w:hAnsi="宋体_GB2312" w:eastAsia="宋体_GB2312"/>
          <w:sz w:val="24"/>
          <w:szCs w:val="24"/>
        </w:rPr>
        <w:t>图</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（3）主要工作单元结构</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1）光分单元</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光分单元由光分框和</w:t>
      </w:r>
      <w:r>
        <w:rPr>
          <w:rFonts w:hint="eastAsia" w:ascii="宋体_GB2312" w:hAnsi="宋体_GB2312" w:eastAsia="宋体_GB2312"/>
          <w:sz w:val="24"/>
          <w:szCs w:val="24"/>
        </w:rPr>
        <w:t>光分路器</w:t>
      </w:r>
      <w:r>
        <w:rPr>
          <w:rFonts w:ascii="宋体_GB2312" w:hAnsi="宋体_GB2312" w:eastAsia="宋体_GB2312"/>
          <w:sz w:val="24"/>
          <w:szCs w:val="24"/>
        </w:rPr>
        <w:t>组成，用于</w:t>
      </w:r>
      <w:r>
        <w:rPr>
          <w:rFonts w:hint="eastAsia" w:ascii="宋体_GB2312" w:hAnsi="宋体_GB2312" w:eastAsia="宋体_GB2312"/>
          <w:sz w:val="24"/>
          <w:szCs w:val="24"/>
        </w:rPr>
        <w:t>盒式光分路器</w:t>
      </w:r>
      <w:r>
        <w:rPr>
          <w:rFonts w:ascii="宋体_GB2312" w:hAnsi="宋体_GB2312" w:eastAsia="宋体_GB2312"/>
          <w:sz w:val="24"/>
          <w:szCs w:val="24"/>
        </w:rPr>
        <w:t>的安装</w:t>
      </w:r>
      <w:r>
        <w:rPr>
          <w:rFonts w:hint="eastAsia" w:ascii="宋体_GB2312" w:hAnsi="宋体_GB2312" w:eastAsia="宋体_GB2312"/>
          <w:sz w:val="24"/>
          <w:szCs w:val="24"/>
        </w:rPr>
        <w:t>。</w:t>
      </w:r>
      <w:r>
        <w:rPr>
          <w:rFonts w:ascii="宋体_GB2312" w:hAnsi="宋体_GB2312" w:eastAsia="宋体_GB2312"/>
          <w:sz w:val="24"/>
          <w:szCs w:val="24"/>
        </w:rPr>
        <w:t xml:space="preserve"> </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2）光缆熔接单元</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光缆熔接单元由12芯终端熔</w:t>
      </w:r>
      <w:r>
        <w:rPr>
          <w:rFonts w:hint="eastAsia" w:ascii="宋体_GB2312" w:hAnsi="宋体_GB2312" w:eastAsia="宋体_GB2312"/>
          <w:sz w:val="24"/>
          <w:szCs w:val="24"/>
        </w:rPr>
        <w:t>接</w:t>
      </w:r>
      <w:r>
        <w:rPr>
          <w:rFonts w:ascii="宋体_GB2312" w:hAnsi="宋体_GB2312" w:eastAsia="宋体_GB2312"/>
          <w:sz w:val="24"/>
          <w:szCs w:val="24"/>
        </w:rPr>
        <w:t>一体化托盘组成，用于主干光缆（通局光缆）的</w:t>
      </w:r>
      <w:r>
        <w:rPr>
          <w:rFonts w:hint="eastAsia" w:ascii="宋体_GB2312" w:hAnsi="宋体_GB2312" w:eastAsia="宋体_GB2312"/>
          <w:sz w:val="24"/>
          <w:szCs w:val="24"/>
        </w:rPr>
        <w:t>成</w:t>
      </w:r>
      <w:r>
        <w:rPr>
          <w:rFonts w:ascii="宋体_GB2312" w:hAnsi="宋体_GB2312" w:eastAsia="宋体_GB2312"/>
          <w:sz w:val="24"/>
          <w:szCs w:val="24"/>
        </w:rPr>
        <w:t>端，采用标准一体化托盘</w:t>
      </w:r>
      <w:r>
        <w:rPr>
          <w:rFonts w:hint="eastAsia" w:ascii="宋体_GB2312" w:hAnsi="宋体_GB2312" w:eastAsia="宋体_GB2312"/>
          <w:sz w:val="24"/>
          <w:szCs w:val="24"/>
        </w:rPr>
        <w:t>，可安装标准</w:t>
      </w:r>
      <w:r>
        <w:rPr>
          <w:rFonts w:ascii="宋体_GB2312" w:hAnsi="宋体_GB2312" w:eastAsia="宋体_GB2312"/>
          <w:sz w:val="24"/>
          <w:szCs w:val="24"/>
        </w:rPr>
        <w:t>FC或SC适配器。</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12芯终端熔接一体化托盘为左右出纤设计，满足外缆的熔接、尾纤的存贮、成端等功能。托盘材料采用阻燃ABS、颜色为PANTONE 3405U，盖板材料采用阻燃ABS、颜色为PANTONE 427U。</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973705" cy="2488565"/>
            <wp:effectExtent l="0" t="0" r="0" b="0"/>
            <wp:docPr id="47" name="图片 47" descr="$D_4[VZ182NYE6VMQFW0V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D_4[VZ182NYE6VMQFW0VKS"/>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973705" cy="2488565"/>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28：12芯终端熔接一体化托盘</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3）</w:t>
      </w:r>
      <w:r>
        <w:rPr>
          <w:rFonts w:hint="eastAsia" w:ascii="宋体_GB2312" w:hAnsi="宋体_GB2312" w:eastAsia="宋体_GB2312"/>
          <w:sz w:val="24"/>
          <w:szCs w:val="24"/>
        </w:rPr>
        <w:t>直熔</w:t>
      </w:r>
      <w:r>
        <w:rPr>
          <w:rFonts w:ascii="宋体_GB2312" w:hAnsi="宋体_GB2312" w:eastAsia="宋体_GB2312"/>
          <w:sz w:val="24"/>
          <w:szCs w:val="24"/>
        </w:rPr>
        <w:t>单元</w:t>
      </w:r>
    </w:p>
    <w:p>
      <w:pPr>
        <w:pStyle w:val="62"/>
        <w:spacing w:line="560" w:lineRule="exact"/>
        <w:ind w:firstLine="480" w:firstLineChars="200"/>
        <w:rPr>
          <w:rFonts w:ascii="宋体_GB2312" w:hAnsi="宋体_GB2312" w:eastAsia="宋体_GB2312"/>
          <w:sz w:val="24"/>
          <w:szCs w:val="24"/>
        </w:rPr>
      </w:pPr>
      <w:r>
        <w:rPr>
          <w:rFonts w:hint="eastAsia" w:ascii="宋体_GB2312" w:hAnsi="宋体_GB2312" w:eastAsia="宋体_GB2312"/>
          <w:sz w:val="24"/>
          <w:szCs w:val="24"/>
        </w:rPr>
        <w:t>直熔</w:t>
      </w:r>
      <w:r>
        <w:rPr>
          <w:rFonts w:ascii="宋体_GB2312" w:hAnsi="宋体_GB2312" w:eastAsia="宋体_GB2312"/>
          <w:sz w:val="24"/>
          <w:szCs w:val="24"/>
        </w:rPr>
        <w:t>单元</w:t>
      </w:r>
      <w:r>
        <w:rPr>
          <w:rFonts w:hint="eastAsia" w:ascii="宋体_GB2312" w:hAnsi="宋体_GB2312" w:eastAsia="宋体_GB2312"/>
          <w:sz w:val="24"/>
          <w:szCs w:val="24"/>
        </w:rPr>
        <w:t>由</w:t>
      </w:r>
      <w:r>
        <w:rPr>
          <w:rFonts w:ascii="宋体_GB2312" w:hAnsi="宋体_GB2312" w:eastAsia="宋体_GB2312"/>
          <w:sz w:val="24"/>
          <w:szCs w:val="24"/>
        </w:rPr>
        <w:t>12芯直熔盘组成，用于过路光缆的熔接。</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12芯直熔盘的材料采用阻燃ABS、颜色为PANTONE 3405U。</w:t>
      </w:r>
    </w:p>
    <w:p>
      <w:pPr>
        <w:widowControl/>
        <w:jc w:val="center"/>
        <w:rPr>
          <w:rFonts w:ascii="宋体_GB2312" w:hAnsi="宋体_GB2312" w:eastAsia="宋体_GB2312" w:cs="宋体"/>
          <w:kern w:val="0"/>
          <w:szCs w:val="24"/>
        </w:rPr>
      </w:pPr>
      <w:r>
        <w:rPr>
          <w:rFonts w:ascii="宋体_GB2312" w:hAnsi="宋体_GB2312" w:eastAsia="宋体_GB2312" w:cs="宋体"/>
          <w:kern w:val="0"/>
          <w:szCs w:val="24"/>
        </w:rPr>
        <w:drawing>
          <wp:inline distT="0" distB="0" distL="0" distR="0">
            <wp:extent cx="2926080" cy="1884680"/>
            <wp:effectExtent l="0" t="0" r="0" b="0"/>
            <wp:docPr id="48" name="图片 48" descr="2GR5Z2LFDI`0228CMO8W@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GR5Z2LFDI`0228CMO8W@IQ"/>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926080" cy="1884680"/>
                    </a:xfrm>
                    <a:prstGeom prst="rect">
                      <a:avLst/>
                    </a:prstGeom>
                    <a:noFill/>
                    <a:ln>
                      <a:noFill/>
                    </a:ln>
                  </pic:spPr>
                </pic:pic>
              </a:graphicData>
            </a:graphic>
          </wp:inline>
        </w:drawing>
      </w:r>
    </w:p>
    <w:p>
      <w:pPr>
        <w:pStyle w:val="5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w:t>
      </w:r>
      <w:r>
        <w:rPr>
          <w:rFonts w:ascii="宋体_GB2312" w:hAnsi="宋体_GB2312" w:eastAsia="宋体_GB2312"/>
          <w:sz w:val="24"/>
          <w:szCs w:val="24"/>
        </w:rPr>
        <w:t>29: 12芯直熔盘</w:t>
      </w:r>
    </w:p>
    <w:p>
      <w:pPr>
        <w:pStyle w:val="62"/>
        <w:spacing w:line="560" w:lineRule="exact"/>
        <w:ind w:firstLine="480" w:firstLineChars="200"/>
        <w:rPr>
          <w:rFonts w:ascii="宋体_GB2312" w:hAnsi="宋体_GB2312" w:eastAsia="宋体_GB2312"/>
          <w:sz w:val="24"/>
          <w:szCs w:val="24"/>
        </w:rPr>
      </w:pPr>
      <w:r>
        <w:rPr>
          <w:rFonts w:ascii="宋体_GB2312" w:hAnsi="宋体_GB2312" w:eastAsia="宋体_GB2312"/>
          <w:sz w:val="24"/>
          <w:szCs w:val="24"/>
        </w:rPr>
        <w:t>4）</w:t>
      </w:r>
      <w:r>
        <w:rPr>
          <w:rFonts w:hint="eastAsia" w:ascii="宋体_GB2312" w:hAnsi="宋体_GB2312" w:eastAsia="宋体_GB2312"/>
          <w:sz w:val="24"/>
          <w:szCs w:val="24"/>
        </w:rPr>
        <w:t>尾纤驻留</w:t>
      </w:r>
      <w:r>
        <w:rPr>
          <w:rFonts w:ascii="宋体_GB2312" w:hAnsi="宋体_GB2312" w:eastAsia="宋体_GB2312"/>
          <w:sz w:val="24"/>
          <w:szCs w:val="24"/>
        </w:rPr>
        <w:t>单元</w:t>
      </w:r>
    </w:p>
    <w:p>
      <w:pPr>
        <w:pStyle w:val="62"/>
        <w:spacing w:line="560" w:lineRule="exact"/>
        <w:ind w:firstLine="480" w:firstLineChars="200"/>
        <w:rPr>
          <w:rFonts w:ascii="宋体_GB2312" w:hAnsi="宋体_GB2312" w:eastAsia="宋体_GB2312"/>
          <w:szCs w:val="21"/>
        </w:rPr>
      </w:pPr>
      <w:r>
        <w:rPr>
          <w:rFonts w:hint="eastAsia" w:ascii="宋体_GB2312" w:hAnsi="宋体_GB2312" w:eastAsia="宋体_GB2312"/>
          <w:sz w:val="24"/>
          <w:szCs w:val="24"/>
        </w:rPr>
        <w:t>用于光缆成端尾纤或盒式光分路器成端尾纤的储存，主要有托盘式、适配器插槽式、槽盒式三种结构形式。</w:t>
      </w:r>
      <w:r>
        <w:rPr>
          <w:rFonts w:ascii="宋体_GB2312" w:hAnsi="宋体_GB2312" w:eastAsia="宋体_GB2312"/>
          <w:szCs w:val="21"/>
        </w:rPr>
        <w:t xml:space="preserve"> </w:t>
      </w:r>
    </w:p>
    <w:sectPr>
      <w:headerReference r:id="rId7" w:type="default"/>
      <w:footerReference r:id="rId9" w:type="default"/>
      <w:headerReference r:id="rId8" w:type="even"/>
      <w:pgSz w:w="11906" w:h="16838"/>
      <w:pgMar w:top="1134" w:right="1230" w:bottom="1134" w:left="1474" w:header="283" w:footer="510" w:gutter="0"/>
      <w:pgNumType w:start="1"/>
      <w:cols w:space="425" w:num="1"/>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2"/>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宋体_GB2312">
    <w:panose1 w:val="02010600030101010101"/>
    <w:charset w:val="86"/>
    <w:family w:val="auto"/>
    <w:pitch w:val="default"/>
    <w:sig w:usb0="800002BF" w:usb1="28CF7CFA" w:usb2="00000016" w:usb3="00000000" w:csb0="6016019D" w:csb1="D3F70000"/>
  </w:font>
  <w:font w:name="微软雅黑">
    <w:panose1 w:val="020B0503020204020204"/>
    <w:charset w:val="86"/>
    <w:family w:val="auto"/>
    <w:pitch w:val="default"/>
    <w:sig w:usb0="80000287" w:usb1="28C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Bdr>
        <w:top w:val="none" w:color="auto" w:sz="0" w:space="0"/>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Bdr>
        <w:top w:val="none" w:color="auto" w:sz="0" w:space="0"/>
      </w:pBdr>
      <w:jc w:val="center"/>
      <w:rPr>
        <w:rFonts w:ascii="Times New Roman" w:hAnsi="Times New Roman"/>
        <w:sz w:val="21"/>
        <w:szCs w:val="21"/>
      </w:rPr>
    </w:pPr>
    <w:r>
      <w:rPr>
        <w:rFonts w:ascii="Times New Roman" w:hAnsi="Times New Roman"/>
        <w:sz w:val="21"/>
        <w:szCs w:val="21"/>
      </w:rPr>
      <w:fldChar w:fldCharType="begin"/>
    </w:r>
    <w:r>
      <w:rPr>
        <w:rFonts w:ascii="Times New Roman" w:hAnsi="Times New Roman"/>
        <w:sz w:val="21"/>
        <w:szCs w:val="21"/>
      </w:rPr>
      <w:instrText xml:space="preserve">PAGE   \* MERGEFORMAT</w:instrText>
    </w:r>
    <w:r>
      <w:rPr>
        <w:rFonts w:ascii="Times New Roman" w:hAnsi="Times New Roman"/>
        <w:sz w:val="21"/>
        <w:szCs w:val="21"/>
      </w:rPr>
      <w:fldChar w:fldCharType="separate"/>
    </w:r>
    <w:r>
      <w:rPr>
        <w:rFonts w:ascii="Times New Roman" w:hAnsi="Times New Roman"/>
        <w:sz w:val="21"/>
        <w:szCs w:val="21"/>
      </w:rPr>
      <w:t>i</w:t>
    </w:r>
    <w:r>
      <w:rPr>
        <w:rFonts w:ascii="Times New Roman" w:hAnsi="Times New Roman"/>
        <w:sz w:val="21"/>
        <w:szCs w:val="21"/>
      </w:rPr>
      <w:fldChar w:fldCharType="end"/>
    </w:r>
  </w:p>
  <w:p>
    <w:pPr>
      <w:pStyle w:val="26"/>
      <w:pBdr>
        <w:top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Bdr>
        <w:top w:val="single" w:color="auto" w:sz="6" w:space="1"/>
      </w:pBdr>
      <w:jc w:val="center"/>
    </w:pPr>
    <w:r>
      <w:rPr>
        <w:rFonts w:ascii="Times New Roman" w:hAnsi="Times New Roman"/>
        <w:sz w:val="21"/>
        <w:szCs w:val="21"/>
      </w:rPr>
      <w:fldChar w:fldCharType="begin"/>
    </w:r>
    <w:r>
      <w:rPr>
        <w:rFonts w:ascii="Times New Roman" w:hAnsi="Times New Roman"/>
        <w:sz w:val="21"/>
        <w:szCs w:val="21"/>
      </w:rPr>
      <w:instrText xml:space="preserve">PAGE   \* MERGEFORMAT</w:instrText>
    </w:r>
    <w:r>
      <w:rPr>
        <w:rFonts w:ascii="Times New Roman" w:hAnsi="Times New Roman"/>
        <w:sz w:val="21"/>
        <w:szCs w:val="21"/>
      </w:rPr>
      <w:fldChar w:fldCharType="separate"/>
    </w:r>
    <w:r>
      <w:rPr>
        <w:rFonts w:ascii="Times New Roman" w:hAnsi="Times New Roman"/>
        <w:sz w:val="21"/>
        <w:szCs w:val="21"/>
      </w:rPr>
      <w:t>2</w:t>
    </w:r>
    <w:r>
      <w:rPr>
        <w:rFonts w:ascii="Times New Roman" w:hAnsi="Times New Roman"/>
        <w:sz w:val="21"/>
        <w:szCs w:val="21"/>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7"/>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7"/>
      <w:pBdr>
        <w:bottom w:val="none" w:color="auto" w:sz="0" w:space="0"/>
      </w:pBdr>
      <w:jc w:val="right"/>
    </w:pPr>
    <w:r>
      <w:rPr>
        <w:rFonts w:hint="eastAsia"/>
        <w:kern w:val="0"/>
      </w:rPr>
      <w:t xml:space="preserve">                        </w:t>
    </w:r>
    <w:r>
      <mc:AlternateContent>
        <mc:Choice Requires="wps">
          <w:drawing>
            <wp:anchor distT="0" distB="0" distL="114300" distR="114300" simplePos="0" relativeHeight="251658240" behindDoc="0" locked="0" layoutInCell="1" allowOverlap="1">
              <wp:simplePos x="0" y="0"/>
              <wp:positionH relativeFrom="column">
                <wp:posOffset>49530</wp:posOffset>
              </wp:positionH>
              <wp:positionV relativeFrom="line">
                <wp:posOffset>314325</wp:posOffset>
              </wp:positionV>
              <wp:extent cx="5476875" cy="0"/>
              <wp:effectExtent l="1905" t="0" r="0" b="0"/>
              <wp:wrapNone/>
              <wp:docPr id="1" name="AutoShape 1"/>
              <wp:cNvGraphicFramePr/>
              <a:graphic xmlns:a="http://schemas.openxmlformats.org/drawingml/2006/main">
                <a:graphicData uri="http://schemas.microsoft.com/office/word/2010/wordprocessingShape">
                  <wps:wsp>
                    <wps:cNvCnPr>
                      <a:cxnSpLocks noChangeShapeType="1"/>
                    </wps:cNvCnPr>
                    <wps:spPr bwMode="auto">
                      <a:xfrm>
                        <a:off x="0" y="0"/>
                        <a:ext cx="5476875" cy="0"/>
                      </a:xfrm>
                      <a:prstGeom prst="straightConnector1">
                        <a:avLst/>
                      </a:prstGeom>
                      <a:noFill/>
                      <a:ln>
                        <a:noFill/>
                      </a:ln>
                    </wps:spPr>
                    <wps:bodyPr/>
                  </wps:wsp>
                </a:graphicData>
              </a:graphic>
            </wp:anchor>
          </w:drawing>
        </mc:Choice>
        <mc:Fallback>
          <w:pict>
            <v:shape id="AutoShape 1" o:spid="_x0000_s1026" o:spt="32" type="#_x0000_t32" style="position:absolute;left:0pt;margin-left:3.9pt;margin-top:24.75pt;height:0pt;width:431.25pt;mso-position-vertical-relative:line;z-index:251658240;mso-width-relative:page;mso-height-relative:page;" filled="f" stroked="f" coordsize="21600,21600" o:gfxdata="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A3l&#10;cy/VAAAABwEAAA8AAAAAAAAAAQAgAAAAIgAAAGRycy9kb3ducmV2LnhtbFBLAQIUABQAAAAIAIdO&#10;4kA8E+2AtAEAAHYDAAAOAAAAAAAAAAEAIAAAACQBAABkcnMvZTJvRG9jLnhtbFBLBQYAAAAABgAG&#10;AFkBAABKBQAAAAA=&#10;">
              <v:fill on="f" focussize="0,0"/>
              <v:stroke on="f"/>
              <v:imagedata o:title=""/>
              <o:lock v:ext="edit" aspectratio="f"/>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7"/>
      <w:jc w:val="right"/>
      <w:rPr>
        <w:kern w:val="0"/>
      </w:rPr>
    </w:pPr>
    <w:r>
      <w:rPr>
        <w:rFonts w:hint="eastAsia"/>
        <w:kern w:val="0"/>
      </w:rPr>
      <w:t xml:space="preserve">                          </w:t>
    </w:r>
  </w:p>
  <w:p>
    <w:pPr>
      <w:pStyle w:val="27"/>
      <w:jc w:val="right"/>
      <w:rPr>
        <w:rFonts w:hint="eastAsia" w:eastAsia="宋体"/>
        <w:lang w:eastAsia="zh-CN"/>
      </w:rPr>
    </w:pPr>
    <w:r>
      <w:rPr>
        <w:rFonts w:hint="eastAsia" w:ascii="Times New Roman" w:hAnsi="Times New Roman"/>
      </w:rPr>
      <w:t>中国联通免跳纤光缆交接箱</w:t>
    </w:r>
    <w:r>
      <w:rPr>
        <w:rFonts w:hint="eastAsia"/>
      </w:rPr>
      <w:t>技术规范书</w:t>
    </w:r>
    <w:r>
      <w:rPr>
        <w:rFonts w:hint="eastAsia"/>
        <w:lang w:eastAsia="zh-CN"/>
      </w:rPr>
      <w:t>（</w:t>
    </w:r>
    <w:r>
      <w:rPr>
        <w:rFonts w:hint="eastAsia"/>
        <w:lang w:val="en-US" w:eastAsia="zh-CN"/>
      </w:rPr>
      <w:t>2020版</w:t>
    </w:r>
    <w:r>
      <w:rPr>
        <w:rFonts w:hint="eastAsia"/>
        <w:lang w:eastAsia="zh-CN"/>
      </w:rPr>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15CD"/>
    <w:multiLevelType w:val="multilevel"/>
    <w:tmpl w:val="040A15CD"/>
    <w:lvl w:ilvl="0" w:tentative="0">
      <w:start w:val="1"/>
      <w:numFmt w:val="none"/>
      <w:suff w:val="nothing"/>
      <w:lvlText w:val="　"/>
      <w:lvlJc w:val="left"/>
      <w:pPr>
        <w:ind w:left="0" w:firstLine="0"/>
      </w:pPr>
      <w:rPr>
        <w:rFonts w:hint="eastAsia" w:ascii="黑体" w:hAnsi="Times New Roman" w:eastAsia="黑体"/>
        <w:b w:val="0"/>
        <w:i w:val="0"/>
        <w:sz w:val="21"/>
      </w:rPr>
    </w:lvl>
    <w:lvl w:ilvl="1" w:tentative="0">
      <w:start w:val="1"/>
      <w:numFmt w:val="decimal"/>
      <w:isLgl/>
      <w:suff w:val="nothing"/>
      <w:lvlText w:val="%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143"/>
      <w:suff w:val="nothing"/>
      <w:lvlText w:val="%1%2.%3　"/>
      <w:lvlJc w:val="left"/>
      <w:pPr>
        <w:ind w:left="0" w:firstLine="0"/>
      </w:pPr>
      <w:rPr>
        <w:rFonts w:hint="eastAsia" w:ascii="黑体" w:hAnsi="Times New Roman" w:eastAsia="黑体"/>
        <w:b w:val="0"/>
        <w:i w:val="0"/>
        <w:sz w:val="21"/>
      </w:rPr>
    </w:lvl>
    <w:lvl w:ilvl="3" w:tentative="0">
      <w:start w:val="1"/>
      <w:numFmt w:val="decimal"/>
      <w:pStyle w:val="139"/>
      <w:suff w:val="nothing"/>
      <w:lvlText w:val="%1%2.%3.%4　"/>
      <w:lvlJc w:val="left"/>
      <w:pPr>
        <w:ind w:left="0" w:firstLine="0"/>
      </w:pPr>
      <w:rPr>
        <w:rFonts w:hint="eastAsia" w:ascii="黑体" w:hAnsi="Times New Roman" w:eastAsia="黑体"/>
        <w:b w:val="0"/>
        <w:i w:val="0"/>
        <w:sz w:val="21"/>
      </w:rPr>
    </w:lvl>
    <w:lvl w:ilvl="4" w:tentative="0">
      <w:start w:val="1"/>
      <w:numFmt w:val="decimal"/>
      <w:pStyle w:val="140"/>
      <w:suff w:val="nothing"/>
      <w:lvlText w:val="%1%2.%3.%4.%5　"/>
      <w:lvlJc w:val="left"/>
      <w:pPr>
        <w:ind w:left="0" w:firstLine="0"/>
      </w:pPr>
      <w:rPr>
        <w:rFonts w:hint="eastAsia" w:ascii="黑体" w:hAnsi="Times New Roman" w:eastAsia="黑体"/>
        <w:b w:val="0"/>
        <w:i w:val="0"/>
        <w:sz w:val="21"/>
      </w:rPr>
    </w:lvl>
    <w:lvl w:ilvl="5" w:tentative="0">
      <w:start w:val="1"/>
      <w:numFmt w:val="decimal"/>
      <w:pStyle w:val="141"/>
      <w:suff w:val="nothing"/>
      <w:lvlText w:val="%1%2.%3.%4.%5.%6　"/>
      <w:lvlJc w:val="left"/>
      <w:pPr>
        <w:ind w:left="0" w:firstLine="0"/>
      </w:pPr>
      <w:rPr>
        <w:rFonts w:hint="eastAsia" w:ascii="黑体" w:hAnsi="Times New Roman" w:eastAsia="黑体"/>
        <w:b w:val="0"/>
        <w:i w:val="0"/>
        <w:sz w:val="21"/>
      </w:rPr>
    </w:lvl>
    <w:lvl w:ilvl="6" w:tentative="0">
      <w:start w:val="1"/>
      <w:numFmt w:val="decimal"/>
      <w:pStyle w:val="142"/>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
    <w:nsid w:val="173619FE"/>
    <w:multiLevelType w:val="multilevel"/>
    <w:tmpl w:val="173619FE"/>
    <w:lvl w:ilvl="0" w:tentative="0">
      <w:start w:val="3"/>
      <w:numFmt w:val="decimal"/>
      <w:pStyle w:val="127"/>
      <w:lvlText w:val="%1"/>
      <w:lvlJc w:val="left"/>
      <w:pPr>
        <w:tabs>
          <w:tab w:val="left" w:pos="840"/>
        </w:tabs>
        <w:ind w:left="840" w:hanging="840"/>
      </w:pPr>
      <w:rPr>
        <w:rFonts w:hint="default"/>
      </w:rPr>
    </w:lvl>
    <w:lvl w:ilvl="1" w:tentative="0">
      <w:start w:val="2"/>
      <w:numFmt w:val="decimal"/>
      <w:lvlText w:val="%1.%2"/>
      <w:lvlJc w:val="left"/>
      <w:pPr>
        <w:tabs>
          <w:tab w:val="left" w:pos="840"/>
        </w:tabs>
        <w:ind w:left="840" w:hanging="840"/>
      </w:pPr>
      <w:rPr>
        <w:rFonts w:hint="default"/>
      </w:rPr>
    </w:lvl>
    <w:lvl w:ilvl="2" w:tentative="0">
      <w:start w:val="4"/>
      <w:numFmt w:val="decimal"/>
      <w:lvlText w:val="%1.%2.%3"/>
      <w:lvlJc w:val="left"/>
      <w:pPr>
        <w:tabs>
          <w:tab w:val="left" w:pos="840"/>
        </w:tabs>
        <w:ind w:left="840" w:hanging="840"/>
      </w:pPr>
      <w:rPr>
        <w:rFonts w:hint="default"/>
      </w:rPr>
    </w:lvl>
    <w:lvl w:ilvl="3" w:tentative="0">
      <w:start w:val="1"/>
      <w:numFmt w:val="decimal"/>
      <w:lvlText w:val="%1.%2.%3.%4"/>
      <w:lvlJc w:val="left"/>
      <w:pPr>
        <w:tabs>
          <w:tab w:val="left" w:pos="1080"/>
        </w:tabs>
        <w:ind w:left="1080" w:hanging="1080"/>
      </w:pPr>
      <w:rPr>
        <w:rFonts w:hint="default"/>
      </w:rPr>
    </w:lvl>
    <w:lvl w:ilvl="4" w:tentative="0">
      <w:start w:val="1"/>
      <w:numFmt w:val="decimal"/>
      <w:lvlText w:val="%1.%2.%3.%4.%5"/>
      <w:lvlJc w:val="left"/>
      <w:pPr>
        <w:tabs>
          <w:tab w:val="left" w:pos="1080"/>
        </w:tabs>
        <w:ind w:left="1080" w:hanging="1080"/>
      </w:pPr>
      <w:rPr>
        <w:rFonts w:hint="default"/>
      </w:rPr>
    </w:lvl>
    <w:lvl w:ilvl="5" w:tentative="0">
      <w:start w:val="1"/>
      <w:numFmt w:val="decimal"/>
      <w:lvlText w:val="%1.%2.%3.%4.%5.%6"/>
      <w:lvlJc w:val="left"/>
      <w:pPr>
        <w:tabs>
          <w:tab w:val="left" w:pos="1440"/>
        </w:tabs>
        <w:ind w:left="1440" w:hanging="144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800"/>
        </w:tabs>
        <w:ind w:left="1800" w:hanging="1800"/>
      </w:pPr>
      <w:rPr>
        <w:rFonts w:hint="default"/>
      </w:rPr>
    </w:lvl>
    <w:lvl w:ilvl="8" w:tentative="0">
      <w:start w:val="1"/>
      <w:numFmt w:val="decimal"/>
      <w:lvlText w:val="%1.%2.%3.%4.%5.%6.%7.%8.%9"/>
      <w:lvlJc w:val="left"/>
      <w:pPr>
        <w:tabs>
          <w:tab w:val="left" w:pos="2160"/>
        </w:tabs>
        <w:ind w:left="2160" w:hanging="2160"/>
      </w:pPr>
      <w:rPr>
        <w:rFonts w:hint="default"/>
      </w:rPr>
    </w:lvl>
  </w:abstractNum>
  <w:abstractNum w:abstractNumId="2">
    <w:nsid w:val="1DB15466"/>
    <w:multiLevelType w:val="multilevel"/>
    <w:tmpl w:val="1DB15466"/>
    <w:lvl w:ilvl="0" w:tentative="0">
      <w:start w:val="1"/>
      <w:numFmt w:val="decimal"/>
      <w:lvlText w:val="A.%1"/>
      <w:lvlJc w:val="left"/>
      <w:pPr>
        <w:ind w:left="900" w:hanging="420"/>
      </w:pPr>
      <w:rPr>
        <w:rFonts w:hint="eastAsia"/>
      </w:rPr>
    </w:lvl>
    <w:lvl w:ilvl="1" w:tentative="0">
      <w:start w:val="1"/>
      <w:numFmt w:val="decimal"/>
      <w:lvlText w:val="A.%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46F85008"/>
    <w:multiLevelType w:val="multilevel"/>
    <w:tmpl w:val="46F85008"/>
    <w:lvl w:ilvl="0" w:tentative="0">
      <w:start w:val="1"/>
      <w:numFmt w:val="bullet"/>
      <w:pStyle w:val="6"/>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
    <w:nsid w:val="48D9745E"/>
    <w:multiLevelType w:val="multilevel"/>
    <w:tmpl w:val="48D9745E"/>
    <w:lvl w:ilvl="0" w:tentative="0">
      <w:start w:val="1"/>
      <w:numFmt w:val="japaneseCounting"/>
      <w:lvlText w:val="%1，"/>
      <w:lvlJc w:val="left"/>
      <w:pPr>
        <w:tabs>
          <w:tab w:val="left" w:pos="570"/>
        </w:tabs>
        <w:ind w:left="570" w:hanging="57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pStyle w:val="104"/>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50F03F93"/>
    <w:multiLevelType w:val="multilevel"/>
    <w:tmpl w:val="50F03F93"/>
    <w:lvl w:ilvl="0" w:tentative="0">
      <w:start w:val="4"/>
      <w:numFmt w:val="decimal"/>
      <w:pStyle w:val="86"/>
      <w:lvlText w:val="%1"/>
      <w:lvlJc w:val="left"/>
      <w:pPr>
        <w:tabs>
          <w:tab w:val="left" w:pos="630"/>
        </w:tabs>
        <w:ind w:left="630" w:hanging="630"/>
      </w:pPr>
      <w:rPr>
        <w:rFonts w:hint="default"/>
      </w:rPr>
    </w:lvl>
    <w:lvl w:ilvl="1" w:tentative="0">
      <w:start w:val="2"/>
      <w:numFmt w:val="decimal"/>
      <w:lvlText w:val="%1.%2"/>
      <w:lvlJc w:val="left"/>
      <w:pPr>
        <w:tabs>
          <w:tab w:val="left" w:pos="1190"/>
        </w:tabs>
        <w:ind w:left="1190" w:hanging="630"/>
      </w:pPr>
      <w:rPr>
        <w:rFonts w:hint="default"/>
      </w:rPr>
    </w:lvl>
    <w:lvl w:ilvl="2" w:tentative="0">
      <w:start w:val="1"/>
      <w:numFmt w:val="decimal"/>
      <w:lvlText w:val="%1.%2.%3"/>
      <w:lvlJc w:val="left"/>
      <w:pPr>
        <w:tabs>
          <w:tab w:val="left" w:pos="1840"/>
        </w:tabs>
        <w:ind w:left="1840" w:hanging="720"/>
      </w:pPr>
      <w:rPr>
        <w:rFonts w:hint="default"/>
      </w:rPr>
    </w:lvl>
    <w:lvl w:ilvl="3" w:tentative="0">
      <w:start w:val="1"/>
      <w:numFmt w:val="decimal"/>
      <w:lvlText w:val="%1.%2.%3.%4"/>
      <w:lvlJc w:val="left"/>
      <w:pPr>
        <w:tabs>
          <w:tab w:val="left" w:pos="2760"/>
        </w:tabs>
        <w:ind w:left="2760" w:hanging="1080"/>
      </w:pPr>
      <w:rPr>
        <w:rFonts w:hint="default"/>
      </w:rPr>
    </w:lvl>
    <w:lvl w:ilvl="4" w:tentative="0">
      <w:start w:val="1"/>
      <w:numFmt w:val="decimal"/>
      <w:lvlText w:val="%1.%2.%3.%4.%5"/>
      <w:lvlJc w:val="left"/>
      <w:pPr>
        <w:tabs>
          <w:tab w:val="left" w:pos="3320"/>
        </w:tabs>
        <w:ind w:left="3320" w:hanging="1080"/>
      </w:pPr>
      <w:rPr>
        <w:rFonts w:hint="default"/>
      </w:rPr>
    </w:lvl>
    <w:lvl w:ilvl="5" w:tentative="0">
      <w:start w:val="1"/>
      <w:numFmt w:val="decimal"/>
      <w:lvlText w:val="%1.%2.%3.%4.%5.%6"/>
      <w:lvlJc w:val="left"/>
      <w:pPr>
        <w:tabs>
          <w:tab w:val="left" w:pos="4240"/>
        </w:tabs>
        <w:ind w:left="4240" w:hanging="1440"/>
      </w:pPr>
      <w:rPr>
        <w:rFonts w:hint="default"/>
      </w:rPr>
    </w:lvl>
    <w:lvl w:ilvl="6" w:tentative="0">
      <w:start w:val="1"/>
      <w:numFmt w:val="decimal"/>
      <w:lvlText w:val="%1.%2.%3.%4.%5.%6.%7"/>
      <w:lvlJc w:val="left"/>
      <w:pPr>
        <w:tabs>
          <w:tab w:val="left" w:pos="4800"/>
        </w:tabs>
        <w:ind w:left="4800" w:hanging="1440"/>
      </w:pPr>
      <w:rPr>
        <w:rFonts w:hint="default"/>
      </w:rPr>
    </w:lvl>
    <w:lvl w:ilvl="7" w:tentative="0">
      <w:start w:val="1"/>
      <w:numFmt w:val="decimal"/>
      <w:lvlText w:val="%1.%2.%3.%4.%5.%6.%7.%8"/>
      <w:lvlJc w:val="left"/>
      <w:pPr>
        <w:tabs>
          <w:tab w:val="left" w:pos="5720"/>
        </w:tabs>
        <w:ind w:left="5720" w:hanging="1800"/>
      </w:pPr>
      <w:rPr>
        <w:rFonts w:hint="default"/>
      </w:rPr>
    </w:lvl>
    <w:lvl w:ilvl="8" w:tentative="0">
      <w:start w:val="1"/>
      <w:numFmt w:val="decimal"/>
      <w:lvlText w:val="%1.%2.%3.%4.%5.%6.%7.%8.%9"/>
      <w:lvlJc w:val="left"/>
      <w:pPr>
        <w:tabs>
          <w:tab w:val="left" w:pos="6640"/>
        </w:tabs>
        <w:ind w:left="6640" w:hanging="2160"/>
      </w:pPr>
      <w:rPr>
        <w:rFonts w:hint="default"/>
      </w:rPr>
    </w:lvl>
  </w:abstractNum>
  <w:abstractNum w:abstractNumId="6">
    <w:nsid w:val="557C2AF5"/>
    <w:multiLevelType w:val="multilevel"/>
    <w:tmpl w:val="557C2AF5"/>
    <w:lvl w:ilvl="0" w:tentative="0">
      <w:start w:val="1"/>
      <w:numFmt w:val="decimal"/>
      <w:pStyle w:val="84"/>
      <w:suff w:val="nothing"/>
      <w:lvlText w:val="图%1　"/>
      <w:lvlJc w:val="left"/>
      <w:pPr>
        <w:ind w:left="2977" w:firstLine="0"/>
      </w:pPr>
      <w:rPr>
        <w:rFonts w:hint="eastAsia" w:ascii="黑体" w:hAnsi="Times New Roman" w:eastAsia="黑体"/>
        <w:b w:val="0"/>
        <w:i w:val="0"/>
        <w:sz w:val="21"/>
      </w:rPr>
    </w:lvl>
    <w:lvl w:ilvl="1" w:tentative="0">
      <w:start w:val="1"/>
      <w:numFmt w:val="decimal"/>
      <w:suff w:val="nothing"/>
      <w:lvlText w:val="%1%2　"/>
      <w:lvlJc w:val="left"/>
      <w:pPr>
        <w:ind w:left="2977" w:firstLine="0"/>
      </w:pPr>
      <w:rPr>
        <w:rFonts w:hint="default" w:ascii="Times New Roman" w:hAnsi="Times New Roman" w:eastAsia="黑体"/>
        <w:b w:val="0"/>
        <w:i w:val="0"/>
        <w:sz w:val="21"/>
      </w:rPr>
    </w:lvl>
    <w:lvl w:ilvl="2" w:tentative="0">
      <w:start w:val="1"/>
      <w:numFmt w:val="decimal"/>
      <w:suff w:val="nothing"/>
      <w:lvlText w:val="%1%2.%3　"/>
      <w:lvlJc w:val="left"/>
      <w:pPr>
        <w:ind w:left="2977" w:firstLine="0"/>
      </w:pPr>
      <w:rPr>
        <w:rFonts w:hint="default" w:ascii="Times New Roman" w:hAnsi="Times New Roman" w:eastAsia="黑体"/>
        <w:b w:val="0"/>
        <w:i w:val="0"/>
        <w:sz w:val="21"/>
      </w:rPr>
    </w:lvl>
    <w:lvl w:ilvl="3" w:tentative="0">
      <w:start w:val="1"/>
      <w:numFmt w:val="decimal"/>
      <w:suff w:val="nothing"/>
      <w:lvlText w:val="%1%2.%3.%4　"/>
      <w:lvlJc w:val="left"/>
      <w:pPr>
        <w:ind w:left="2977" w:firstLine="0"/>
      </w:pPr>
      <w:rPr>
        <w:rFonts w:hint="default" w:ascii="Times New Roman" w:hAnsi="Times New Roman" w:eastAsia="黑体"/>
        <w:b w:val="0"/>
        <w:i w:val="0"/>
        <w:sz w:val="21"/>
      </w:rPr>
    </w:lvl>
    <w:lvl w:ilvl="4" w:tentative="0">
      <w:start w:val="1"/>
      <w:numFmt w:val="decimal"/>
      <w:suff w:val="nothing"/>
      <w:lvlText w:val="%1%2.%3.%4.%5　"/>
      <w:lvlJc w:val="left"/>
      <w:pPr>
        <w:ind w:left="2977" w:firstLine="0"/>
      </w:pPr>
      <w:rPr>
        <w:rFonts w:hint="default" w:ascii="Times New Roman" w:hAnsi="Times New Roman" w:eastAsia="黑体"/>
        <w:b w:val="0"/>
        <w:i w:val="0"/>
        <w:sz w:val="21"/>
      </w:rPr>
    </w:lvl>
    <w:lvl w:ilvl="5" w:tentative="0">
      <w:start w:val="1"/>
      <w:numFmt w:val="decimal"/>
      <w:suff w:val="nothing"/>
      <w:lvlText w:val="%1%2.%3.%4.%5.%6　"/>
      <w:lvlJc w:val="left"/>
      <w:pPr>
        <w:ind w:left="2977" w:firstLine="0"/>
      </w:pPr>
      <w:rPr>
        <w:rFonts w:hint="default" w:ascii="Times New Roman" w:hAnsi="Times New Roman" w:eastAsia="黑体"/>
        <w:b w:val="0"/>
        <w:i w:val="0"/>
        <w:sz w:val="21"/>
      </w:rPr>
    </w:lvl>
    <w:lvl w:ilvl="6" w:tentative="0">
      <w:start w:val="1"/>
      <w:numFmt w:val="decimal"/>
      <w:suff w:val="nothing"/>
      <w:lvlText w:val="%1%2.%3.%4.%5.%6.%7　"/>
      <w:lvlJc w:val="left"/>
      <w:pPr>
        <w:ind w:left="2977" w:firstLine="0"/>
      </w:pPr>
      <w:rPr>
        <w:rFonts w:hint="default" w:ascii="Times New Roman" w:hAnsi="Times New Roman" w:eastAsia="黑体"/>
        <w:b w:val="0"/>
        <w:i w:val="0"/>
        <w:sz w:val="21"/>
      </w:rPr>
    </w:lvl>
    <w:lvl w:ilvl="7" w:tentative="0">
      <w:start w:val="1"/>
      <w:numFmt w:val="decimal"/>
      <w:lvlText w:val="%1.%2.%3.%4.%5.%6.%7.%8"/>
      <w:lvlJc w:val="left"/>
      <w:pPr>
        <w:tabs>
          <w:tab w:val="left" w:pos="7328"/>
        </w:tabs>
        <w:ind w:left="6946" w:hanging="1418"/>
      </w:pPr>
      <w:rPr>
        <w:rFonts w:hint="eastAsia"/>
      </w:rPr>
    </w:lvl>
    <w:lvl w:ilvl="8" w:tentative="0">
      <w:start w:val="1"/>
      <w:numFmt w:val="decimal"/>
      <w:lvlText w:val="%1.%2.%3.%4.%5.%6.%7.%8.%9"/>
      <w:lvlJc w:val="left"/>
      <w:pPr>
        <w:tabs>
          <w:tab w:val="left" w:pos="7754"/>
        </w:tabs>
        <w:ind w:left="7654" w:hanging="1700"/>
      </w:pPr>
      <w:rPr>
        <w:rFonts w:hint="eastAsia"/>
      </w:rPr>
    </w:lvl>
  </w:abstractNum>
  <w:abstractNum w:abstractNumId="7">
    <w:nsid w:val="646260FA"/>
    <w:multiLevelType w:val="multilevel"/>
    <w:tmpl w:val="646260FA"/>
    <w:lvl w:ilvl="0" w:tentative="0">
      <w:start w:val="1"/>
      <w:numFmt w:val="decimal"/>
      <w:pStyle w:val="61"/>
      <w:suff w:val="nothing"/>
      <w:lvlText w:val="表%1　"/>
      <w:lvlJc w:val="left"/>
      <w:pPr>
        <w:ind w:left="3261" w:firstLine="0"/>
      </w:pPr>
      <w:rPr>
        <w:rFonts w:hint="eastAsia" w:ascii="黑体" w:hAnsi="Times New Roman" w:eastAsia="黑体"/>
        <w:b w:val="0"/>
        <w:i w:val="0"/>
        <w:sz w:val="21"/>
      </w:rPr>
    </w:lvl>
    <w:lvl w:ilvl="1" w:tentative="0">
      <w:start w:val="1"/>
      <w:numFmt w:val="decimal"/>
      <w:lvlText w:val="%1.%2"/>
      <w:lvlJc w:val="left"/>
      <w:pPr>
        <w:tabs>
          <w:tab w:val="left" w:pos="4253"/>
        </w:tabs>
        <w:ind w:left="4253" w:hanging="567"/>
      </w:pPr>
      <w:rPr>
        <w:rFonts w:hint="eastAsia"/>
      </w:rPr>
    </w:lvl>
    <w:lvl w:ilvl="2" w:tentative="0">
      <w:start w:val="1"/>
      <w:numFmt w:val="decimal"/>
      <w:lvlText w:val="%1.%2.%3"/>
      <w:lvlJc w:val="left"/>
      <w:pPr>
        <w:tabs>
          <w:tab w:val="left" w:pos="4679"/>
        </w:tabs>
        <w:ind w:left="4679" w:hanging="567"/>
      </w:pPr>
      <w:rPr>
        <w:rFonts w:hint="eastAsia"/>
      </w:rPr>
    </w:lvl>
    <w:lvl w:ilvl="3" w:tentative="0">
      <w:start w:val="1"/>
      <w:numFmt w:val="decimal"/>
      <w:lvlText w:val="%1.%2.%3.%4"/>
      <w:lvlJc w:val="left"/>
      <w:pPr>
        <w:tabs>
          <w:tab w:val="left" w:pos="5245"/>
        </w:tabs>
        <w:ind w:left="5245" w:hanging="708"/>
      </w:pPr>
      <w:rPr>
        <w:rFonts w:hint="eastAsia"/>
      </w:rPr>
    </w:lvl>
    <w:lvl w:ilvl="4" w:tentative="0">
      <w:start w:val="1"/>
      <w:numFmt w:val="decimal"/>
      <w:lvlText w:val="%1.%2.%3.%4.%5"/>
      <w:lvlJc w:val="left"/>
      <w:pPr>
        <w:tabs>
          <w:tab w:val="left" w:pos="5812"/>
        </w:tabs>
        <w:ind w:left="5812" w:hanging="850"/>
      </w:pPr>
      <w:rPr>
        <w:rFonts w:hint="eastAsia"/>
      </w:rPr>
    </w:lvl>
    <w:lvl w:ilvl="5" w:tentative="0">
      <w:start w:val="1"/>
      <w:numFmt w:val="decimal"/>
      <w:lvlText w:val="%1.%2.%3.%4.%5.%6"/>
      <w:lvlJc w:val="left"/>
      <w:pPr>
        <w:tabs>
          <w:tab w:val="left" w:pos="6521"/>
        </w:tabs>
        <w:ind w:left="6521" w:hanging="1134"/>
      </w:pPr>
      <w:rPr>
        <w:rFonts w:hint="eastAsia"/>
      </w:rPr>
    </w:lvl>
    <w:lvl w:ilvl="6" w:tentative="0">
      <w:start w:val="1"/>
      <w:numFmt w:val="decimal"/>
      <w:lvlText w:val="%1.%2.%3.%4.%5.%6.%7"/>
      <w:lvlJc w:val="left"/>
      <w:pPr>
        <w:tabs>
          <w:tab w:val="left" w:pos="7088"/>
        </w:tabs>
        <w:ind w:left="7088" w:hanging="1276"/>
      </w:pPr>
      <w:rPr>
        <w:rFonts w:hint="eastAsia"/>
      </w:rPr>
    </w:lvl>
    <w:lvl w:ilvl="7" w:tentative="0">
      <w:start w:val="1"/>
      <w:numFmt w:val="decimal"/>
      <w:lvlText w:val="%1.%2.%3.%4.%5.%6.%7.%8"/>
      <w:lvlJc w:val="left"/>
      <w:pPr>
        <w:tabs>
          <w:tab w:val="left" w:pos="7655"/>
        </w:tabs>
        <w:ind w:left="7655" w:hanging="1418"/>
      </w:pPr>
      <w:rPr>
        <w:rFonts w:hint="eastAsia"/>
      </w:rPr>
    </w:lvl>
    <w:lvl w:ilvl="8" w:tentative="0">
      <w:start w:val="1"/>
      <w:numFmt w:val="decimal"/>
      <w:lvlText w:val="%1.%2.%3.%4.%5.%6.%7.%8.%9"/>
      <w:lvlJc w:val="left"/>
      <w:pPr>
        <w:tabs>
          <w:tab w:val="left" w:pos="8363"/>
        </w:tabs>
        <w:ind w:left="8363" w:hanging="1700"/>
      </w:pPr>
      <w:rPr>
        <w:rFonts w:hint="eastAsia"/>
      </w:rPr>
    </w:lvl>
  </w:abstractNum>
  <w:abstractNum w:abstractNumId="8">
    <w:nsid w:val="657D3FBC"/>
    <w:multiLevelType w:val="multilevel"/>
    <w:tmpl w:val="657D3FBC"/>
    <w:lvl w:ilvl="0" w:tentative="0">
      <w:start w:val="1"/>
      <w:numFmt w:val="upperLetter"/>
      <w:pStyle w:val="77"/>
      <w:suff w:val="nothing"/>
      <w:lvlText w:val="附　录　%1"/>
      <w:lvlJc w:val="left"/>
      <w:pPr>
        <w:ind w:left="0" w:firstLine="0"/>
      </w:pPr>
      <w:rPr>
        <w:rFonts w:hint="eastAsia" w:ascii="黑体" w:hAnsi="Times New Roman" w:eastAsia="黑体"/>
        <w:b w:val="0"/>
        <w:i w:val="0"/>
        <w:sz w:val="21"/>
      </w:rPr>
    </w:lvl>
    <w:lvl w:ilvl="1" w:tentative="0">
      <w:start w:val="1"/>
      <w:numFmt w:val="decimal"/>
      <w:pStyle w:val="78"/>
      <w:suff w:val="nothing"/>
      <w:lvlText w:val="%1.%2　"/>
      <w:lvlJc w:val="left"/>
      <w:pPr>
        <w:ind w:left="1134" w:firstLine="0"/>
      </w:pPr>
      <w:rPr>
        <w:rFonts w:hint="default" w:ascii="Times New Roman" w:hAnsi="Times New Roman" w:eastAsia="黑体" w:cs="Times New Roman"/>
        <w:b w:val="0"/>
        <w:i w:val="0"/>
        <w:snapToGrid/>
        <w:spacing w:val="0"/>
        <w:w w:val="100"/>
        <w:kern w:val="21"/>
        <w:sz w:val="21"/>
      </w:rPr>
    </w:lvl>
    <w:lvl w:ilvl="2" w:tentative="0">
      <w:start w:val="1"/>
      <w:numFmt w:val="decimal"/>
      <w:pStyle w:val="79"/>
      <w:suff w:val="nothing"/>
      <w:lvlText w:val="%1.%2.%3　"/>
      <w:lvlJc w:val="left"/>
      <w:pPr>
        <w:ind w:left="0" w:firstLine="0"/>
      </w:pPr>
      <w:rPr>
        <w:rFonts w:hint="eastAsia" w:ascii="黑体" w:hAnsi="Times New Roman" w:eastAsia="黑体"/>
        <w:b w:val="0"/>
        <w:i w:val="0"/>
        <w:sz w:val="21"/>
      </w:rPr>
    </w:lvl>
    <w:lvl w:ilvl="3" w:tentative="0">
      <w:start w:val="1"/>
      <w:numFmt w:val="decimal"/>
      <w:pStyle w:val="80"/>
      <w:suff w:val="nothing"/>
      <w:lvlText w:val="%1.%2.%3.%4　"/>
      <w:lvlJc w:val="left"/>
      <w:pPr>
        <w:ind w:left="0" w:firstLine="0"/>
      </w:pPr>
      <w:rPr>
        <w:rFonts w:hint="eastAsia" w:ascii="黑体" w:hAnsi="Times New Roman" w:eastAsia="黑体"/>
        <w:b w:val="0"/>
        <w:i w:val="0"/>
        <w:sz w:val="21"/>
      </w:rPr>
    </w:lvl>
    <w:lvl w:ilvl="4" w:tentative="0">
      <w:start w:val="1"/>
      <w:numFmt w:val="decimal"/>
      <w:pStyle w:val="81"/>
      <w:suff w:val="nothing"/>
      <w:lvlText w:val="%1.%2.%3.%4.%5　"/>
      <w:lvlJc w:val="left"/>
      <w:pPr>
        <w:ind w:left="0" w:firstLine="0"/>
      </w:pPr>
      <w:rPr>
        <w:rFonts w:hint="eastAsia" w:ascii="黑体" w:hAnsi="Times New Roman" w:eastAsia="黑体"/>
        <w:b w:val="0"/>
        <w:i w:val="0"/>
        <w:sz w:val="21"/>
      </w:rPr>
    </w:lvl>
    <w:lvl w:ilvl="5" w:tentative="0">
      <w:start w:val="1"/>
      <w:numFmt w:val="decimal"/>
      <w:pStyle w:val="82"/>
      <w:suff w:val="nothing"/>
      <w:lvlText w:val="%1.%2.%3.%4.%5.%6　"/>
      <w:lvlJc w:val="left"/>
      <w:pPr>
        <w:ind w:left="0" w:firstLine="0"/>
      </w:pPr>
      <w:rPr>
        <w:rFonts w:hint="eastAsia" w:ascii="黑体" w:hAnsi="Times New Roman" w:eastAsia="黑体"/>
        <w:b w:val="0"/>
        <w:i w:val="0"/>
        <w:sz w:val="21"/>
      </w:rPr>
    </w:lvl>
    <w:lvl w:ilvl="6" w:tentative="0">
      <w:start w:val="1"/>
      <w:numFmt w:val="decimal"/>
      <w:pStyle w:val="83"/>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9">
    <w:nsid w:val="6CEA2025"/>
    <w:multiLevelType w:val="multilevel"/>
    <w:tmpl w:val="6CEA2025"/>
    <w:lvl w:ilvl="0" w:tentative="0">
      <w:start w:val="1"/>
      <w:numFmt w:val="none"/>
      <w:pStyle w:val="53"/>
      <w:suff w:val="nothing"/>
      <w:lvlText w:val="%1"/>
      <w:lvlJc w:val="left"/>
      <w:pPr>
        <w:ind w:left="0" w:firstLine="0"/>
      </w:pPr>
      <w:rPr>
        <w:rFonts w:hint="default" w:ascii="Times New Roman" w:hAnsi="Times New Roman"/>
        <w:b/>
        <w:i w:val="0"/>
        <w:sz w:val="21"/>
      </w:rPr>
    </w:lvl>
    <w:lvl w:ilvl="1" w:tentative="0">
      <w:start w:val="1"/>
      <w:numFmt w:val="decimal"/>
      <w:pStyle w:val="54"/>
      <w:suff w:val="nothing"/>
      <w:lvlText w:val="%1%2　"/>
      <w:lvlJc w:val="left"/>
      <w:pPr>
        <w:ind w:left="105" w:firstLine="0"/>
      </w:pPr>
      <w:rPr>
        <w:rFonts w:hint="eastAsia" w:ascii="黑体" w:hAnsi="Times New Roman" w:eastAsia="黑体"/>
        <w:b w:val="0"/>
        <w:i w:val="0"/>
        <w:sz w:val="21"/>
      </w:rPr>
    </w:lvl>
    <w:lvl w:ilvl="2" w:tentative="0">
      <w:start w:val="1"/>
      <w:numFmt w:val="decimal"/>
      <w:pStyle w:val="56"/>
      <w:suff w:val="nothing"/>
      <w:lvlText w:val="%1%2.%3　"/>
      <w:lvlJc w:val="left"/>
      <w:pPr>
        <w:ind w:left="315" w:hanging="315"/>
      </w:pPr>
      <w:rPr>
        <w:rFonts w:hint="eastAsia" w:ascii="黑体" w:hAnsi="Times New Roman" w:eastAsia="黑体"/>
        <w:b w:val="0"/>
        <w:i w:val="0"/>
        <w:sz w:val="21"/>
      </w:rPr>
    </w:lvl>
    <w:lvl w:ilvl="3" w:tentative="0">
      <w:start w:val="1"/>
      <w:numFmt w:val="decimal"/>
      <w:pStyle w:val="57"/>
      <w:suff w:val="nothing"/>
      <w:lvlText w:val="%1%2.%3.%4　"/>
      <w:lvlJc w:val="left"/>
      <w:pPr>
        <w:ind w:left="0" w:firstLine="0"/>
      </w:pPr>
      <w:rPr>
        <w:rFonts w:hint="eastAsia" w:ascii="黑体" w:hAnsi="Times New Roman" w:eastAsia="黑体"/>
        <w:b w:val="0"/>
        <w:i w:val="0"/>
        <w:sz w:val="21"/>
      </w:rPr>
    </w:lvl>
    <w:lvl w:ilvl="4" w:tentative="0">
      <w:start w:val="1"/>
      <w:numFmt w:val="decimal"/>
      <w:pStyle w:val="58"/>
      <w:suff w:val="nothing"/>
      <w:lvlText w:val="%1%2.%3.%4.%5　"/>
      <w:lvlJc w:val="left"/>
      <w:pPr>
        <w:ind w:left="0" w:firstLine="0"/>
      </w:pPr>
      <w:rPr>
        <w:rFonts w:hint="eastAsia" w:ascii="黑体" w:hAnsi="Times New Roman" w:eastAsia="黑体"/>
        <w:b w:val="0"/>
        <w:i w:val="0"/>
        <w:sz w:val="21"/>
      </w:rPr>
    </w:lvl>
    <w:lvl w:ilvl="5" w:tentative="0">
      <w:start w:val="1"/>
      <w:numFmt w:val="decimal"/>
      <w:pStyle w:val="59"/>
      <w:suff w:val="nothing"/>
      <w:lvlText w:val="%1%2.%3.%4.%5.%6　"/>
      <w:lvlJc w:val="left"/>
      <w:pPr>
        <w:ind w:left="0" w:firstLine="0"/>
      </w:pPr>
      <w:rPr>
        <w:rFonts w:hint="eastAsia" w:ascii="黑体" w:hAnsi="Times New Roman" w:eastAsia="黑体"/>
        <w:b w:val="0"/>
        <w:i w:val="0"/>
        <w:sz w:val="21"/>
      </w:rPr>
    </w:lvl>
    <w:lvl w:ilvl="6" w:tentative="0">
      <w:start w:val="1"/>
      <w:numFmt w:val="decimal"/>
      <w:pStyle w:val="60"/>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0">
    <w:nsid w:val="75DD701E"/>
    <w:multiLevelType w:val="multilevel"/>
    <w:tmpl w:val="75DD701E"/>
    <w:lvl w:ilvl="0" w:tentative="0">
      <w:start w:val="3"/>
      <w:numFmt w:val="decimal"/>
      <w:pStyle w:val="138"/>
      <w:lvlText w:val="%1"/>
      <w:lvlJc w:val="left"/>
      <w:pPr>
        <w:tabs>
          <w:tab w:val="left" w:pos="765"/>
        </w:tabs>
        <w:ind w:left="765" w:hanging="765"/>
      </w:pPr>
      <w:rPr>
        <w:rFonts w:hint="default"/>
      </w:rPr>
    </w:lvl>
    <w:lvl w:ilvl="1" w:tentative="0">
      <w:start w:val="2"/>
      <w:numFmt w:val="decimal"/>
      <w:lvlText w:val="%1.%2"/>
      <w:lvlJc w:val="left"/>
      <w:pPr>
        <w:tabs>
          <w:tab w:val="left" w:pos="1005"/>
        </w:tabs>
        <w:ind w:left="1005" w:hanging="765"/>
      </w:pPr>
      <w:rPr>
        <w:rFonts w:hint="default"/>
      </w:rPr>
    </w:lvl>
    <w:lvl w:ilvl="2" w:tentative="0">
      <w:start w:val="3"/>
      <w:numFmt w:val="decimal"/>
      <w:lvlText w:val="%1.%2.%3"/>
      <w:lvlJc w:val="left"/>
      <w:pPr>
        <w:tabs>
          <w:tab w:val="left" w:pos="1245"/>
        </w:tabs>
        <w:ind w:left="1245" w:hanging="765"/>
      </w:pPr>
      <w:rPr>
        <w:rFonts w:hint="default"/>
      </w:rPr>
    </w:lvl>
    <w:lvl w:ilvl="3" w:tentative="0">
      <w:start w:val="1"/>
      <w:numFmt w:val="decimal"/>
      <w:lvlText w:val="%1.%2.%3.%4"/>
      <w:lvlJc w:val="left"/>
      <w:pPr>
        <w:tabs>
          <w:tab w:val="left" w:pos="1800"/>
        </w:tabs>
        <w:ind w:left="1800" w:hanging="1080"/>
      </w:pPr>
      <w:rPr>
        <w:rFonts w:hint="default"/>
      </w:rPr>
    </w:lvl>
    <w:lvl w:ilvl="4" w:tentative="0">
      <w:start w:val="1"/>
      <w:numFmt w:val="decimal"/>
      <w:lvlText w:val="%1.%2.%3.%4.%5"/>
      <w:lvlJc w:val="left"/>
      <w:pPr>
        <w:tabs>
          <w:tab w:val="left" w:pos="2040"/>
        </w:tabs>
        <w:ind w:left="2040" w:hanging="1080"/>
      </w:pPr>
      <w:rPr>
        <w:rFonts w:hint="default"/>
      </w:rPr>
    </w:lvl>
    <w:lvl w:ilvl="5" w:tentative="0">
      <w:start w:val="1"/>
      <w:numFmt w:val="decimal"/>
      <w:lvlText w:val="%1.%2.%3.%4.%5.%6"/>
      <w:lvlJc w:val="left"/>
      <w:pPr>
        <w:tabs>
          <w:tab w:val="left" w:pos="2640"/>
        </w:tabs>
        <w:ind w:left="2640" w:hanging="1440"/>
      </w:pPr>
      <w:rPr>
        <w:rFonts w:hint="default"/>
      </w:rPr>
    </w:lvl>
    <w:lvl w:ilvl="6" w:tentative="0">
      <w:start w:val="1"/>
      <w:numFmt w:val="decimal"/>
      <w:lvlText w:val="%1.%2.%3.%4.%5.%6.%7"/>
      <w:lvlJc w:val="left"/>
      <w:pPr>
        <w:tabs>
          <w:tab w:val="left" w:pos="3240"/>
        </w:tabs>
        <w:ind w:left="3240" w:hanging="1800"/>
      </w:pPr>
      <w:rPr>
        <w:rFonts w:hint="default"/>
      </w:rPr>
    </w:lvl>
    <w:lvl w:ilvl="7" w:tentative="0">
      <w:start w:val="1"/>
      <w:numFmt w:val="decimal"/>
      <w:lvlText w:val="%1.%2.%3.%4.%5.%6.%7.%8"/>
      <w:lvlJc w:val="left"/>
      <w:pPr>
        <w:tabs>
          <w:tab w:val="left" w:pos="3480"/>
        </w:tabs>
        <w:ind w:left="3480" w:hanging="1800"/>
      </w:pPr>
      <w:rPr>
        <w:rFonts w:hint="default"/>
      </w:rPr>
    </w:lvl>
    <w:lvl w:ilvl="8" w:tentative="0">
      <w:start w:val="1"/>
      <w:numFmt w:val="decimal"/>
      <w:lvlText w:val="%1.%2.%3.%4.%5.%6.%7.%8.%9"/>
      <w:lvlJc w:val="left"/>
      <w:pPr>
        <w:tabs>
          <w:tab w:val="left" w:pos="4080"/>
        </w:tabs>
        <w:ind w:left="4080" w:hanging="2160"/>
      </w:pPr>
      <w:rPr>
        <w:rFonts w:hint="default"/>
      </w:rPr>
    </w:lvl>
  </w:abstractNum>
  <w:num w:numId="1">
    <w:abstractNumId w:val="3"/>
  </w:num>
  <w:num w:numId="2">
    <w:abstractNumId w:val="9"/>
  </w:num>
  <w:num w:numId="3">
    <w:abstractNumId w:val="7"/>
  </w:num>
  <w:num w:numId="4">
    <w:abstractNumId w:val="8"/>
  </w:num>
  <w:num w:numId="5">
    <w:abstractNumId w:val="6"/>
  </w:num>
  <w:num w:numId="6">
    <w:abstractNumId w:val="5"/>
  </w:num>
  <w:num w:numId="7">
    <w:abstractNumId w:val="4"/>
  </w:num>
  <w:num w:numId="8">
    <w:abstractNumId w:val="1"/>
  </w:num>
  <w:num w:numId="9">
    <w:abstractNumId w:val="10"/>
  </w:num>
  <w:num w:numId="10">
    <w:abstractNumId w:val="0"/>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embedSystemFonts/>
  <w:bordersDoNotSurroundHeader w:val="1"/>
  <w:bordersDoNotSurroundFooter w:val="1"/>
  <w:trackRevisions w:val="1"/>
  <w:documentProtection w:enforcement="0"/>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774"/>
    <w:rsid w:val="000002A7"/>
    <w:rsid w:val="0000222E"/>
    <w:rsid w:val="00002CBE"/>
    <w:rsid w:val="00004773"/>
    <w:rsid w:val="000049DB"/>
    <w:rsid w:val="00004D4C"/>
    <w:rsid w:val="0000568C"/>
    <w:rsid w:val="00005BAE"/>
    <w:rsid w:val="000077B8"/>
    <w:rsid w:val="00010346"/>
    <w:rsid w:val="000106B3"/>
    <w:rsid w:val="00010C92"/>
    <w:rsid w:val="00011FFE"/>
    <w:rsid w:val="0001230A"/>
    <w:rsid w:val="00012C36"/>
    <w:rsid w:val="000130E0"/>
    <w:rsid w:val="0001384A"/>
    <w:rsid w:val="000152F6"/>
    <w:rsid w:val="00015874"/>
    <w:rsid w:val="0001694C"/>
    <w:rsid w:val="00016960"/>
    <w:rsid w:val="000206B1"/>
    <w:rsid w:val="00020D4E"/>
    <w:rsid w:val="00021115"/>
    <w:rsid w:val="00021167"/>
    <w:rsid w:val="0002133D"/>
    <w:rsid w:val="00021DC9"/>
    <w:rsid w:val="00022D40"/>
    <w:rsid w:val="00022D45"/>
    <w:rsid w:val="00023796"/>
    <w:rsid w:val="00024A44"/>
    <w:rsid w:val="000251A9"/>
    <w:rsid w:val="00025A03"/>
    <w:rsid w:val="00025B65"/>
    <w:rsid w:val="00025CDB"/>
    <w:rsid w:val="0002795E"/>
    <w:rsid w:val="000300CE"/>
    <w:rsid w:val="00030991"/>
    <w:rsid w:val="00030A6A"/>
    <w:rsid w:val="00031A46"/>
    <w:rsid w:val="00031DD1"/>
    <w:rsid w:val="00031DE8"/>
    <w:rsid w:val="00031F2F"/>
    <w:rsid w:val="00032609"/>
    <w:rsid w:val="000342A8"/>
    <w:rsid w:val="00035254"/>
    <w:rsid w:val="00035EC5"/>
    <w:rsid w:val="00036678"/>
    <w:rsid w:val="00037134"/>
    <w:rsid w:val="0003722E"/>
    <w:rsid w:val="00037DB5"/>
    <w:rsid w:val="000402BA"/>
    <w:rsid w:val="000402D2"/>
    <w:rsid w:val="0004151A"/>
    <w:rsid w:val="000419E7"/>
    <w:rsid w:val="00042014"/>
    <w:rsid w:val="000422CF"/>
    <w:rsid w:val="00042D39"/>
    <w:rsid w:val="000437E2"/>
    <w:rsid w:val="00043819"/>
    <w:rsid w:val="00044074"/>
    <w:rsid w:val="0004410E"/>
    <w:rsid w:val="000447B5"/>
    <w:rsid w:val="000454E4"/>
    <w:rsid w:val="00045A7D"/>
    <w:rsid w:val="00047DB9"/>
    <w:rsid w:val="00051193"/>
    <w:rsid w:val="00052BB3"/>
    <w:rsid w:val="0005378D"/>
    <w:rsid w:val="000544D6"/>
    <w:rsid w:val="000555C4"/>
    <w:rsid w:val="00055D8D"/>
    <w:rsid w:val="00056678"/>
    <w:rsid w:val="00056A4F"/>
    <w:rsid w:val="00057A96"/>
    <w:rsid w:val="00057CDC"/>
    <w:rsid w:val="0006025B"/>
    <w:rsid w:val="0006128C"/>
    <w:rsid w:val="000618EB"/>
    <w:rsid w:val="00061FC7"/>
    <w:rsid w:val="000626F1"/>
    <w:rsid w:val="0006287F"/>
    <w:rsid w:val="00062B47"/>
    <w:rsid w:val="00062F4F"/>
    <w:rsid w:val="00063491"/>
    <w:rsid w:val="000637F8"/>
    <w:rsid w:val="00064277"/>
    <w:rsid w:val="00064ECB"/>
    <w:rsid w:val="00065885"/>
    <w:rsid w:val="00066D2A"/>
    <w:rsid w:val="00067D7D"/>
    <w:rsid w:val="00070C60"/>
    <w:rsid w:val="000713F8"/>
    <w:rsid w:val="000714EB"/>
    <w:rsid w:val="00071639"/>
    <w:rsid w:val="0007217B"/>
    <w:rsid w:val="0007234D"/>
    <w:rsid w:val="000723ED"/>
    <w:rsid w:val="00072465"/>
    <w:rsid w:val="0007389F"/>
    <w:rsid w:val="00073B32"/>
    <w:rsid w:val="00073F93"/>
    <w:rsid w:val="00074307"/>
    <w:rsid w:val="00074829"/>
    <w:rsid w:val="0007599F"/>
    <w:rsid w:val="00075A9C"/>
    <w:rsid w:val="00075BB4"/>
    <w:rsid w:val="000762D9"/>
    <w:rsid w:val="00076FF5"/>
    <w:rsid w:val="00077CBD"/>
    <w:rsid w:val="00080D0B"/>
    <w:rsid w:val="000815A4"/>
    <w:rsid w:val="00082126"/>
    <w:rsid w:val="000828DD"/>
    <w:rsid w:val="00085385"/>
    <w:rsid w:val="00085F2A"/>
    <w:rsid w:val="000867AE"/>
    <w:rsid w:val="000877B5"/>
    <w:rsid w:val="00087FD4"/>
    <w:rsid w:val="00091916"/>
    <w:rsid w:val="00092396"/>
    <w:rsid w:val="00092A7E"/>
    <w:rsid w:val="00092C07"/>
    <w:rsid w:val="0009519C"/>
    <w:rsid w:val="00095638"/>
    <w:rsid w:val="000956BF"/>
    <w:rsid w:val="000958B1"/>
    <w:rsid w:val="00095A49"/>
    <w:rsid w:val="00095E2B"/>
    <w:rsid w:val="000964F7"/>
    <w:rsid w:val="000971A0"/>
    <w:rsid w:val="00097E59"/>
    <w:rsid w:val="000A29AE"/>
    <w:rsid w:val="000A3818"/>
    <w:rsid w:val="000A3D8F"/>
    <w:rsid w:val="000A4DE1"/>
    <w:rsid w:val="000A68D6"/>
    <w:rsid w:val="000A6901"/>
    <w:rsid w:val="000B078B"/>
    <w:rsid w:val="000B0A9C"/>
    <w:rsid w:val="000B1043"/>
    <w:rsid w:val="000B2749"/>
    <w:rsid w:val="000B3260"/>
    <w:rsid w:val="000B392E"/>
    <w:rsid w:val="000B4C0F"/>
    <w:rsid w:val="000B4F0E"/>
    <w:rsid w:val="000B54A3"/>
    <w:rsid w:val="000C053A"/>
    <w:rsid w:val="000C116F"/>
    <w:rsid w:val="000C11EB"/>
    <w:rsid w:val="000C1927"/>
    <w:rsid w:val="000C1935"/>
    <w:rsid w:val="000C1C83"/>
    <w:rsid w:val="000C2BA2"/>
    <w:rsid w:val="000C2BE0"/>
    <w:rsid w:val="000C38B6"/>
    <w:rsid w:val="000C5065"/>
    <w:rsid w:val="000C50E9"/>
    <w:rsid w:val="000C5246"/>
    <w:rsid w:val="000C5A75"/>
    <w:rsid w:val="000C6083"/>
    <w:rsid w:val="000C60A5"/>
    <w:rsid w:val="000C669D"/>
    <w:rsid w:val="000C6B91"/>
    <w:rsid w:val="000C7582"/>
    <w:rsid w:val="000C7585"/>
    <w:rsid w:val="000C7854"/>
    <w:rsid w:val="000C7E18"/>
    <w:rsid w:val="000D132F"/>
    <w:rsid w:val="000D1B3F"/>
    <w:rsid w:val="000D22D3"/>
    <w:rsid w:val="000D3878"/>
    <w:rsid w:val="000D3D93"/>
    <w:rsid w:val="000D5056"/>
    <w:rsid w:val="000D535E"/>
    <w:rsid w:val="000D5926"/>
    <w:rsid w:val="000D625D"/>
    <w:rsid w:val="000D6EE9"/>
    <w:rsid w:val="000D770C"/>
    <w:rsid w:val="000D7725"/>
    <w:rsid w:val="000D795C"/>
    <w:rsid w:val="000E09F2"/>
    <w:rsid w:val="000E1FF6"/>
    <w:rsid w:val="000E26AF"/>
    <w:rsid w:val="000E2865"/>
    <w:rsid w:val="000E2D75"/>
    <w:rsid w:val="000E375D"/>
    <w:rsid w:val="000E4955"/>
    <w:rsid w:val="000E4D41"/>
    <w:rsid w:val="000E750F"/>
    <w:rsid w:val="000E77DC"/>
    <w:rsid w:val="000F0668"/>
    <w:rsid w:val="000F0E43"/>
    <w:rsid w:val="000F1B37"/>
    <w:rsid w:val="000F3412"/>
    <w:rsid w:val="000F3D9F"/>
    <w:rsid w:val="000F4E79"/>
    <w:rsid w:val="000F50F4"/>
    <w:rsid w:val="000F5913"/>
    <w:rsid w:val="000F5A20"/>
    <w:rsid w:val="000F6558"/>
    <w:rsid w:val="000F6745"/>
    <w:rsid w:val="00100088"/>
    <w:rsid w:val="00100249"/>
    <w:rsid w:val="00100549"/>
    <w:rsid w:val="001006F2"/>
    <w:rsid w:val="0010144E"/>
    <w:rsid w:val="00101F77"/>
    <w:rsid w:val="0010233B"/>
    <w:rsid w:val="00103C31"/>
    <w:rsid w:val="0010542E"/>
    <w:rsid w:val="001057E1"/>
    <w:rsid w:val="00105B21"/>
    <w:rsid w:val="00106523"/>
    <w:rsid w:val="001071AE"/>
    <w:rsid w:val="00107483"/>
    <w:rsid w:val="001101C1"/>
    <w:rsid w:val="001113AE"/>
    <w:rsid w:val="00111611"/>
    <w:rsid w:val="00112A19"/>
    <w:rsid w:val="001145CA"/>
    <w:rsid w:val="00114F55"/>
    <w:rsid w:val="00115629"/>
    <w:rsid w:val="001158F7"/>
    <w:rsid w:val="00115918"/>
    <w:rsid w:val="00117682"/>
    <w:rsid w:val="0011789B"/>
    <w:rsid w:val="00117D03"/>
    <w:rsid w:val="0012067C"/>
    <w:rsid w:val="001206EF"/>
    <w:rsid w:val="00120BE0"/>
    <w:rsid w:val="0012168F"/>
    <w:rsid w:val="00121A01"/>
    <w:rsid w:val="00121C88"/>
    <w:rsid w:val="001221F2"/>
    <w:rsid w:val="001222A6"/>
    <w:rsid w:val="00122B29"/>
    <w:rsid w:val="00123D10"/>
    <w:rsid w:val="00124271"/>
    <w:rsid w:val="00124A76"/>
    <w:rsid w:val="00125A5F"/>
    <w:rsid w:val="00125CBD"/>
    <w:rsid w:val="00125E1F"/>
    <w:rsid w:val="001263E5"/>
    <w:rsid w:val="0012719F"/>
    <w:rsid w:val="001278C8"/>
    <w:rsid w:val="00131077"/>
    <w:rsid w:val="00131223"/>
    <w:rsid w:val="001324C7"/>
    <w:rsid w:val="00132C79"/>
    <w:rsid w:val="00132F84"/>
    <w:rsid w:val="00132FA8"/>
    <w:rsid w:val="00134930"/>
    <w:rsid w:val="00135D51"/>
    <w:rsid w:val="00136CB6"/>
    <w:rsid w:val="0013725D"/>
    <w:rsid w:val="001378EA"/>
    <w:rsid w:val="00137990"/>
    <w:rsid w:val="00137F31"/>
    <w:rsid w:val="001403D1"/>
    <w:rsid w:val="00140A75"/>
    <w:rsid w:val="001410BB"/>
    <w:rsid w:val="00142309"/>
    <w:rsid w:val="001430C6"/>
    <w:rsid w:val="001433F8"/>
    <w:rsid w:val="00144BB6"/>
    <w:rsid w:val="0014519C"/>
    <w:rsid w:val="00145EE8"/>
    <w:rsid w:val="0015004E"/>
    <w:rsid w:val="001505E7"/>
    <w:rsid w:val="00151EFE"/>
    <w:rsid w:val="001524D4"/>
    <w:rsid w:val="00152C10"/>
    <w:rsid w:val="00152C2A"/>
    <w:rsid w:val="00154DDD"/>
    <w:rsid w:val="0015543B"/>
    <w:rsid w:val="0015616D"/>
    <w:rsid w:val="0015618F"/>
    <w:rsid w:val="0015774A"/>
    <w:rsid w:val="00157DA1"/>
    <w:rsid w:val="001604D8"/>
    <w:rsid w:val="0016088F"/>
    <w:rsid w:val="00161F92"/>
    <w:rsid w:val="00162033"/>
    <w:rsid w:val="0016225C"/>
    <w:rsid w:val="0016271E"/>
    <w:rsid w:val="00162B99"/>
    <w:rsid w:val="00162D8C"/>
    <w:rsid w:val="00163032"/>
    <w:rsid w:val="00163796"/>
    <w:rsid w:val="00163BAD"/>
    <w:rsid w:val="0016404A"/>
    <w:rsid w:val="001640B4"/>
    <w:rsid w:val="00166778"/>
    <w:rsid w:val="00166AA9"/>
    <w:rsid w:val="00166B14"/>
    <w:rsid w:val="00170DE7"/>
    <w:rsid w:val="001710CD"/>
    <w:rsid w:val="001731D0"/>
    <w:rsid w:val="00173329"/>
    <w:rsid w:val="001737B3"/>
    <w:rsid w:val="00173979"/>
    <w:rsid w:val="0017544E"/>
    <w:rsid w:val="00180085"/>
    <w:rsid w:val="001803F3"/>
    <w:rsid w:val="00181DBA"/>
    <w:rsid w:val="00182961"/>
    <w:rsid w:val="001836DC"/>
    <w:rsid w:val="00184AEC"/>
    <w:rsid w:val="00184AFD"/>
    <w:rsid w:val="00184B88"/>
    <w:rsid w:val="00185270"/>
    <w:rsid w:val="00185575"/>
    <w:rsid w:val="00185729"/>
    <w:rsid w:val="00186DCA"/>
    <w:rsid w:val="00187A5E"/>
    <w:rsid w:val="00190775"/>
    <w:rsid w:val="0019083C"/>
    <w:rsid w:val="001912E2"/>
    <w:rsid w:val="001913F6"/>
    <w:rsid w:val="00192378"/>
    <w:rsid w:val="001928CC"/>
    <w:rsid w:val="00192ADC"/>
    <w:rsid w:val="0019303F"/>
    <w:rsid w:val="00193803"/>
    <w:rsid w:val="00194BE7"/>
    <w:rsid w:val="00194CF1"/>
    <w:rsid w:val="00196D77"/>
    <w:rsid w:val="00197341"/>
    <w:rsid w:val="0019752D"/>
    <w:rsid w:val="001A03D7"/>
    <w:rsid w:val="001A1CC4"/>
    <w:rsid w:val="001A244D"/>
    <w:rsid w:val="001A34C1"/>
    <w:rsid w:val="001A39ED"/>
    <w:rsid w:val="001A4762"/>
    <w:rsid w:val="001A4D7B"/>
    <w:rsid w:val="001A51E6"/>
    <w:rsid w:val="001A570E"/>
    <w:rsid w:val="001A620E"/>
    <w:rsid w:val="001A686E"/>
    <w:rsid w:val="001A6FFD"/>
    <w:rsid w:val="001A7147"/>
    <w:rsid w:val="001A71F0"/>
    <w:rsid w:val="001A7927"/>
    <w:rsid w:val="001B1323"/>
    <w:rsid w:val="001B1455"/>
    <w:rsid w:val="001B16DF"/>
    <w:rsid w:val="001B2E68"/>
    <w:rsid w:val="001B3B04"/>
    <w:rsid w:val="001B3BD3"/>
    <w:rsid w:val="001B4498"/>
    <w:rsid w:val="001B51F1"/>
    <w:rsid w:val="001B69F1"/>
    <w:rsid w:val="001C0110"/>
    <w:rsid w:val="001C0A3E"/>
    <w:rsid w:val="001C1207"/>
    <w:rsid w:val="001C21F0"/>
    <w:rsid w:val="001C299F"/>
    <w:rsid w:val="001C31CF"/>
    <w:rsid w:val="001C3474"/>
    <w:rsid w:val="001C3EAA"/>
    <w:rsid w:val="001C457D"/>
    <w:rsid w:val="001C489E"/>
    <w:rsid w:val="001C4B5D"/>
    <w:rsid w:val="001C4EB0"/>
    <w:rsid w:val="001C53A8"/>
    <w:rsid w:val="001C5893"/>
    <w:rsid w:val="001C6BA1"/>
    <w:rsid w:val="001C73D3"/>
    <w:rsid w:val="001C77D3"/>
    <w:rsid w:val="001C79F6"/>
    <w:rsid w:val="001D0549"/>
    <w:rsid w:val="001D093F"/>
    <w:rsid w:val="001D4A8B"/>
    <w:rsid w:val="001D4CA5"/>
    <w:rsid w:val="001D6C77"/>
    <w:rsid w:val="001D6ECD"/>
    <w:rsid w:val="001D7409"/>
    <w:rsid w:val="001D7BF3"/>
    <w:rsid w:val="001E0278"/>
    <w:rsid w:val="001E058A"/>
    <w:rsid w:val="001E20E6"/>
    <w:rsid w:val="001E2279"/>
    <w:rsid w:val="001E2635"/>
    <w:rsid w:val="001E27EF"/>
    <w:rsid w:val="001E34B4"/>
    <w:rsid w:val="001E35B7"/>
    <w:rsid w:val="001E3F9A"/>
    <w:rsid w:val="001E5890"/>
    <w:rsid w:val="001E61D3"/>
    <w:rsid w:val="001E6742"/>
    <w:rsid w:val="001E76EF"/>
    <w:rsid w:val="001E78CF"/>
    <w:rsid w:val="001E7C2D"/>
    <w:rsid w:val="001F2C83"/>
    <w:rsid w:val="001F3D5A"/>
    <w:rsid w:val="001F4D67"/>
    <w:rsid w:val="001F4E7D"/>
    <w:rsid w:val="001F53CA"/>
    <w:rsid w:val="001F5901"/>
    <w:rsid w:val="001F5BCA"/>
    <w:rsid w:val="001F604F"/>
    <w:rsid w:val="001F6EED"/>
    <w:rsid w:val="001F7EBA"/>
    <w:rsid w:val="00200282"/>
    <w:rsid w:val="0020112E"/>
    <w:rsid w:val="002014A8"/>
    <w:rsid w:val="00201C88"/>
    <w:rsid w:val="00202CCA"/>
    <w:rsid w:val="0020307D"/>
    <w:rsid w:val="0020362E"/>
    <w:rsid w:val="0020376E"/>
    <w:rsid w:val="00203A07"/>
    <w:rsid w:val="00203DAC"/>
    <w:rsid w:val="0020466E"/>
    <w:rsid w:val="00204BDB"/>
    <w:rsid w:val="00205B0C"/>
    <w:rsid w:val="00206BE8"/>
    <w:rsid w:val="002071D8"/>
    <w:rsid w:val="0020770C"/>
    <w:rsid w:val="00207DDE"/>
    <w:rsid w:val="00210791"/>
    <w:rsid w:val="0021094F"/>
    <w:rsid w:val="00211181"/>
    <w:rsid w:val="00211DC2"/>
    <w:rsid w:val="00212180"/>
    <w:rsid w:val="00212E52"/>
    <w:rsid w:val="00214885"/>
    <w:rsid w:val="00214A76"/>
    <w:rsid w:val="0021587D"/>
    <w:rsid w:val="00216038"/>
    <w:rsid w:val="00216230"/>
    <w:rsid w:val="00216B49"/>
    <w:rsid w:val="00217BCD"/>
    <w:rsid w:val="00217E4E"/>
    <w:rsid w:val="002205D3"/>
    <w:rsid w:val="00220C0D"/>
    <w:rsid w:val="0022104A"/>
    <w:rsid w:val="00222434"/>
    <w:rsid w:val="00223A85"/>
    <w:rsid w:val="00223B29"/>
    <w:rsid w:val="002242BD"/>
    <w:rsid w:val="00224E04"/>
    <w:rsid w:val="0022505F"/>
    <w:rsid w:val="00226173"/>
    <w:rsid w:val="002267D9"/>
    <w:rsid w:val="00230127"/>
    <w:rsid w:val="00230DAE"/>
    <w:rsid w:val="0023150D"/>
    <w:rsid w:val="00231A4E"/>
    <w:rsid w:val="002333C7"/>
    <w:rsid w:val="00233772"/>
    <w:rsid w:val="00233B25"/>
    <w:rsid w:val="00233E00"/>
    <w:rsid w:val="00233E86"/>
    <w:rsid w:val="00234164"/>
    <w:rsid w:val="00234165"/>
    <w:rsid w:val="002353D6"/>
    <w:rsid w:val="002355BB"/>
    <w:rsid w:val="00235760"/>
    <w:rsid w:val="00235C4D"/>
    <w:rsid w:val="00235F0B"/>
    <w:rsid w:val="0024035D"/>
    <w:rsid w:val="0024165E"/>
    <w:rsid w:val="00241A89"/>
    <w:rsid w:val="00242A46"/>
    <w:rsid w:val="00243950"/>
    <w:rsid w:val="0024443F"/>
    <w:rsid w:val="00244ABE"/>
    <w:rsid w:val="00244DE3"/>
    <w:rsid w:val="002450E3"/>
    <w:rsid w:val="002452B7"/>
    <w:rsid w:val="00245323"/>
    <w:rsid w:val="00245F62"/>
    <w:rsid w:val="00246C7B"/>
    <w:rsid w:val="00246E07"/>
    <w:rsid w:val="00247792"/>
    <w:rsid w:val="00250296"/>
    <w:rsid w:val="0025116E"/>
    <w:rsid w:val="002526F5"/>
    <w:rsid w:val="00253BE9"/>
    <w:rsid w:val="00255761"/>
    <w:rsid w:val="002566BE"/>
    <w:rsid w:val="00256B0E"/>
    <w:rsid w:val="00257553"/>
    <w:rsid w:val="00257A73"/>
    <w:rsid w:val="00261017"/>
    <w:rsid w:val="00261EAD"/>
    <w:rsid w:val="00262AAF"/>
    <w:rsid w:val="00262C66"/>
    <w:rsid w:val="00262D7A"/>
    <w:rsid w:val="00263060"/>
    <w:rsid w:val="00263196"/>
    <w:rsid w:val="0026340C"/>
    <w:rsid w:val="00263FFD"/>
    <w:rsid w:val="00264DA4"/>
    <w:rsid w:val="00265D4D"/>
    <w:rsid w:val="0026622B"/>
    <w:rsid w:val="002663A8"/>
    <w:rsid w:val="002665E4"/>
    <w:rsid w:val="0026668F"/>
    <w:rsid w:val="002666C2"/>
    <w:rsid w:val="00266CA2"/>
    <w:rsid w:val="00266CEC"/>
    <w:rsid w:val="00267158"/>
    <w:rsid w:val="00267426"/>
    <w:rsid w:val="00267A4E"/>
    <w:rsid w:val="00267A57"/>
    <w:rsid w:val="00271D9D"/>
    <w:rsid w:val="0027234F"/>
    <w:rsid w:val="00272D6E"/>
    <w:rsid w:val="0027300D"/>
    <w:rsid w:val="00273A4A"/>
    <w:rsid w:val="002740F9"/>
    <w:rsid w:val="00274FDD"/>
    <w:rsid w:val="00275A1E"/>
    <w:rsid w:val="00275E54"/>
    <w:rsid w:val="0027610A"/>
    <w:rsid w:val="00276CBE"/>
    <w:rsid w:val="00276E6B"/>
    <w:rsid w:val="00276F9F"/>
    <w:rsid w:val="002778F6"/>
    <w:rsid w:val="00280A43"/>
    <w:rsid w:val="0028230B"/>
    <w:rsid w:val="0028356D"/>
    <w:rsid w:val="00283774"/>
    <w:rsid w:val="002838C2"/>
    <w:rsid w:val="00284ECD"/>
    <w:rsid w:val="0028573D"/>
    <w:rsid w:val="00285EA7"/>
    <w:rsid w:val="00285ED4"/>
    <w:rsid w:val="002867E4"/>
    <w:rsid w:val="002870A2"/>
    <w:rsid w:val="00290922"/>
    <w:rsid w:val="0029096B"/>
    <w:rsid w:val="00292B25"/>
    <w:rsid w:val="00294476"/>
    <w:rsid w:val="0029484E"/>
    <w:rsid w:val="00296967"/>
    <w:rsid w:val="00297C65"/>
    <w:rsid w:val="00297D38"/>
    <w:rsid w:val="002A1397"/>
    <w:rsid w:val="002A17C8"/>
    <w:rsid w:val="002A2121"/>
    <w:rsid w:val="002A3054"/>
    <w:rsid w:val="002A3CC2"/>
    <w:rsid w:val="002A59B0"/>
    <w:rsid w:val="002A5A16"/>
    <w:rsid w:val="002A5AC3"/>
    <w:rsid w:val="002A61B4"/>
    <w:rsid w:val="002A73C1"/>
    <w:rsid w:val="002B0279"/>
    <w:rsid w:val="002B0446"/>
    <w:rsid w:val="002B0767"/>
    <w:rsid w:val="002B0B14"/>
    <w:rsid w:val="002B0D56"/>
    <w:rsid w:val="002B1413"/>
    <w:rsid w:val="002B20F5"/>
    <w:rsid w:val="002B24B5"/>
    <w:rsid w:val="002B27CD"/>
    <w:rsid w:val="002B4620"/>
    <w:rsid w:val="002B657D"/>
    <w:rsid w:val="002B6F6B"/>
    <w:rsid w:val="002B75BC"/>
    <w:rsid w:val="002C0184"/>
    <w:rsid w:val="002C03F5"/>
    <w:rsid w:val="002C13A9"/>
    <w:rsid w:val="002C1A46"/>
    <w:rsid w:val="002C1F87"/>
    <w:rsid w:val="002C292A"/>
    <w:rsid w:val="002C5818"/>
    <w:rsid w:val="002C63B2"/>
    <w:rsid w:val="002C63BD"/>
    <w:rsid w:val="002C7831"/>
    <w:rsid w:val="002C7A11"/>
    <w:rsid w:val="002C7AC8"/>
    <w:rsid w:val="002C7CCE"/>
    <w:rsid w:val="002C7FF5"/>
    <w:rsid w:val="002D00E1"/>
    <w:rsid w:val="002D09D4"/>
    <w:rsid w:val="002D0A23"/>
    <w:rsid w:val="002D2909"/>
    <w:rsid w:val="002D2F8E"/>
    <w:rsid w:val="002D3874"/>
    <w:rsid w:val="002D4FB3"/>
    <w:rsid w:val="002D54F2"/>
    <w:rsid w:val="002D5B85"/>
    <w:rsid w:val="002D5F6D"/>
    <w:rsid w:val="002D6A17"/>
    <w:rsid w:val="002D7175"/>
    <w:rsid w:val="002D73F7"/>
    <w:rsid w:val="002D7DBB"/>
    <w:rsid w:val="002D7FAD"/>
    <w:rsid w:val="002E021D"/>
    <w:rsid w:val="002E0621"/>
    <w:rsid w:val="002E1DC2"/>
    <w:rsid w:val="002E2C7D"/>
    <w:rsid w:val="002E378D"/>
    <w:rsid w:val="002E45C3"/>
    <w:rsid w:val="002E56BC"/>
    <w:rsid w:val="002E5917"/>
    <w:rsid w:val="002E5C77"/>
    <w:rsid w:val="002E5E28"/>
    <w:rsid w:val="002E63C8"/>
    <w:rsid w:val="002E685E"/>
    <w:rsid w:val="002F10F9"/>
    <w:rsid w:val="002F1122"/>
    <w:rsid w:val="002F1978"/>
    <w:rsid w:val="002F3470"/>
    <w:rsid w:val="002F35E8"/>
    <w:rsid w:val="002F377D"/>
    <w:rsid w:val="002F3CE5"/>
    <w:rsid w:val="002F404E"/>
    <w:rsid w:val="002F43D4"/>
    <w:rsid w:val="002F58F2"/>
    <w:rsid w:val="002F5D9C"/>
    <w:rsid w:val="002F6639"/>
    <w:rsid w:val="002F6869"/>
    <w:rsid w:val="002F78FB"/>
    <w:rsid w:val="0030087C"/>
    <w:rsid w:val="00301A69"/>
    <w:rsid w:val="00302538"/>
    <w:rsid w:val="00302761"/>
    <w:rsid w:val="003027EF"/>
    <w:rsid w:val="00302DA1"/>
    <w:rsid w:val="00303B61"/>
    <w:rsid w:val="00303CEF"/>
    <w:rsid w:val="0030473D"/>
    <w:rsid w:val="00304A8D"/>
    <w:rsid w:val="00305035"/>
    <w:rsid w:val="00305E33"/>
    <w:rsid w:val="0030624D"/>
    <w:rsid w:val="003066B2"/>
    <w:rsid w:val="00307FB0"/>
    <w:rsid w:val="0031003B"/>
    <w:rsid w:val="00310363"/>
    <w:rsid w:val="00310919"/>
    <w:rsid w:val="003112C9"/>
    <w:rsid w:val="00311790"/>
    <w:rsid w:val="0031190D"/>
    <w:rsid w:val="003126D4"/>
    <w:rsid w:val="00313FC6"/>
    <w:rsid w:val="003140E7"/>
    <w:rsid w:val="00314BC5"/>
    <w:rsid w:val="00315197"/>
    <w:rsid w:val="003164D6"/>
    <w:rsid w:val="003168C9"/>
    <w:rsid w:val="00317720"/>
    <w:rsid w:val="00317DE7"/>
    <w:rsid w:val="00320ED0"/>
    <w:rsid w:val="003210BB"/>
    <w:rsid w:val="003210C3"/>
    <w:rsid w:val="0032166D"/>
    <w:rsid w:val="00321879"/>
    <w:rsid w:val="0032284D"/>
    <w:rsid w:val="00323846"/>
    <w:rsid w:val="00323A5D"/>
    <w:rsid w:val="0032431A"/>
    <w:rsid w:val="00324BCA"/>
    <w:rsid w:val="00324D03"/>
    <w:rsid w:val="00324F2C"/>
    <w:rsid w:val="00325477"/>
    <w:rsid w:val="003274E6"/>
    <w:rsid w:val="0032781F"/>
    <w:rsid w:val="00327B3D"/>
    <w:rsid w:val="00327D85"/>
    <w:rsid w:val="00330D25"/>
    <w:rsid w:val="00331028"/>
    <w:rsid w:val="003311B7"/>
    <w:rsid w:val="0033121B"/>
    <w:rsid w:val="00331D6A"/>
    <w:rsid w:val="00332863"/>
    <w:rsid w:val="00332C3C"/>
    <w:rsid w:val="00333C3E"/>
    <w:rsid w:val="00333DE5"/>
    <w:rsid w:val="0033434A"/>
    <w:rsid w:val="00334485"/>
    <w:rsid w:val="00335629"/>
    <w:rsid w:val="00335B3D"/>
    <w:rsid w:val="00336199"/>
    <w:rsid w:val="00336279"/>
    <w:rsid w:val="0033716D"/>
    <w:rsid w:val="003400B8"/>
    <w:rsid w:val="00340ED2"/>
    <w:rsid w:val="003410E7"/>
    <w:rsid w:val="00341180"/>
    <w:rsid w:val="00341F72"/>
    <w:rsid w:val="00342A2B"/>
    <w:rsid w:val="00342A30"/>
    <w:rsid w:val="00344F3E"/>
    <w:rsid w:val="00345547"/>
    <w:rsid w:val="00345F1E"/>
    <w:rsid w:val="00346816"/>
    <w:rsid w:val="00347ED8"/>
    <w:rsid w:val="00350A6A"/>
    <w:rsid w:val="00351185"/>
    <w:rsid w:val="00351218"/>
    <w:rsid w:val="00351C84"/>
    <w:rsid w:val="003525F7"/>
    <w:rsid w:val="0035275F"/>
    <w:rsid w:val="0035277A"/>
    <w:rsid w:val="0035338D"/>
    <w:rsid w:val="003536D7"/>
    <w:rsid w:val="00355513"/>
    <w:rsid w:val="00356061"/>
    <w:rsid w:val="003568CF"/>
    <w:rsid w:val="00357E6B"/>
    <w:rsid w:val="00357F50"/>
    <w:rsid w:val="00360020"/>
    <w:rsid w:val="00360E5A"/>
    <w:rsid w:val="0036163D"/>
    <w:rsid w:val="0036215D"/>
    <w:rsid w:val="003625EF"/>
    <w:rsid w:val="0036305F"/>
    <w:rsid w:val="003637DE"/>
    <w:rsid w:val="00364187"/>
    <w:rsid w:val="00364932"/>
    <w:rsid w:val="003649B2"/>
    <w:rsid w:val="00364B2C"/>
    <w:rsid w:val="00365137"/>
    <w:rsid w:val="003654AA"/>
    <w:rsid w:val="003660AB"/>
    <w:rsid w:val="00367C70"/>
    <w:rsid w:val="0037060A"/>
    <w:rsid w:val="003706B4"/>
    <w:rsid w:val="00370B83"/>
    <w:rsid w:val="00371175"/>
    <w:rsid w:val="003729B8"/>
    <w:rsid w:val="00372FB8"/>
    <w:rsid w:val="003744C3"/>
    <w:rsid w:val="003745A9"/>
    <w:rsid w:val="00375181"/>
    <w:rsid w:val="0037556B"/>
    <w:rsid w:val="003767BA"/>
    <w:rsid w:val="003777DF"/>
    <w:rsid w:val="00381484"/>
    <w:rsid w:val="003824FE"/>
    <w:rsid w:val="0038304A"/>
    <w:rsid w:val="003831C3"/>
    <w:rsid w:val="00383DE2"/>
    <w:rsid w:val="0038444A"/>
    <w:rsid w:val="00384839"/>
    <w:rsid w:val="00384D98"/>
    <w:rsid w:val="00387395"/>
    <w:rsid w:val="003878CB"/>
    <w:rsid w:val="00387BD2"/>
    <w:rsid w:val="00387FB1"/>
    <w:rsid w:val="003919E0"/>
    <w:rsid w:val="003926F5"/>
    <w:rsid w:val="00392DF5"/>
    <w:rsid w:val="00393E9B"/>
    <w:rsid w:val="003952D9"/>
    <w:rsid w:val="00395778"/>
    <w:rsid w:val="003960BF"/>
    <w:rsid w:val="00396236"/>
    <w:rsid w:val="00397FBD"/>
    <w:rsid w:val="003A1555"/>
    <w:rsid w:val="003A18FC"/>
    <w:rsid w:val="003A1A5F"/>
    <w:rsid w:val="003A1E4F"/>
    <w:rsid w:val="003A2699"/>
    <w:rsid w:val="003A2EEE"/>
    <w:rsid w:val="003A31EB"/>
    <w:rsid w:val="003A35A8"/>
    <w:rsid w:val="003A369A"/>
    <w:rsid w:val="003A4375"/>
    <w:rsid w:val="003A4494"/>
    <w:rsid w:val="003A5025"/>
    <w:rsid w:val="003A52C5"/>
    <w:rsid w:val="003A5AEB"/>
    <w:rsid w:val="003A5CDA"/>
    <w:rsid w:val="003A7322"/>
    <w:rsid w:val="003B067D"/>
    <w:rsid w:val="003B06AC"/>
    <w:rsid w:val="003B085E"/>
    <w:rsid w:val="003B10A3"/>
    <w:rsid w:val="003B1167"/>
    <w:rsid w:val="003B1B53"/>
    <w:rsid w:val="003B2339"/>
    <w:rsid w:val="003B2694"/>
    <w:rsid w:val="003B2F7B"/>
    <w:rsid w:val="003B3BBC"/>
    <w:rsid w:val="003B3EF7"/>
    <w:rsid w:val="003B3F43"/>
    <w:rsid w:val="003B3FCF"/>
    <w:rsid w:val="003B481C"/>
    <w:rsid w:val="003B5BE6"/>
    <w:rsid w:val="003B5DF2"/>
    <w:rsid w:val="003B72E8"/>
    <w:rsid w:val="003B76A0"/>
    <w:rsid w:val="003C038B"/>
    <w:rsid w:val="003C1DEB"/>
    <w:rsid w:val="003C2510"/>
    <w:rsid w:val="003C269D"/>
    <w:rsid w:val="003C2EF4"/>
    <w:rsid w:val="003C3C4C"/>
    <w:rsid w:val="003C47D1"/>
    <w:rsid w:val="003C62FA"/>
    <w:rsid w:val="003C7612"/>
    <w:rsid w:val="003C76AA"/>
    <w:rsid w:val="003C7A00"/>
    <w:rsid w:val="003D38ED"/>
    <w:rsid w:val="003D4746"/>
    <w:rsid w:val="003D6806"/>
    <w:rsid w:val="003D692E"/>
    <w:rsid w:val="003D694D"/>
    <w:rsid w:val="003D7E80"/>
    <w:rsid w:val="003E0A3A"/>
    <w:rsid w:val="003E0E89"/>
    <w:rsid w:val="003E1C2F"/>
    <w:rsid w:val="003E1F52"/>
    <w:rsid w:val="003E1FC6"/>
    <w:rsid w:val="003E2A7B"/>
    <w:rsid w:val="003E2FD4"/>
    <w:rsid w:val="003E42B6"/>
    <w:rsid w:val="003E4BD3"/>
    <w:rsid w:val="003E59A3"/>
    <w:rsid w:val="003E6118"/>
    <w:rsid w:val="003E72B2"/>
    <w:rsid w:val="003E79EC"/>
    <w:rsid w:val="003F0299"/>
    <w:rsid w:val="003F04DD"/>
    <w:rsid w:val="003F0644"/>
    <w:rsid w:val="003F2EDB"/>
    <w:rsid w:val="003F3911"/>
    <w:rsid w:val="003F3B6F"/>
    <w:rsid w:val="003F4046"/>
    <w:rsid w:val="003F4D74"/>
    <w:rsid w:val="003F638A"/>
    <w:rsid w:val="003F70C0"/>
    <w:rsid w:val="003F711F"/>
    <w:rsid w:val="003F737F"/>
    <w:rsid w:val="003F7B74"/>
    <w:rsid w:val="0040073F"/>
    <w:rsid w:val="004008D1"/>
    <w:rsid w:val="00400E49"/>
    <w:rsid w:val="00402BE8"/>
    <w:rsid w:val="00403B30"/>
    <w:rsid w:val="004044AF"/>
    <w:rsid w:val="00404874"/>
    <w:rsid w:val="00405CF4"/>
    <w:rsid w:val="00405EA8"/>
    <w:rsid w:val="0040647A"/>
    <w:rsid w:val="004108DE"/>
    <w:rsid w:val="00411D43"/>
    <w:rsid w:val="004142DD"/>
    <w:rsid w:val="00414EBB"/>
    <w:rsid w:val="0041568E"/>
    <w:rsid w:val="00415ECD"/>
    <w:rsid w:val="00416A8C"/>
    <w:rsid w:val="00416BFE"/>
    <w:rsid w:val="00417D9F"/>
    <w:rsid w:val="004204AD"/>
    <w:rsid w:val="004216A4"/>
    <w:rsid w:val="004217E6"/>
    <w:rsid w:val="0042343F"/>
    <w:rsid w:val="004236CB"/>
    <w:rsid w:val="004244CB"/>
    <w:rsid w:val="004265C6"/>
    <w:rsid w:val="00426A51"/>
    <w:rsid w:val="00426A83"/>
    <w:rsid w:val="00426B96"/>
    <w:rsid w:val="00426D98"/>
    <w:rsid w:val="0043000D"/>
    <w:rsid w:val="0043036F"/>
    <w:rsid w:val="00430A31"/>
    <w:rsid w:val="0043186B"/>
    <w:rsid w:val="004323A1"/>
    <w:rsid w:val="00433386"/>
    <w:rsid w:val="0043353A"/>
    <w:rsid w:val="00433716"/>
    <w:rsid w:val="004346E2"/>
    <w:rsid w:val="00434BAC"/>
    <w:rsid w:val="00434DC7"/>
    <w:rsid w:val="0043511F"/>
    <w:rsid w:val="0043577A"/>
    <w:rsid w:val="00440DFD"/>
    <w:rsid w:val="004410EB"/>
    <w:rsid w:val="004418FC"/>
    <w:rsid w:val="00441C89"/>
    <w:rsid w:val="00442C8D"/>
    <w:rsid w:val="004434F4"/>
    <w:rsid w:val="00444786"/>
    <w:rsid w:val="004458FD"/>
    <w:rsid w:val="004459FE"/>
    <w:rsid w:val="00446921"/>
    <w:rsid w:val="00446C93"/>
    <w:rsid w:val="004471D2"/>
    <w:rsid w:val="00447486"/>
    <w:rsid w:val="00447CF3"/>
    <w:rsid w:val="004513C0"/>
    <w:rsid w:val="00451DF4"/>
    <w:rsid w:val="00452691"/>
    <w:rsid w:val="00453A54"/>
    <w:rsid w:val="00455293"/>
    <w:rsid w:val="0045550A"/>
    <w:rsid w:val="0045560F"/>
    <w:rsid w:val="00455F4F"/>
    <w:rsid w:val="004565FD"/>
    <w:rsid w:val="00457862"/>
    <w:rsid w:val="00460F18"/>
    <w:rsid w:val="00461E8E"/>
    <w:rsid w:val="00462907"/>
    <w:rsid w:val="004634A0"/>
    <w:rsid w:val="004635D2"/>
    <w:rsid w:val="00463A3A"/>
    <w:rsid w:val="004650D2"/>
    <w:rsid w:val="00466534"/>
    <w:rsid w:val="00466559"/>
    <w:rsid w:val="0046697D"/>
    <w:rsid w:val="00470189"/>
    <w:rsid w:val="00471416"/>
    <w:rsid w:val="00471E8B"/>
    <w:rsid w:val="0047209D"/>
    <w:rsid w:val="00475B27"/>
    <w:rsid w:val="00475B35"/>
    <w:rsid w:val="00475C00"/>
    <w:rsid w:val="004762E2"/>
    <w:rsid w:val="00476BB6"/>
    <w:rsid w:val="00476F2D"/>
    <w:rsid w:val="00477539"/>
    <w:rsid w:val="004779B6"/>
    <w:rsid w:val="00477D75"/>
    <w:rsid w:val="00477EAE"/>
    <w:rsid w:val="004801C4"/>
    <w:rsid w:val="00480A91"/>
    <w:rsid w:val="004823F0"/>
    <w:rsid w:val="00482503"/>
    <w:rsid w:val="004826BC"/>
    <w:rsid w:val="0048295A"/>
    <w:rsid w:val="0048450E"/>
    <w:rsid w:val="00485263"/>
    <w:rsid w:val="00485BC4"/>
    <w:rsid w:val="00485CF7"/>
    <w:rsid w:val="00486921"/>
    <w:rsid w:val="00487283"/>
    <w:rsid w:val="00487A44"/>
    <w:rsid w:val="00487C47"/>
    <w:rsid w:val="00490009"/>
    <w:rsid w:val="004915A7"/>
    <w:rsid w:val="0049166D"/>
    <w:rsid w:val="00492A66"/>
    <w:rsid w:val="00493E3F"/>
    <w:rsid w:val="00495251"/>
    <w:rsid w:val="004962E4"/>
    <w:rsid w:val="004968CE"/>
    <w:rsid w:val="0049694F"/>
    <w:rsid w:val="00497E80"/>
    <w:rsid w:val="004A1008"/>
    <w:rsid w:val="004A1269"/>
    <w:rsid w:val="004A1B1C"/>
    <w:rsid w:val="004A5003"/>
    <w:rsid w:val="004A6F95"/>
    <w:rsid w:val="004A75D0"/>
    <w:rsid w:val="004A7C02"/>
    <w:rsid w:val="004B0196"/>
    <w:rsid w:val="004B056B"/>
    <w:rsid w:val="004B06B2"/>
    <w:rsid w:val="004B070B"/>
    <w:rsid w:val="004B13D5"/>
    <w:rsid w:val="004B1603"/>
    <w:rsid w:val="004B1668"/>
    <w:rsid w:val="004B2B8E"/>
    <w:rsid w:val="004B3F86"/>
    <w:rsid w:val="004B43C1"/>
    <w:rsid w:val="004B4DEE"/>
    <w:rsid w:val="004B67B0"/>
    <w:rsid w:val="004B6BD1"/>
    <w:rsid w:val="004B7E69"/>
    <w:rsid w:val="004C0FB2"/>
    <w:rsid w:val="004C107E"/>
    <w:rsid w:val="004C122B"/>
    <w:rsid w:val="004C1A80"/>
    <w:rsid w:val="004C2DC1"/>
    <w:rsid w:val="004C3A9E"/>
    <w:rsid w:val="004C3BB1"/>
    <w:rsid w:val="004C3D61"/>
    <w:rsid w:val="004C413C"/>
    <w:rsid w:val="004C4E0B"/>
    <w:rsid w:val="004C66CA"/>
    <w:rsid w:val="004C6710"/>
    <w:rsid w:val="004C67B8"/>
    <w:rsid w:val="004C6ED6"/>
    <w:rsid w:val="004C6FA1"/>
    <w:rsid w:val="004C7E4D"/>
    <w:rsid w:val="004D0FA1"/>
    <w:rsid w:val="004D1251"/>
    <w:rsid w:val="004D1850"/>
    <w:rsid w:val="004D29AF"/>
    <w:rsid w:val="004D2F2A"/>
    <w:rsid w:val="004D408D"/>
    <w:rsid w:val="004D46D8"/>
    <w:rsid w:val="004D67F4"/>
    <w:rsid w:val="004D6B9D"/>
    <w:rsid w:val="004D7293"/>
    <w:rsid w:val="004E03DD"/>
    <w:rsid w:val="004E064A"/>
    <w:rsid w:val="004E0C65"/>
    <w:rsid w:val="004E0FEE"/>
    <w:rsid w:val="004E22E5"/>
    <w:rsid w:val="004E27B1"/>
    <w:rsid w:val="004E2D22"/>
    <w:rsid w:val="004E2D48"/>
    <w:rsid w:val="004E36ED"/>
    <w:rsid w:val="004E3742"/>
    <w:rsid w:val="004E3CDC"/>
    <w:rsid w:val="004E5CA0"/>
    <w:rsid w:val="004F0B75"/>
    <w:rsid w:val="004F12FB"/>
    <w:rsid w:val="004F2980"/>
    <w:rsid w:val="004F424B"/>
    <w:rsid w:val="004F4A42"/>
    <w:rsid w:val="004F4C38"/>
    <w:rsid w:val="004F4CE6"/>
    <w:rsid w:val="004F56EC"/>
    <w:rsid w:val="004F57DF"/>
    <w:rsid w:val="004F584B"/>
    <w:rsid w:val="004F591C"/>
    <w:rsid w:val="004F5F2D"/>
    <w:rsid w:val="004F7DED"/>
    <w:rsid w:val="004F7E04"/>
    <w:rsid w:val="00500524"/>
    <w:rsid w:val="005010C2"/>
    <w:rsid w:val="00501296"/>
    <w:rsid w:val="00501595"/>
    <w:rsid w:val="00501ED7"/>
    <w:rsid w:val="00501F45"/>
    <w:rsid w:val="005024C4"/>
    <w:rsid w:val="005025BC"/>
    <w:rsid w:val="0050384B"/>
    <w:rsid w:val="00504E34"/>
    <w:rsid w:val="0050500E"/>
    <w:rsid w:val="005070AE"/>
    <w:rsid w:val="0051004B"/>
    <w:rsid w:val="005106F1"/>
    <w:rsid w:val="005106F2"/>
    <w:rsid w:val="00510B4F"/>
    <w:rsid w:val="00512086"/>
    <w:rsid w:val="00513320"/>
    <w:rsid w:val="005136DD"/>
    <w:rsid w:val="00513F81"/>
    <w:rsid w:val="00514164"/>
    <w:rsid w:val="005149AE"/>
    <w:rsid w:val="00514BCB"/>
    <w:rsid w:val="005150C4"/>
    <w:rsid w:val="005158E6"/>
    <w:rsid w:val="0051741B"/>
    <w:rsid w:val="00517BEA"/>
    <w:rsid w:val="00520143"/>
    <w:rsid w:val="00521F33"/>
    <w:rsid w:val="00522A52"/>
    <w:rsid w:val="00522C47"/>
    <w:rsid w:val="00522FCB"/>
    <w:rsid w:val="005242AB"/>
    <w:rsid w:val="00524628"/>
    <w:rsid w:val="00525441"/>
    <w:rsid w:val="005256BB"/>
    <w:rsid w:val="00525E4D"/>
    <w:rsid w:val="005277EE"/>
    <w:rsid w:val="00527C3C"/>
    <w:rsid w:val="00527E06"/>
    <w:rsid w:val="005300A5"/>
    <w:rsid w:val="005314E6"/>
    <w:rsid w:val="00532979"/>
    <w:rsid w:val="00533444"/>
    <w:rsid w:val="00533529"/>
    <w:rsid w:val="0053414A"/>
    <w:rsid w:val="00534471"/>
    <w:rsid w:val="00535604"/>
    <w:rsid w:val="005359DB"/>
    <w:rsid w:val="00536876"/>
    <w:rsid w:val="00536E29"/>
    <w:rsid w:val="00537F07"/>
    <w:rsid w:val="0054061F"/>
    <w:rsid w:val="00540755"/>
    <w:rsid w:val="00540B5B"/>
    <w:rsid w:val="00541CCE"/>
    <w:rsid w:val="00541D57"/>
    <w:rsid w:val="00541F5F"/>
    <w:rsid w:val="00542ED4"/>
    <w:rsid w:val="005435BA"/>
    <w:rsid w:val="005443C8"/>
    <w:rsid w:val="0054458F"/>
    <w:rsid w:val="0054568C"/>
    <w:rsid w:val="005465FB"/>
    <w:rsid w:val="00546886"/>
    <w:rsid w:val="00546F74"/>
    <w:rsid w:val="00547188"/>
    <w:rsid w:val="00550523"/>
    <w:rsid w:val="00550F6E"/>
    <w:rsid w:val="00551568"/>
    <w:rsid w:val="00551E86"/>
    <w:rsid w:val="00552597"/>
    <w:rsid w:val="0055318E"/>
    <w:rsid w:val="00553379"/>
    <w:rsid w:val="005535A2"/>
    <w:rsid w:val="00554118"/>
    <w:rsid w:val="0055429F"/>
    <w:rsid w:val="005543E3"/>
    <w:rsid w:val="005558FA"/>
    <w:rsid w:val="00555D9B"/>
    <w:rsid w:val="00555F11"/>
    <w:rsid w:val="00556164"/>
    <w:rsid w:val="00557754"/>
    <w:rsid w:val="00560479"/>
    <w:rsid w:val="0056118A"/>
    <w:rsid w:val="00561EFC"/>
    <w:rsid w:val="005639A9"/>
    <w:rsid w:val="00563BE1"/>
    <w:rsid w:val="00564068"/>
    <w:rsid w:val="0056571A"/>
    <w:rsid w:val="005659B5"/>
    <w:rsid w:val="00565BF8"/>
    <w:rsid w:val="0056642E"/>
    <w:rsid w:val="00567B73"/>
    <w:rsid w:val="00570ADB"/>
    <w:rsid w:val="00571DDC"/>
    <w:rsid w:val="00572039"/>
    <w:rsid w:val="005722A8"/>
    <w:rsid w:val="005724D3"/>
    <w:rsid w:val="00572E73"/>
    <w:rsid w:val="00572FF6"/>
    <w:rsid w:val="0057387F"/>
    <w:rsid w:val="005755AB"/>
    <w:rsid w:val="00575804"/>
    <w:rsid w:val="0057683A"/>
    <w:rsid w:val="005770F6"/>
    <w:rsid w:val="00577597"/>
    <w:rsid w:val="00577AE4"/>
    <w:rsid w:val="00580742"/>
    <w:rsid w:val="00580DD2"/>
    <w:rsid w:val="00581413"/>
    <w:rsid w:val="00581490"/>
    <w:rsid w:val="0058159D"/>
    <w:rsid w:val="0058198A"/>
    <w:rsid w:val="00582A4B"/>
    <w:rsid w:val="00582F1B"/>
    <w:rsid w:val="00583117"/>
    <w:rsid w:val="00583E81"/>
    <w:rsid w:val="00584828"/>
    <w:rsid w:val="00585753"/>
    <w:rsid w:val="00586046"/>
    <w:rsid w:val="0058675F"/>
    <w:rsid w:val="005868E4"/>
    <w:rsid w:val="00587594"/>
    <w:rsid w:val="00587C0B"/>
    <w:rsid w:val="00590511"/>
    <w:rsid w:val="00590ABB"/>
    <w:rsid w:val="0059120C"/>
    <w:rsid w:val="00591B61"/>
    <w:rsid w:val="00592FAF"/>
    <w:rsid w:val="00593620"/>
    <w:rsid w:val="00595B32"/>
    <w:rsid w:val="00595DF7"/>
    <w:rsid w:val="00596D9B"/>
    <w:rsid w:val="00597CAE"/>
    <w:rsid w:val="005A0459"/>
    <w:rsid w:val="005A1B5C"/>
    <w:rsid w:val="005A21BB"/>
    <w:rsid w:val="005A27B0"/>
    <w:rsid w:val="005A56D1"/>
    <w:rsid w:val="005A6582"/>
    <w:rsid w:val="005A732E"/>
    <w:rsid w:val="005A77A5"/>
    <w:rsid w:val="005B0517"/>
    <w:rsid w:val="005B0765"/>
    <w:rsid w:val="005B088A"/>
    <w:rsid w:val="005B1178"/>
    <w:rsid w:val="005B1393"/>
    <w:rsid w:val="005B1FA6"/>
    <w:rsid w:val="005B2B37"/>
    <w:rsid w:val="005B2B82"/>
    <w:rsid w:val="005B324D"/>
    <w:rsid w:val="005B435F"/>
    <w:rsid w:val="005B4C47"/>
    <w:rsid w:val="005B677E"/>
    <w:rsid w:val="005B6C11"/>
    <w:rsid w:val="005B76D9"/>
    <w:rsid w:val="005C1026"/>
    <w:rsid w:val="005C13A4"/>
    <w:rsid w:val="005C1793"/>
    <w:rsid w:val="005C17E5"/>
    <w:rsid w:val="005C1FD5"/>
    <w:rsid w:val="005C2492"/>
    <w:rsid w:val="005C27B5"/>
    <w:rsid w:val="005C31E8"/>
    <w:rsid w:val="005C410B"/>
    <w:rsid w:val="005C52AC"/>
    <w:rsid w:val="005C72C5"/>
    <w:rsid w:val="005C750D"/>
    <w:rsid w:val="005C7512"/>
    <w:rsid w:val="005D06B1"/>
    <w:rsid w:val="005D09A4"/>
    <w:rsid w:val="005D0E59"/>
    <w:rsid w:val="005D133B"/>
    <w:rsid w:val="005D1502"/>
    <w:rsid w:val="005D278D"/>
    <w:rsid w:val="005D2FDF"/>
    <w:rsid w:val="005D3032"/>
    <w:rsid w:val="005D313B"/>
    <w:rsid w:val="005D36AA"/>
    <w:rsid w:val="005D3DD3"/>
    <w:rsid w:val="005D4A67"/>
    <w:rsid w:val="005D6979"/>
    <w:rsid w:val="005D7E20"/>
    <w:rsid w:val="005E09EC"/>
    <w:rsid w:val="005E1CB3"/>
    <w:rsid w:val="005E1DFD"/>
    <w:rsid w:val="005E2FDA"/>
    <w:rsid w:val="005E461F"/>
    <w:rsid w:val="005E4F14"/>
    <w:rsid w:val="005F0C5F"/>
    <w:rsid w:val="005F17A9"/>
    <w:rsid w:val="005F1FBC"/>
    <w:rsid w:val="005F321B"/>
    <w:rsid w:val="005F40D5"/>
    <w:rsid w:val="005F4B29"/>
    <w:rsid w:val="005F64FC"/>
    <w:rsid w:val="005F6CEE"/>
    <w:rsid w:val="00601D33"/>
    <w:rsid w:val="00602FEC"/>
    <w:rsid w:val="00603968"/>
    <w:rsid w:val="00603F57"/>
    <w:rsid w:val="006045E8"/>
    <w:rsid w:val="0060480C"/>
    <w:rsid w:val="00604DE4"/>
    <w:rsid w:val="0060557E"/>
    <w:rsid w:val="00605FFF"/>
    <w:rsid w:val="0060634D"/>
    <w:rsid w:val="006066FA"/>
    <w:rsid w:val="00606FE6"/>
    <w:rsid w:val="00607AEC"/>
    <w:rsid w:val="00611629"/>
    <w:rsid w:val="006116F3"/>
    <w:rsid w:val="00612AA4"/>
    <w:rsid w:val="00612EB9"/>
    <w:rsid w:val="00612EBE"/>
    <w:rsid w:val="00612FDD"/>
    <w:rsid w:val="006135C1"/>
    <w:rsid w:val="006136FD"/>
    <w:rsid w:val="00614543"/>
    <w:rsid w:val="00614C83"/>
    <w:rsid w:val="00615DFF"/>
    <w:rsid w:val="0061771B"/>
    <w:rsid w:val="006179A5"/>
    <w:rsid w:val="00621025"/>
    <w:rsid w:val="00621E9A"/>
    <w:rsid w:val="00621EAB"/>
    <w:rsid w:val="00622144"/>
    <w:rsid w:val="006223AA"/>
    <w:rsid w:val="00622B31"/>
    <w:rsid w:val="006236F3"/>
    <w:rsid w:val="0062389A"/>
    <w:rsid w:val="00624652"/>
    <w:rsid w:val="006246B4"/>
    <w:rsid w:val="00624758"/>
    <w:rsid w:val="00625042"/>
    <w:rsid w:val="00625BC8"/>
    <w:rsid w:val="00625D45"/>
    <w:rsid w:val="00626C42"/>
    <w:rsid w:val="006272C2"/>
    <w:rsid w:val="00630B16"/>
    <w:rsid w:val="00631087"/>
    <w:rsid w:val="00631966"/>
    <w:rsid w:val="00634935"/>
    <w:rsid w:val="00635E3B"/>
    <w:rsid w:val="0063674D"/>
    <w:rsid w:val="00636F80"/>
    <w:rsid w:val="00637A24"/>
    <w:rsid w:val="00637B8E"/>
    <w:rsid w:val="00640D7A"/>
    <w:rsid w:val="006414AC"/>
    <w:rsid w:val="00641A99"/>
    <w:rsid w:val="0064329C"/>
    <w:rsid w:val="00643547"/>
    <w:rsid w:val="00644B42"/>
    <w:rsid w:val="00644B53"/>
    <w:rsid w:val="00644D30"/>
    <w:rsid w:val="00645D10"/>
    <w:rsid w:val="00646C2A"/>
    <w:rsid w:val="00647D36"/>
    <w:rsid w:val="00650958"/>
    <w:rsid w:val="00650B41"/>
    <w:rsid w:val="0065187C"/>
    <w:rsid w:val="00651E0C"/>
    <w:rsid w:val="006520D3"/>
    <w:rsid w:val="0065238A"/>
    <w:rsid w:val="0065253C"/>
    <w:rsid w:val="00652A60"/>
    <w:rsid w:val="00653440"/>
    <w:rsid w:val="0065386F"/>
    <w:rsid w:val="00653A6D"/>
    <w:rsid w:val="00654B88"/>
    <w:rsid w:val="00654C2A"/>
    <w:rsid w:val="00654D18"/>
    <w:rsid w:val="00654DB2"/>
    <w:rsid w:val="006561DC"/>
    <w:rsid w:val="006564F4"/>
    <w:rsid w:val="00656C5A"/>
    <w:rsid w:val="00656CE9"/>
    <w:rsid w:val="00657191"/>
    <w:rsid w:val="006617DE"/>
    <w:rsid w:val="006621E9"/>
    <w:rsid w:val="00664684"/>
    <w:rsid w:val="0066469B"/>
    <w:rsid w:val="00664BC1"/>
    <w:rsid w:val="00664FE5"/>
    <w:rsid w:val="006661C8"/>
    <w:rsid w:val="00666580"/>
    <w:rsid w:val="00666F69"/>
    <w:rsid w:val="006672AD"/>
    <w:rsid w:val="00670242"/>
    <w:rsid w:val="00670318"/>
    <w:rsid w:val="006705DB"/>
    <w:rsid w:val="00670876"/>
    <w:rsid w:val="00671123"/>
    <w:rsid w:val="0067128D"/>
    <w:rsid w:val="00671668"/>
    <w:rsid w:val="006717CE"/>
    <w:rsid w:val="00672178"/>
    <w:rsid w:val="00673052"/>
    <w:rsid w:val="0067377A"/>
    <w:rsid w:val="00674311"/>
    <w:rsid w:val="006755BB"/>
    <w:rsid w:val="00675F6B"/>
    <w:rsid w:val="00676B5E"/>
    <w:rsid w:val="0068035A"/>
    <w:rsid w:val="006822A4"/>
    <w:rsid w:val="00682446"/>
    <w:rsid w:val="006825BF"/>
    <w:rsid w:val="006827AE"/>
    <w:rsid w:val="00682B7F"/>
    <w:rsid w:val="00682D40"/>
    <w:rsid w:val="00682E77"/>
    <w:rsid w:val="00683743"/>
    <w:rsid w:val="0068479D"/>
    <w:rsid w:val="00684F4A"/>
    <w:rsid w:val="006857F4"/>
    <w:rsid w:val="006869D6"/>
    <w:rsid w:val="00686B5B"/>
    <w:rsid w:val="00686CC9"/>
    <w:rsid w:val="0068788B"/>
    <w:rsid w:val="006878DF"/>
    <w:rsid w:val="00690DFD"/>
    <w:rsid w:val="00691080"/>
    <w:rsid w:val="00691316"/>
    <w:rsid w:val="00691406"/>
    <w:rsid w:val="006919C0"/>
    <w:rsid w:val="00692168"/>
    <w:rsid w:val="006931FF"/>
    <w:rsid w:val="00693D17"/>
    <w:rsid w:val="00694C7C"/>
    <w:rsid w:val="00695608"/>
    <w:rsid w:val="0069598E"/>
    <w:rsid w:val="00695A07"/>
    <w:rsid w:val="00695F80"/>
    <w:rsid w:val="00696DF8"/>
    <w:rsid w:val="00697140"/>
    <w:rsid w:val="006A00BB"/>
    <w:rsid w:val="006A0A16"/>
    <w:rsid w:val="006A0AB8"/>
    <w:rsid w:val="006A1C72"/>
    <w:rsid w:val="006A3116"/>
    <w:rsid w:val="006A3AFA"/>
    <w:rsid w:val="006A3C8E"/>
    <w:rsid w:val="006A45EC"/>
    <w:rsid w:val="006A4E71"/>
    <w:rsid w:val="006A507D"/>
    <w:rsid w:val="006A50FC"/>
    <w:rsid w:val="006A66CF"/>
    <w:rsid w:val="006A6D62"/>
    <w:rsid w:val="006A708A"/>
    <w:rsid w:val="006A724B"/>
    <w:rsid w:val="006A76F8"/>
    <w:rsid w:val="006A786E"/>
    <w:rsid w:val="006A7982"/>
    <w:rsid w:val="006B0238"/>
    <w:rsid w:val="006B047A"/>
    <w:rsid w:val="006B1245"/>
    <w:rsid w:val="006B126F"/>
    <w:rsid w:val="006B12A1"/>
    <w:rsid w:val="006B1AD8"/>
    <w:rsid w:val="006B1C93"/>
    <w:rsid w:val="006B2D95"/>
    <w:rsid w:val="006B3553"/>
    <w:rsid w:val="006B3A3D"/>
    <w:rsid w:val="006B3C4E"/>
    <w:rsid w:val="006B5833"/>
    <w:rsid w:val="006B72B2"/>
    <w:rsid w:val="006B74A0"/>
    <w:rsid w:val="006B7E53"/>
    <w:rsid w:val="006C00EF"/>
    <w:rsid w:val="006C0C87"/>
    <w:rsid w:val="006C101F"/>
    <w:rsid w:val="006C20B9"/>
    <w:rsid w:val="006C2739"/>
    <w:rsid w:val="006C3579"/>
    <w:rsid w:val="006C370A"/>
    <w:rsid w:val="006C40A0"/>
    <w:rsid w:val="006C46CE"/>
    <w:rsid w:val="006C6255"/>
    <w:rsid w:val="006C66CB"/>
    <w:rsid w:val="006C73C1"/>
    <w:rsid w:val="006C791B"/>
    <w:rsid w:val="006D062E"/>
    <w:rsid w:val="006D1378"/>
    <w:rsid w:val="006D15D2"/>
    <w:rsid w:val="006D1B56"/>
    <w:rsid w:val="006D235A"/>
    <w:rsid w:val="006D259C"/>
    <w:rsid w:val="006D2859"/>
    <w:rsid w:val="006D287A"/>
    <w:rsid w:val="006D35BB"/>
    <w:rsid w:val="006D3D00"/>
    <w:rsid w:val="006D3D57"/>
    <w:rsid w:val="006D444E"/>
    <w:rsid w:val="006D531A"/>
    <w:rsid w:val="006D596F"/>
    <w:rsid w:val="006D5E49"/>
    <w:rsid w:val="006D675C"/>
    <w:rsid w:val="006D74CC"/>
    <w:rsid w:val="006E010D"/>
    <w:rsid w:val="006E0167"/>
    <w:rsid w:val="006E1191"/>
    <w:rsid w:val="006E1673"/>
    <w:rsid w:val="006E3343"/>
    <w:rsid w:val="006E4807"/>
    <w:rsid w:val="006E4E2A"/>
    <w:rsid w:val="006E57CE"/>
    <w:rsid w:val="006E5946"/>
    <w:rsid w:val="006E6121"/>
    <w:rsid w:val="006E6CC4"/>
    <w:rsid w:val="006E7440"/>
    <w:rsid w:val="006E7E07"/>
    <w:rsid w:val="006E7EC4"/>
    <w:rsid w:val="006F1813"/>
    <w:rsid w:val="006F1DF5"/>
    <w:rsid w:val="006F2D26"/>
    <w:rsid w:val="006F3196"/>
    <w:rsid w:val="006F594D"/>
    <w:rsid w:val="006F622B"/>
    <w:rsid w:val="006F77F2"/>
    <w:rsid w:val="006F7CA6"/>
    <w:rsid w:val="007007BB"/>
    <w:rsid w:val="0070278D"/>
    <w:rsid w:val="00703376"/>
    <w:rsid w:val="00703630"/>
    <w:rsid w:val="00704926"/>
    <w:rsid w:val="0070544E"/>
    <w:rsid w:val="0070597A"/>
    <w:rsid w:val="0070653A"/>
    <w:rsid w:val="007070DB"/>
    <w:rsid w:val="007072A6"/>
    <w:rsid w:val="00707C17"/>
    <w:rsid w:val="0071051C"/>
    <w:rsid w:val="00711EC4"/>
    <w:rsid w:val="007121A9"/>
    <w:rsid w:val="00712F5B"/>
    <w:rsid w:val="00714204"/>
    <w:rsid w:val="00714398"/>
    <w:rsid w:val="0071455B"/>
    <w:rsid w:val="00714B1A"/>
    <w:rsid w:val="0071521C"/>
    <w:rsid w:val="0071659F"/>
    <w:rsid w:val="00716B0D"/>
    <w:rsid w:val="00717303"/>
    <w:rsid w:val="007177D8"/>
    <w:rsid w:val="00717956"/>
    <w:rsid w:val="00720655"/>
    <w:rsid w:val="00720FCA"/>
    <w:rsid w:val="00721B55"/>
    <w:rsid w:val="0072313E"/>
    <w:rsid w:val="007241A4"/>
    <w:rsid w:val="007242C2"/>
    <w:rsid w:val="00724370"/>
    <w:rsid w:val="007245D0"/>
    <w:rsid w:val="00725BC9"/>
    <w:rsid w:val="00725D84"/>
    <w:rsid w:val="0072674E"/>
    <w:rsid w:val="0072675C"/>
    <w:rsid w:val="00726E03"/>
    <w:rsid w:val="00727B97"/>
    <w:rsid w:val="00727D2F"/>
    <w:rsid w:val="007315F2"/>
    <w:rsid w:val="0073349D"/>
    <w:rsid w:val="0073417A"/>
    <w:rsid w:val="00734E06"/>
    <w:rsid w:val="007352A8"/>
    <w:rsid w:val="007352D9"/>
    <w:rsid w:val="0073598B"/>
    <w:rsid w:val="00736992"/>
    <w:rsid w:val="007372FD"/>
    <w:rsid w:val="00737849"/>
    <w:rsid w:val="00737A9D"/>
    <w:rsid w:val="00740147"/>
    <w:rsid w:val="00740653"/>
    <w:rsid w:val="00741211"/>
    <w:rsid w:val="00742231"/>
    <w:rsid w:val="00742774"/>
    <w:rsid w:val="00742907"/>
    <w:rsid w:val="00742AA0"/>
    <w:rsid w:val="00742F07"/>
    <w:rsid w:val="00742F2F"/>
    <w:rsid w:val="007444F0"/>
    <w:rsid w:val="0074521C"/>
    <w:rsid w:val="00745480"/>
    <w:rsid w:val="0074578C"/>
    <w:rsid w:val="007466A6"/>
    <w:rsid w:val="00746756"/>
    <w:rsid w:val="007475FC"/>
    <w:rsid w:val="00747662"/>
    <w:rsid w:val="007501B1"/>
    <w:rsid w:val="007502C0"/>
    <w:rsid w:val="00752640"/>
    <w:rsid w:val="007545DA"/>
    <w:rsid w:val="00755504"/>
    <w:rsid w:val="00755670"/>
    <w:rsid w:val="00755803"/>
    <w:rsid w:val="007559BF"/>
    <w:rsid w:val="00755CC1"/>
    <w:rsid w:val="0075690A"/>
    <w:rsid w:val="0075718A"/>
    <w:rsid w:val="00757413"/>
    <w:rsid w:val="007576BF"/>
    <w:rsid w:val="00757A92"/>
    <w:rsid w:val="00757C1F"/>
    <w:rsid w:val="007613A9"/>
    <w:rsid w:val="0076174C"/>
    <w:rsid w:val="00761998"/>
    <w:rsid w:val="00761F75"/>
    <w:rsid w:val="00762425"/>
    <w:rsid w:val="00762488"/>
    <w:rsid w:val="007628A0"/>
    <w:rsid w:val="0076410B"/>
    <w:rsid w:val="00764C7B"/>
    <w:rsid w:val="00765460"/>
    <w:rsid w:val="00766153"/>
    <w:rsid w:val="0076645C"/>
    <w:rsid w:val="007666FF"/>
    <w:rsid w:val="007669E4"/>
    <w:rsid w:val="00767187"/>
    <w:rsid w:val="007708B6"/>
    <w:rsid w:val="0077122B"/>
    <w:rsid w:val="007714B7"/>
    <w:rsid w:val="0077274F"/>
    <w:rsid w:val="00773C56"/>
    <w:rsid w:val="007741E5"/>
    <w:rsid w:val="00774C23"/>
    <w:rsid w:val="00774E26"/>
    <w:rsid w:val="007750D2"/>
    <w:rsid w:val="00775C86"/>
    <w:rsid w:val="00776D28"/>
    <w:rsid w:val="00777191"/>
    <w:rsid w:val="007778B0"/>
    <w:rsid w:val="007804E5"/>
    <w:rsid w:val="007806C7"/>
    <w:rsid w:val="007808AF"/>
    <w:rsid w:val="00782951"/>
    <w:rsid w:val="00782B37"/>
    <w:rsid w:val="00783EDF"/>
    <w:rsid w:val="007845AB"/>
    <w:rsid w:val="0078509F"/>
    <w:rsid w:val="007856AB"/>
    <w:rsid w:val="0078598F"/>
    <w:rsid w:val="007859E1"/>
    <w:rsid w:val="00785E2B"/>
    <w:rsid w:val="00786400"/>
    <w:rsid w:val="007864A0"/>
    <w:rsid w:val="007867C5"/>
    <w:rsid w:val="00787AA8"/>
    <w:rsid w:val="0079062C"/>
    <w:rsid w:val="00790BDE"/>
    <w:rsid w:val="00791556"/>
    <w:rsid w:val="00793119"/>
    <w:rsid w:val="007936C8"/>
    <w:rsid w:val="007937E8"/>
    <w:rsid w:val="00794215"/>
    <w:rsid w:val="00794740"/>
    <w:rsid w:val="0079572F"/>
    <w:rsid w:val="00796266"/>
    <w:rsid w:val="0079668D"/>
    <w:rsid w:val="00796A50"/>
    <w:rsid w:val="00796A89"/>
    <w:rsid w:val="0079790E"/>
    <w:rsid w:val="00797BBF"/>
    <w:rsid w:val="00797E8A"/>
    <w:rsid w:val="007A02D8"/>
    <w:rsid w:val="007A1372"/>
    <w:rsid w:val="007A16F4"/>
    <w:rsid w:val="007A1C00"/>
    <w:rsid w:val="007A2EA1"/>
    <w:rsid w:val="007A313A"/>
    <w:rsid w:val="007A3738"/>
    <w:rsid w:val="007A3A3D"/>
    <w:rsid w:val="007A3F8D"/>
    <w:rsid w:val="007A5600"/>
    <w:rsid w:val="007A58BE"/>
    <w:rsid w:val="007A60CB"/>
    <w:rsid w:val="007A7AB1"/>
    <w:rsid w:val="007A7EB0"/>
    <w:rsid w:val="007B0C9A"/>
    <w:rsid w:val="007B0CE0"/>
    <w:rsid w:val="007B0F6F"/>
    <w:rsid w:val="007B2CE8"/>
    <w:rsid w:val="007B2D1A"/>
    <w:rsid w:val="007B332D"/>
    <w:rsid w:val="007B3603"/>
    <w:rsid w:val="007B475B"/>
    <w:rsid w:val="007B4D2E"/>
    <w:rsid w:val="007B5241"/>
    <w:rsid w:val="007B644D"/>
    <w:rsid w:val="007B7B03"/>
    <w:rsid w:val="007C0B9F"/>
    <w:rsid w:val="007C210A"/>
    <w:rsid w:val="007C29ED"/>
    <w:rsid w:val="007C3820"/>
    <w:rsid w:val="007C394D"/>
    <w:rsid w:val="007C489A"/>
    <w:rsid w:val="007C4E8E"/>
    <w:rsid w:val="007C56E9"/>
    <w:rsid w:val="007C5976"/>
    <w:rsid w:val="007C671D"/>
    <w:rsid w:val="007C6FA1"/>
    <w:rsid w:val="007C747E"/>
    <w:rsid w:val="007C74E9"/>
    <w:rsid w:val="007D13EB"/>
    <w:rsid w:val="007D1B9D"/>
    <w:rsid w:val="007D1BB0"/>
    <w:rsid w:val="007D2353"/>
    <w:rsid w:val="007D295C"/>
    <w:rsid w:val="007D29CE"/>
    <w:rsid w:val="007D3604"/>
    <w:rsid w:val="007D3B7C"/>
    <w:rsid w:val="007D4423"/>
    <w:rsid w:val="007D4F75"/>
    <w:rsid w:val="007D55C1"/>
    <w:rsid w:val="007D573E"/>
    <w:rsid w:val="007D5D95"/>
    <w:rsid w:val="007D5FC5"/>
    <w:rsid w:val="007D6699"/>
    <w:rsid w:val="007D7362"/>
    <w:rsid w:val="007E0D75"/>
    <w:rsid w:val="007E149A"/>
    <w:rsid w:val="007E17D9"/>
    <w:rsid w:val="007E1E06"/>
    <w:rsid w:val="007E35B9"/>
    <w:rsid w:val="007E48FD"/>
    <w:rsid w:val="007E4950"/>
    <w:rsid w:val="007E5229"/>
    <w:rsid w:val="007E5899"/>
    <w:rsid w:val="007F0E7D"/>
    <w:rsid w:val="007F15A7"/>
    <w:rsid w:val="007F1A64"/>
    <w:rsid w:val="007F228B"/>
    <w:rsid w:val="007F260A"/>
    <w:rsid w:val="007F2676"/>
    <w:rsid w:val="007F2DE9"/>
    <w:rsid w:val="007F2F35"/>
    <w:rsid w:val="007F31E9"/>
    <w:rsid w:val="007F3471"/>
    <w:rsid w:val="007F3AE2"/>
    <w:rsid w:val="007F5E20"/>
    <w:rsid w:val="007F66FF"/>
    <w:rsid w:val="007F7FF9"/>
    <w:rsid w:val="008005D2"/>
    <w:rsid w:val="00800834"/>
    <w:rsid w:val="00800D4E"/>
    <w:rsid w:val="00801310"/>
    <w:rsid w:val="00801631"/>
    <w:rsid w:val="008016B2"/>
    <w:rsid w:val="008019FA"/>
    <w:rsid w:val="00802AF5"/>
    <w:rsid w:val="008037CF"/>
    <w:rsid w:val="008039AB"/>
    <w:rsid w:val="00803A8F"/>
    <w:rsid w:val="00805303"/>
    <w:rsid w:val="0080578C"/>
    <w:rsid w:val="008066D2"/>
    <w:rsid w:val="00806D27"/>
    <w:rsid w:val="00807727"/>
    <w:rsid w:val="00810384"/>
    <w:rsid w:val="00810BA2"/>
    <w:rsid w:val="00810C2D"/>
    <w:rsid w:val="0081221C"/>
    <w:rsid w:val="008127CF"/>
    <w:rsid w:val="00812D2C"/>
    <w:rsid w:val="00815940"/>
    <w:rsid w:val="00815A9E"/>
    <w:rsid w:val="00815B83"/>
    <w:rsid w:val="008164BD"/>
    <w:rsid w:val="008167AD"/>
    <w:rsid w:val="00816FD7"/>
    <w:rsid w:val="008174DD"/>
    <w:rsid w:val="0081785D"/>
    <w:rsid w:val="008203D4"/>
    <w:rsid w:val="00820D9B"/>
    <w:rsid w:val="00820FB8"/>
    <w:rsid w:val="008219E1"/>
    <w:rsid w:val="00821E35"/>
    <w:rsid w:val="00822ADB"/>
    <w:rsid w:val="00822DBB"/>
    <w:rsid w:val="0082395E"/>
    <w:rsid w:val="008240E7"/>
    <w:rsid w:val="00824BD0"/>
    <w:rsid w:val="008258BF"/>
    <w:rsid w:val="00826491"/>
    <w:rsid w:val="00826BF5"/>
    <w:rsid w:val="00826E9B"/>
    <w:rsid w:val="00827246"/>
    <w:rsid w:val="00830072"/>
    <w:rsid w:val="008317AF"/>
    <w:rsid w:val="00831859"/>
    <w:rsid w:val="00831ECE"/>
    <w:rsid w:val="008323D5"/>
    <w:rsid w:val="00833D4E"/>
    <w:rsid w:val="00833EE3"/>
    <w:rsid w:val="00836BA0"/>
    <w:rsid w:val="008373B2"/>
    <w:rsid w:val="0083785B"/>
    <w:rsid w:val="008408A7"/>
    <w:rsid w:val="00840DF5"/>
    <w:rsid w:val="0084133D"/>
    <w:rsid w:val="00842270"/>
    <w:rsid w:val="00842392"/>
    <w:rsid w:val="008443E1"/>
    <w:rsid w:val="00844830"/>
    <w:rsid w:val="00845213"/>
    <w:rsid w:val="008452BC"/>
    <w:rsid w:val="00846168"/>
    <w:rsid w:val="008468CC"/>
    <w:rsid w:val="00847194"/>
    <w:rsid w:val="00847C87"/>
    <w:rsid w:val="008504DD"/>
    <w:rsid w:val="0085053E"/>
    <w:rsid w:val="00851EC8"/>
    <w:rsid w:val="00852076"/>
    <w:rsid w:val="0085255C"/>
    <w:rsid w:val="00852DBB"/>
    <w:rsid w:val="0085368E"/>
    <w:rsid w:val="00853D60"/>
    <w:rsid w:val="00855800"/>
    <w:rsid w:val="00855940"/>
    <w:rsid w:val="008565A8"/>
    <w:rsid w:val="00857E70"/>
    <w:rsid w:val="008604E0"/>
    <w:rsid w:val="00860A1F"/>
    <w:rsid w:val="00861507"/>
    <w:rsid w:val="00861D56"/>
    <w:rsid w:val="008630E0"/>
    <w:rsid w:val="008639E0"/>
    <w:rsid w:val="00864405"/>
    <w:rsid w:val="008653B6"/>
    <w:rsid w:val="00867806"/>
    <w:rsid w:val="008704B0"/>
    <w:rsid w:val="008728C3"/>
    <w:rsid w:val="008735FD"/>
    <w:rsid w:val="008740DF"/>
    <w:rsid w:val="0087480F"/>
    <w:rsid w:val="00875224"/>
    <w:rsid w:val="008754C0"/>
    <w:rsid w:val="00876230"/>
    <w:rsid w:val="00876D76"/>
    <w:rsid w:val="008771EB"/>
    <w:rsid w:val="0088065D"/>
    <w:rsid w:val="0088177E"/>
    <w:rsid w:val="00881844"/>
    <w:rsid w:val="008820A8"/>
    <w:rsid w:val="00882EB2"/>
    <w:rsid w:val="008831D8"/>
    <w:rsid w:val="00884AC3"/>
    <w:rsid w:val="0088501C"/>
    <w:rsid w:val="00886321"/>
    <w:rsid w:val="00886E51"/>
    <w:rsid w:val="008874E2"/>
    <w:rsid w:val="0089221C"/>
    <w:rsid w:val="00893AC6"/>
    <w:rsid w:val="00894182"/>
    <w:rsid w:val="00895D08"/>
    <w:rsid w:val="00895D5F"/>
    <w:rsid w:val="008966CC"/>
    <w:rsid w:val="00896E74"/>
    <w:rsid w:val="00897C3B"/>
    <w:rsid w:val="00897CBD"/>
    <w:rsid w:val="008A01D9"/>
    <w:rsid w:val="008A0A33"/>
    <w:rsid w:val="008A1614"/>
    <w:rsid w:val="008A1862"/>
    <w:rsid w:val="008A3481"/>
    <w:rsid w:val="008A3784"/>
    <w:rsid w:val="008A3C59"/>
    <w:rsid w:val="008A4407"/>
    <w:rsid w:val="008A49BA"/>
    <w:rsid w:val="008A5335"/>
    <w:rsid w:val="008A55EB"/>
    <w:rsid w:val="008A56A0"/>
    <w:rsid w:val="008A587D"/>
    <w:rsid w:val="008A6361"/>
    <w:rsid w:val="008A66AF"/>
    <w:rsid w:val="008A66E8"/>
    <w:rsid w:val="008A68CE"/>
    <w:rsid w:val="008B0A6D"/>
    <w:rsid w:val="008B1217"/>
    <w:rsid w:val="008B1364"/>
    <w:rsid w:val="008B18F7"/>
    <w:rsid w:val="008B2B50"/>
    <w:rsid w:val="008B38FA"/>
    <w:rsid w:val="008B485C"/>
    <w:rsid w:val="008B4DF7"/>
    <w:rsid w:val="008B5C0E"/>
    <w:rsid w:val="008C06BE"/>
    <w:rsid w:val="008C3B71"/>
    <w:rsid w:val="008C43D6"/>
    <w:rsid w:val="008C635E"/>
    <w:rsid w:val="008C6600"/>
    <w:rsid w:val="008C6CF6"/>
    <w:rsid w:val="008C735D"/>
    <w:rsid w:val="008C7C84"/>
    <w:rsid w:val="008C7F70"/>
    <w:rsid w:val="008D1057"/>
    <w:rsid w:val="008D25EE"/>
    <w:rsid w:val="008D2935"/>
    <w:rsid w:val="008D2ED8"/>
    <w:rsid w:val="008D3148"/>
    <w:rsid w:val="008D326D"/>
    <w:rsid w:val="008D3A6B"/>
    <w:rsid w:val="008D49DC"/>
    <w:rsid w:val="008D5955"/>
    <w:rsid w:val="008D6B85"/>
    <w:rsid w:val="008E00A3"/>
    <w:rsid w:val="008E0326"/>
    <w:rsid w:val="008E04F7"/>
    <w:rsid w:val="008E0F17"/>
    <w:rsid w:val="008E0F98"/>
    <w:rsid w:val="008E18AE"/>
    <w:rsid w:val="008E235F"/>
    <w:rsid w:val="008E2504"/>
    <w:rsid w:val="008E2955"/>
    <w:rsid w:val="008E30CC"/>
    <w:rsid w:val="008E3508"/>
    <w:rsid w:val="008E48AC"/>
    <w:rsid w:val="008E4A1B"/>
    <w:rsid w:val="008E53CD"/>
    <w:rsid w:val="008E6518"/>
    <w:rsid w:val="008E684B"/>
    <w:rsid w:val="008F2661"/>
    <w:rsid w:val="008F2D13"/>
    <w:rsid w:val="008F2EF4"/>
    <w:rsid w:val="008F363A"/>
    <w:rsid w:val="008F3AAA"/>
    <w:rsid w:val="008F3DD4"/>
    <w:rsid w:val="008F3E45"/>
    <w:rsid w:val="008F4C82"/>
    <w:rsid w:val="008F6029"/>
    <w:rsid w:val="008F6F03"/>
    <w:rsid w:val="008F754A"/>
    <w:rsid w:val="008F7641"/>
    <w:rsid w:val="00900294"/>
    <w:rsid w:val="0090095A"/>
    <w:rsid w:val="00901B6F"/>
    <w:rsid w:val="009020F6"/>
    <w:rsid w:val="00903C81"/>
    <w:rsid w:val="00904701"/>
    <w:rsid w:val="00904B8B"/>
    <w:rsid w:val="00905263"/>
    <w:rsid w:val="00905A27"/>
    <w:rsid w:val="00905A99"/>
    <w:rsid w:val="00905E2D"/>
    <w:rsid w:val="00906112"/>
    <w:rsid w:val="00906222"/>
    <w:rsid w:val="00906403"/>
    <w:rsid w:val="009071C1"/>
    <w:rsid w:val="009073EA"/>
    <w:rsid w:val="0090772E"/>
    <w:rsid w:val="0090797D"/>
    <w:rsid w:val="00907CF2"/>
    <w:rsid w:val="00907E8D"/>
    <w:rsid w:val="009101CC"/>
    <w:rsid w:val="00911142"/>
    <w:rsid w:val="0091150E"/>
    <w:rsid w:val="00911873"/>
    <w:rsid w:val="00911E3A"/>
    <w:rsid w:val="00911F2C"/>
    <w:rsid w:val="009138EE"/>
    <w:rsid w:val="00913C8E"/>
    <w:rsid w:val="009145A1"/>
    <w:rsid w:val="00914692"/>
    <w:rsid w:val="00914807"/>
    <w:rsid w:val="0091532F"/>
    <w:rsid w:val="00915939"/>
    <w:rsid w:val="00916F46"/>
    <w:rsid w:val="00917148"/>
    <w:rsid w:val="0092099F"/>
    <w:rsid w:val="00921B25"/>
    <w:rsid w:val="00921EA5"/>
    <w:rsid w:val="009246C2"/>
    <w:rsid w:val="00924A96"/>
    <w:rsid w:val="00924ADE"/>
    <w:rsid w:val="00924E84"/>
    <w:rsid w:val="0092578B"/>
    <w:rsid w:val="009262D1"/>
    <w:rsid w:val="00926AEF"/>
    <w:rsid w:val="00926D87"/>
    <w:rsid w:val="00927B1B"/>
    <w:rsid w:val="0093180C"/>
    <w:rsid w:val="0093196D"/>
    <w:rsid w:val="00931AC4"/>
    <w:rsid w:val="00931B9E"/>
    <w:rsid w:val="00931C77"/>
    <w:rsid w:val="00931EF2"/>
    <w:rsid w:val="00932B3D"/>
    <w:rsid w:val="00932C68"/>
    <w:rsid w:val="00933A42"/>
    <w:rsid w:val="00934000"/>
    <w:rsid w:val="009341DD"/>
    <w:rsid w:val="00934BE4"/>
    <w:rsid w:val="00934F44"/>
    <w:rsid w:val="009350F0"/>
    <w:rsid w:val="00936081"/>
    <w:rsid w:val="00936361"/>
    <w:rsid w:val="00936B38"/>
    <w:rsid w:val="00937037"/>
    <w:rsid w:val="009371D9"/>
    <w:rsid w:val="00940E3E"/>
    <w:rsid w:val="00941064"/>
    <w:rsid w:val="009411CD"/>
    <w:rsid w:val="00941749"/>
    <w:rsid w:val="00941A4B"/>
    <w:rsid w:val="00941F52"/>
    <w:rsid w:val="009446EB"/>
    <w:rsid w:val="0094587A"/>
    <w:rsid w:val="00945A22"/>
    <w:rsid w:val="00946335"/>
    <w:rsid w:val="00947BC2"/>
    <w:rsid w:val="009509F9"/>
    <w:rsid w:val="00950D77"/>
    <w:rsid w:val="0095110A"/>
    <w:rsid w:val="00951A9B"/>
    <w:rsid w:val="00951F5D"/>
    <w:rsid w:val="009531F2"/>
    <w:rsid w:val="009544B4"/>
    <w:rsid w:val="00957E84"/>
    <w:rsid w:val="00961225"/>
    <w:rsid w:val="009616F3"/>
    <w:rsid w:val="0096185A"/>
    <w:rsid w:val="00961950"/>
    <w:rsid w:val="00961CCD"/>
    <w:rsid w:val="0096244D"/>
    <w:rsid w:val="009627B7"/>
    <w:rsid w:val="00963F1C"/>
    <w:rsid w:val="0096546A"/>
    <w:rsid w:val="00967112"/>
    <w:rsid w:val="00967382"/>
    <w:rsid w:val="00967D3F"/>
    <w:rsid w:val="00970E79"/>
    <w:rsid w:val="00971053"/>
    <w:rsid w:val="00971342"/>
    <w:rsid w:val="00972C8B"/>
    <w:rsid w:val="009731BC"/>
    <w:rsid w:val="0097379B"/>
    <w:rsid w:val="00973FE5"/>
    <w:rsid w:val="009763EA"/>
    <w:rsid w:val="00976464"/>
    <w:rsid w:val="00976C5A"/>
    <w:rsid w:val="0097737D"/>
    <w:rsid w:val="00980383"/>
    <w:rsid w:val="0098042E"/>
    <w:rsid w:val="009816A8"/>
    <w:rsid w:val="00981C37"/>
    <w:rsid w:val="00982B22"/>
    <w:rsid w:val="009834D4"/>
    <w:rsid w:val="00983805"/>
    <w:rsid w:val="00984C97"/>
    <w:rsid w:val="009863E7"/>
    <w:rsid w:val="009870BF"/>
    <w:rsid w:val="009873CF"/>
    <w:rsid w:val="00990C7E"/>
    <w:rsid w:val="0099116B"/>
    <w:rsid w:val="0099178A"/>
    <w:rsid w:val="0099237D"/>
    <w:rsid w:val="009925BA"/>
    <w:rsid w:val="00993585"/>
    <w:rsid w:val="00993C20"/>
    <w:rsid w:val="009952C7"/>
    <w:rsid w:val="00995C87"/>
    <w:rsid w:val="00996062"/>
    <w:rsid w:val="00996AEB"/>
    <w:rsid w:val="00997040"/>
    <w:rsid w:val="00997CA5"/>
    <w:rsid w:val="00997F15"/>
    <w:rsid w:val="00997FAC"/>
    <w:rsid w:val="009A06E7"/>
    <w:rsid w:val="009A18D9"/>
    <w:rsid w:val="009A25DE"/>
    <w:rsid w:val="009A37F0"/>
    <w:rsid w:val="009A4259"/>
    <w:rsid w:val="009A51F2"/>
    <w:rsid w:val="009A5DED"/>
    <w:rsid w:val="009A682E"/>
    <w:rsid w:val="009A736B"/>
    <w:rsid w:val="009A7901"/>
    <w:rsid w:val="009A7AF7"/>
    <w:rsid w:val="009B06F5"/>
    <w:rsid w:val="009B0ED9"/>
    <w:rsid w:val="009B19C4"/>
    <w:rsid w:val="009B1D82"/>
    <w:rsid w:val="009B2149"/>
    <w:rsid w:val="009B227A"/>
    <w:rsid w:val="009B3594"/>
    <w:rsid w:val="009B3F12"/>
    <w:rsid w:val="009B4003"/>
    <w:rsid w:val="009B4318"/>
    <w:rsid w:val="009B4A16"/>
    <w:rsid w:val="009B4B2A"/>
    <w:rsid w:val="009B4C53"/>
    <w:rsid w:val="009B5C67"/>
    <w:rsid w:val="009B67BA"/>
    <w:rsid w:val="009B69BD"/>
    <w:rsid w:val="009B71B0"/>
    <w:rsid w:val="009C010E"/>
    <w:rsid w:val="009C0601"/>
    <w:rsid w:val="009C0B22"/>
    <w:rsid w:val="009C1369"/>
    <w:rsid w:val="009C2163"/>
    <w:rsid w:val="009C21CD"/>
    <w:rsid w:val="009C22BE"/>
    <w:rsid w:val="009C2797"/>
    <w:rsid w:val="009C3308"/>
    <w:rsid w:val="009C36BA"/>
    <w:rsid w:val="009C3A89"/>
    <w:rsid w:val="009C4502"/>
    <w:rsid w:val="009C6AE7"/>
    <w:rsid w:val="009C7FC9"/>
    <w:rsid w:val="009D0F2E"/>
    <w:rsid w:val="009D17EF"/>
    <w:rsid w:val="009D2175"/>
    <w:rsid w:val="009D26F4"/>
    <w:rsid w:val="009D2BBD"/>
    <w:rsid w:val="009D2FAB"/>
    <w:rsid w:val="009D3B38"/>
    <w:rsid w:val="009D576E"/>
    <w:rsid w:val="009D6703"/>
    <w:rsid w:val="009D7098"/>
    <w:rsid w:val="009D7976"/>
    <w:rsid w:val="009D7C17"/>
    <w:rsid w:val="009E02BC"/>
    <w:rsid w:val="009E068C"/>
    <w:rsid w:val="009E0CDE"/>
    <w:rsid w:val="009E2C79"/>
    <w:rsid w:val="009E3608"/>
    <w:rsid w:val="009E38B8"/>
    <w:rsid w:val="009E4134"/>
    <w:rsid w:val="009E496A"/>
    <w:rsid w:val="009E67A8"/>
    <w:rsid w:val="009E7100"/>
    <w:rsid w:val="009F0250"/>
    <w:rsid w:val="009F1379"/>
    <w:rsid w:val="009F1A51"/>
    <w:rsid w:val="009F2F8D"/>
    <w:rsid w:val="009F3084"/>
    <w:rsid w:val="009F3A26"/>
    <w:rsid w:val="009F3EDD"/>
    <w:rsid w:val="009F40C3"/>
    <w:rsid w:val="009F418F"/>
    <w:rsid w:val="009F43A7"/>
    <w:rsid w:val="009F443D"/>
    <w:rsid w:val="009F481F"/>
    <w:rsid w:val="00A00252"/>
    <w:rsid w:val="00A01038"/>
    <w:rsid w:val="00A01940"/>
    <w:rsid w:val="00A01DED"/>
    <w:rsid w:val="00A02732"/>
    <w:rsid w:val="00A02802"/>
    <w:rsid w:val="00A029D1"/>
    <w:rsid w:val="00A03BAB"/>
    <w:rsid w:val="00A03E1A"/>
    <w:rsid w:val="00A0451A"/>
    <w:rsid w:val="00A0469F"/>
    <w:rsid w:val="00A05731"/>
    <w:rsid w:val="00A06392"/>
    <w:rsid w:val="00A06BFA"/>
    <w:rsid w:val="00A07347"/>
    <w:rsid w:val="00A07F67"/>
    <w:rsid w:val="00A10B17"/>
    <w:rsid w:val="00A10DA9"/>
    <w:rsid w:val="00A10F8A"/>
    <w:rsid w:val="00A11312"/>
    <w:rsid w:val="00A11A23"/>
    <w:rsid w:val="00A12928"/>
    <w:rsid w:val="00A12C83"/>
    <w:rsid w:val="00A1351F"/>
    <w:rsid w:val="00A1369A"/>
    <w:rsid w:val="00A1531F"/>
    <w:rsid w:val="00A15CBD"/>
    <w:rsid w:val="00A17DE2"/>
    <w:rsid w:val="00A208AA"/>
    <w:rsid w:val="00A211C4"/>
    <w:rsid w:val="00A2243C"/>
    <w:rsid w:val="00A23D90"/>
    <w:rsid w:val="00A24D3E"/>
    <w:rsid w:val="00A25F7A"/>
    <w:rsid w:val="00A26A05"/>
    <w:rsid w:val="00A26EC3"/>
    <w:rsid w:val="00A27342"/>
    <w:rsid w:val="00A274C2"/>
    <w:rsid w:val="00A27E4A"/>
    <w:rsid w:val="00A3003C"/>
    <w:rsid w:val="00A30513"/>
    <w:rsid w:val="00A3055A"/>
    <w:rsid w:val="00A307D8"/>
    <w:rsid w:val="00A30BB8"/>
    <w:rsid w:val="00A30C52"/>
    <w:rsid w:val="00A318D9"/>
    <w:rsid w:val="00A31A76"/>
    <w:rsid w:val="00A31CE9"/>
    <w:rsid w:val="00A32B7E"/>
    <w:rsid w:val="00A32C06"/>
    <w:rsid w:val="00A32D7D"/>
    <w:rsid w:val="00A33332"/>
    <w:rsid w:val="00A33B84"/>
    <w:rsid w:val="00A3436B"/>
    <w:rsid w:val="00A35784"/>
    <w:rsid w:val="00A35E34"/>
    <w:rsid w:val="00A36252"/>
    <w:rsid w:val="00A3627B"/>
    <w:rsid w:val="00A36400"/>
    <w:rsid w:val="00A36BF8"/>
    <w:rsid w:val="00A37040"/>
    <w:rsid w:val="00A37059"/>
    <w:rsid w:val="00A40016"/>
    <w:rsid w:val="00A412E5"/>
    <w:rsid w:val="00A413E1"/>
    <w:rsid w:val="00A420F6"/>
    <w:rsid w:val="00A45395"/>
    <w:rsid w:val="00A4571F"/>
    <w:rsid w:val="00A45AC2"/>
    <w:rsid w:val="00A462D0"/>
    <w:rsid w:val="00A46C1A"/>
    <w:rsid w:val="00A46D03"/>
    <w:rsid w:val="00A501EE"/>
    <w:rsid w:val="00A5038A"/>
    <w:rsid w:val="00A5222E"/>
    <w:rsid w:val="00A5226E"/>
    <w:rsid w:val="00A53B60"/>
    <w:rsid w:val="00A54705"/>
    <w:rsid w:val="00A54F3E"/>
    <w:rsid w:val="00A551F8"/>
    <w:rsid w:val="00A564C2"/>
    <w:rsid w:val="00A612D6"/>
    <w:rsid w:val="00A616A8"/>
    <w:rsid w:val="00A64E30"/>
    <w:rsid w:val="00A66467"/>
    <w:rsid w:val="00A6662B"/>
    <w:rsid w:val="00A6674E"/>
    <w:rsid w:val="00A67C38"/>
    <w:rsid w:val="00A70BA8"/>
    <w:rsid w:val="00A7202A"/>
    <w:rsid w:val="00A7283D"/>
    <w:rsid w:val="00A72C8C"/>
    <w:rsid w:val="00A733DE"/>
    <w:rsid w:val="00A734F9"/>
    <w:rsid w:val="00A73848"/>
    <w:rsid w:val="00A739DC"/>
    <w:rsid w:val="00A73A00"/>
    <w:rsid w:val="00A73A54"/>
    <w:rsid w:val="00A73EE8"/>
    <w:rsid w:val="00A742EE"/>
    <w:rsid w:val="00A744CC"/>
    <w:rsid w:val="00A749F8"/>
    <w:rsid w:val="00A7560A"/>
    <w:rsid w:val="00A757CC"/>
    <w:rsid w:val="00A767B7"/>
    <w:rsid w:val="00A802AB"/>
    <w:rsid w:val="00A809FA"/>
    <w:rsid w:val="00A80AAE"/>
    <w:rsid w:val="00A823ED"/>
    <w:rsid w:val="00A8247E"/>
    <w:rsid w:val="00A8337E"/>
    <w:rsid w:val="00A83613"/>
    <w:rsid w:val="00A83984"/>
    <w:rsid w:val="00A83DC3"/>
    <w:rsid w:val="00A8540A"/>
    <w:rsid w:val="00A86129"/>
    <w:rsid w:val="00A8619D"/>
    <w:rsid w:val="00A86922"/>
    <w:rsid w:val="00A86C8E"/>
    <w:rsid w:val="00A872C3"/>
    <w:rsid w:val="00A8792E"/>
    <w:rsid w:val="00A91625"/>
    <w:rsid w:val="00A916BE"/>
    <w:rsid w:val="00A91A9C"/>
    <w:rsid w:val="00A91D6E"/>
    <w:rsid w:val="00A925AB"/>
    <w:rsid w:val="00A93196"/>
    <w:rsid w:val="00A935AD"/>
    <w:rsid w:val="00A94409"/>
    <w:rsid w:val="00A94FB6"/>
    <w:rsid w:val="00A9517E"/>
    <w:rsid w:val="00A976FE"/>
    <w:rsid w:val="00A979F5"/>
    <w:rsid w:val="00AA01A1"/>
    <w:rsid w:val="00AA0FE6"/>
    <w:rsid w:val="00AA111E"/>
    <w:rsid w:val="00AA1514"/>
    <w:rsid w:val="00AA151D"/>
    <w:rsid w:val="00AA5F15"/>
    <w:rsid w:val="00AB0632"/>
    <w:rsid w:val="00AB0C4D"/>
    <w:rsid w:val="00AB1F8B"/>
    <w:rsid w:val="00AB2178"/>
    <w:rsid w:val="00AB29D0"/>
    <w:rsid w:val="00AB2B24"/>
    <w:rsid w:val="00AB4766"/>
    <w:rsid w:val="00AB4815"/>
    <w:rsid w:val="00AB5BFE"/>
    <w:rsid w:val="00AB5EA9"/>
    <w:rsid w:val="00AB62E0"/>
    <w:rsid w:val="00AB6CFA"/>
    <w:rsid w:val="00AB7466"/>
    <w:rsid w:val="00AB793E"/>
    <w:rsid w:val="00AB7A1E"/>
    <w:rsid w:val="00AC05F8"/>
    <w:rsid w:val="00AC1ADE"/>
    <w:rsid w:val="00AC3558"/>
    <w:rsid w:val="00AC3AAC"/>
    <w:rsid w:val="00AC3CAE"/>
    <w:rsid w:val="00AC3D29"/>
    <w:rsid w:val="00AC4860"/>
    <w:rsid w:val="00AC493E"/>
    <w:rsid w:val="00AC53EA"/>
    <w:rsid w:val="00AC59EB"/>
    <w:rsid w:val="00AC5FAC"/>
    <w:rsid w:val="00AC6720"/>
    <w:rsid w:val="00AC6AD1"/>
    <w:rsid w:val="00AC6CAB"/>
    <w:rsid w:val="00AC7460"/>
    <w:rsid w:val="00AD111F"/>
    <w:rsid w:val="00AD13B1"/>
    <w:rsid w:val="00AD1520"/>
    <w:rsid w:val="00AD1F94"/>
    <w:rsid w:val="00AD3D06"/>
    <w:rsid w:val="00AD4140"/>
    <w:rsid w:val="00AD42A3"/>
    <w:rsid w:val="00AD49A5"/>
    <w:rsid w:val="00AD4ADC"/>
    <w:rsid w:val="00AD5C03"/>
    <w:rsid w:val="00AD6B82"/>
    <w:rsid w:val="00AD6EA1"/>
    <w:rsid w:val="00AD6FB2"/>
    <w:rsid w:val="00AD7538"/>
    <w:rsid w:val="00AD7A6C"/>
    <w:rsid w:val="00AE0551"/>
    <w:rsid w:val="00AE1459"/>
    <w:rsid w:val="00AE16D5"/>
    <w:rsid w:val="00AE1EC5"/>
    <w:rsid w:val="00AE2065"/>
    <w:rsid w:val="00AE2D23"/>
    <w:rsid w:val="00AE3ED1"/>
    <w:rsid w:val="00AE3FE8"/>
    <w:rsid w:val="00AE420A"/>
    <w:rsid w:val="00AE423D"/>
    <w:rsid w:val="00AE49C3"/>
    <w:rsid w:val="00AE4BCF"/>
    <w:rsid w:val="00AE54ED"/>
    <w:rsid w:val="00AE70CC"/>
    <w:rsid w:val="00AE72DF"/>
    <w:rsid w:val="00AE74EB"/>
    <w:rsid w:val="00AE7B4E"/>
    <w:rsid w:val="00AF01E1"/>
    <w:rsid w:val="00AF1C68"/>
    <w:rsid w:val="00AF2519"/>
    <w:rsid w:val="00AF28C2"/>
    <w:rsid w:val="00AF2ABC"/>
    <w:rsid w:val="00AF46B7"/>
    <w:rsid w:val="00AF4C7F"/>
    <w:rsid w:val="00AF52AA"/>
    <w:rsid w:val="00AF546A"/>
    <w:rsid w:val="00AF5869"/>
    <w:rsid w:val="00AF590B"/>
    <w:rsid w:val="00AF5C46"/>
    <w:rsid w:val="00AF6141"/>
    <w:rsid w:val="00AF66A5"/>
    <w:rsid w:val="00AF6707"/>
    <w:rsid w:val="00AF69F6"/>
    <w:rsid w:val="00AF6A19"/>
    <w:rsid w:val="00AF7C60"/>
    <w:rsid w:val="00B04DA6"/>
    <w:rsid w:val="00B052F1"/>
    <w:rsid w:val="00B052F4"/>
    <w:rsid w:val="00B05A3D"/>
    <w:rsid w:val="00B06129"/>
    <w:rsid w:val="00B06ACD"/>
    <w:rsid w:val="00B07EA6"/>
    <w:rsid w:val="00B10FC9"/>
    <w:rsid w:val="00B11218"/>
    <w:rsid w:val="00B1166D"/>
    <w:rsid w:val="00B12AB6"/>
    <w:rsid w:val="00B12C65"/>
    <w:rsid w:val="00B1331F"/>
    <w:rsid w:val="00B13F42"/>
    <w:rsid w:val="00B13FA4"/>
    <w:rsid w:val="00B151C6"/>
    <w:rsid w:val="00B1560E"/>
    <w:rsid w:val="00B158A5"/>
    <w:rsid w:val="00B15F36"/>
    <w:rsid w:val="00B16AA4"/>
    <w:rsid w:val="00B17C39"/>
    <w:rsid w:val="00B202D4"/>
    <w:rsid w:val="00B21D12"/>
    <w:rsid w:val="00B222E6"/>
    <w:rsid w:val="00B22F51"/>
    <w:rsid w:val="00B233C7"/>
    <w:rsid w:val="00B237A1"/>
    <w:rsid w:val="00B24103"/>
    <w:rsid w:val="00B24DA0"/>
    <w:rsid w:val="00B25836"/>
    <w:rsid w:val="00B25868"/>
    <w:rsid w:val="00B25AAB"/>
    <w:rsid w:val="00B26BD2"/>
    <w:rsid w:val="00B26C2B"/>
    <w:rsid w:val="00B3133C"/>
    <w:rsid w:val="00B32033"/>
    <w:rsid w:val="00B320D6"/>
    <w:rsid w:val="00B3231B"/>
    <w:rsid w:val="00B32FEC"/>
    <w:rsid w:val="00B338D7"/>
    <w:rsid w:val="00B33DAC"/>
    <w:rsid w:val="00B34069"/>
    <w:rsid w:val="00B34719"/>
    <w:rsid w:val="00B35047"/>
    <w:rsid w:val="00B35A30"/>
    <w:rsid w:val="00B35F1C"/>
    <w:rsid w:val="00B36851"/>
    <w:rsid w:val="00B36AE3"/>
    <w:rsid w:val="00B36BEE"/>
    <w:rsid w:val="00B36C06"/>
    <w:rsid w:val="00B37716"/>
    <w:rsid w:val="00B400AC"/>
    <w:rsid w:val="00B40344"/>
    <w:rsid w:val="00B40804"/>
    <w:rsid w:val="00B40A16"/>
    <w:rsid w:val="00B41D34"/>
    <w:rsid w:val="00B42059"/>
    <w:rsid w:val="00B420CA"/>
    <w:rsid w:val="00B42618"/>
    <w:rsid w:val="00B4265D"/>
    <w:rsid w:val="00B42BAF"/>
    <w:rsid w:val="00B43991"/>
    <w:rsid w:val="00B44C99"/>
    <w:rsid w:val="00B453F0"/>
    <w:rsid w:val="00B46225"/>
    <w:rsid w:val="00B46AE6"/>
    <w:rsid w:val="00B46EB7"/>
    <w:rsid w:val="00B51048"/>
    <w:rsid w:val="00B5130E"/>
    <w:rsid w:val="00B522EA"/>
    <w:rsid w:val="00B524C6"/>
    <w:rsid w:val="00B5253A"/>
    <w:rsid w:val="00B53541"/>
    <w:rsid w:val="00B53F35"/>
    <w:rsid w:val="00B54E2E"/>
    <w:rsid w:val="00B557B6"/>
    <w:rsid w:val="00B56D3D"/>
    <w:rsid w:val="00B57279"/>
    <w:rsid w:val="00B575AC"/>
    <w:rsid w:val="00B6029D"/>
    <w:rsid w:val="00B61167"/>
    <w:rsid w:val="00B6133B"/>
    <w:rsid w:val="00B61FAA"/>
    <w:rsid w:val="00B62B05"/>
    <w:rsid w:val="00B62DDB"/>
    <w:rsid w:val="00B62F16"/>
    <w:rsid w:val="00B635A6"/>
    <w:rsid w:val="00B63979"/>
    <w:rsid w:val="00B639A7"/>
    <w:rsid w:val="00B64347"/>
    <w:rsid w:val="00B654A2"/>
    <w:rsid w:val="00B66120"/>
    <w:rsid w:val="00B67290"/>
    <w:rsid w:val="00B6745F"/>
    <w:rsid w:val="00B70912"/>
    <w:rsid w:val="00B70E6A"/>
    <w:rsid w:val="00B71AFB"/>
    <w:rsid w:val="00B7335E"/>
    <w:rsid w:val="00B73B6D"/>
    <w:rsid w:val="00B74F2D"/>
    <w:rsid w:val="00B7509D"/>
    <w:rsid w:val="00B76318"/>
    <w:rsid w:val="00B76A63"/>
    <w:rsid w:val="00B77EC9"/>
    <w:rsid w:val="00B801A8"/>
    <w:rsid w:val="00B80573"/>
    <w:rsid w:val="00B80A76"/>
    <w:rsid w:val="00B80AC6"/>
    <w:rsid w:val="00B82A02"/>
    <w:rsid w:val="00B82A35"/>
    <w:rsid w:val="00B82C62"/>
    <w:rsid w:val="00B834C0"/>
    <w:rsid w:val="00B83BF6"/>
    <w:rsid w:val="00B83C4F"/>
    <w:rsid w:val="00B8412A"/>
    <w:rsid w:val="00B84576"/>
    <w:rsid w:val="00B85CFC"/>
    <w:rsid w:val="00B85D3C"/>
    <w:rsid w:val="00B8737F"/>
    <w:rsid w:val="00B90125"/>
    <w:rsid w:val="00B9043E"/>
    <w:rsid w:val="00B90B96"/>
    <w:rsid w:val="00B91C90"/>
    <w:rsid w:val="00B91EB6"/>
    <w:rsid w:val="00B92123"/>
    <w:rsid w:val="00B9308E"/>
    <w:rsid w:val="00B932DE"/>
    <w:rsid w:val="00B9584A"/>
    <w:rsid w:val="00B973BF"/>
    <w:rsid w:val="00B97647"/>
    <w:rsid w:val="00B97EDC"/>
    <w:rsid w:val="00BA07A0"/>
    <w:rsid w:val="00BA0C9B"/>
    <w:rsid w:val="00BA0CFB"/>
    <w:rsid w:val="00BA15F3"/>
    <w:rsid w:val="00BA2776"/>
    <w:rsid w:val="00BA2E88"/>
    <w:rsid w:val="00BA3BEC"/>
    <w:rsid w:val="00BA411C"/>
    <w:rsid w:val="00BA446E"/>
    <w:rsid w:val="00BA4ABB"/>
    <w:rsid w:val="00BA5E41"/>
    <w:rsid w:val="00BA6707"/>
    <w:rsid w:val="00BA6794"/>
    <w:rsid w:val="00BA7633"/>
    <w:rsid w:val="00BA77CF"/>
    <w:rsid w:val="00BB01DA"/>
    <w:rsid w:val="00BB11BE"/>
    <w:rsid w:val="00BB1A06"/>
    <w:rsid w:val="00BB366E"/>
    <w:rsid w:val="00BB3DC2"/>
    <w:rsid w:val="00BB46ED"/>
    <w:rsid w:val="00BB5419"/>
    <w:rsid w:val="00BB54F9"/>
    <w:rsid w:val="00BB5951"/>
    <w:rsid w:val="00BB60FF"/>
    <w:rsid w:val="00BB6B38"/>
    <w:rsid w:val="00BB7DD7"/>
    <w:rsid w:val="00BC1ECC"/>
    <w:rsid w:val="00BC217A"/>
    <w:rsid w:val="00BC3973"/>
    <w:rsid w:val="00BC42DF"/>
    <w:rsid w:val="00BC43FF"/>
    <w:rsid w:val="00BC48AE"/>
    <w:rsid w:val="00BC48DB"/>
    <w:rsid w:val="00BC508B"/>
    <w:rsid w:val="00BC5931"/>
    <w:rsid w:val="00BC5A9D"/>
    <w:rsid w:val="00BC5C50"/>
    <w:rsid w:val="00BC5D7B"/>
    <w:rsid w:val="00BC5E25"/>
    <w:rsid w:val="00BC797C"/>
    <w:rsid w:val="00BC7AE9"/>
    <w:rsid w:val="00BC7D66"/>
    <w:rsid w:val="00BD03A0"/>
    <w:rsid w:val="00BD0D67"/>
    <w:rsid w:val="00BD29FF"/>
    <w:rsid w:val="00BD2B8E"/>
    <w:rsid w:val="00BD4510"/>
    <w:rsid w:val="00BD4926"/>
    <w:rsid w:val="00BD4962"/>
    <w:rsid w:val="00BD6EEB"/>
    <w:rsid w:val="00BD6F78"/>
    <w:rsid w:val="00BD7067"/>
    <w:rsid w:val="00BD7166"/>
    <w:rsid w:val="00BD7214"/>
    <w:rsid w:val="00BD7F6C"/>
    <w:rsid w:val="00BE02A5"/>
    <w:rsid w:val="00BE0F47"/>
    <w:rsid w:val="00BE1604"/>
    <w:rsid w:val="00BE196F"/>
    <w:rsid w:val="00BE1F0C"/>
    <w:rsid w:val="00BE1FBC"/>
    <w:rsid w:val="00BE24F7"/>
    <w:rsid w:val="00BE2630"/>
    <w:rsid w:val="00BE36AA"/>
    <w:rsid w:val="00BE44DB"/>
    <w:rsid w:val="00BE5298"/>
    <w:rsid w:val="00BE608F"/>
    <w:rsid w:val="00BE6782"/>
    <w:rsid w:val="00BE7C81"/>
    <w:rsid w:val="00BF0C80"/>
    <w:rsid w:val="00BF0CA3"/>
    <w:rsid w:val="00BF1491"/>
    <w:rsid w:val="00BF2856"/>
    <w:rsid w:val="00BF29D2"/>
    <w:rsid w:val="00BF4D48"/>
    <w:rsid w:val="00BF4E16"/>
    <w:rsid w:val="00BF57C3"/>
    <w:rsid w:val="00BF5A3C"/>
    <w:rsid w:val="00BF7C9F"/>
    <w:rsid w:val="00BF7EDC"/>
    <w:rsid w:val="00BF7F35"/>
    <w:rsid w:val="00C0053E"/>
    <w:rsid w:val="00C02208"/>
    <w:rsid w:val="00C02777"/>
    <w:rsid w:val="00C02CAE"/>
    <w:rsid w:val="00C03237"/>
    <w:rsid w:val="00C041E8"/>
    <w:rsid w:val="00C0482F"/>
    <w:rsid w:val="00C04AE2"/>
    <w:rsid w:val="00C058E8"/>
    <w:rsid w:val="00C05ACA"/>
    <w:rsid w:val="00C071A7"/>
    <w:rsid w:val="00C0771A"/>
    <w:rsid w:val="00C07A08"/>
    <w:rsid w:val="00C07FE9"/>
    <w:rsid w:val="00C10A76"/>
    <w:rsid w:val="00C10B08"/>
    <w:rsid w:val="00C10C28"/>
    <w:rsid w:val="00C11A3A"/>
    <w:rsid w:val="00C1324E"/>
    <w:rsid w:val="00C13B02"/>
    <w:rsid w:val="00C13D1D"/>
    <w:rsid w:val="00C146C5"/>
    <w:rsid w:val="00C151BC"/>
    <w:rsid w:val="00C15721"/>
    <w:rsid w:val="00C15C7D"/>
    <w:rsid w:val="00C15F68"/>
    <w:rsid w:val="00C161DB"/>
    <w:rsid w:val="00C16466"/>
    <w:rsid w:val="00C16741"/>
    <w:rsid w:val="00C17277"/>
    <w:rsid w:val="00C2074F"/>
    <w:rsid w:val="00C20DA7"/>
    <w:rsid w:val="00C21E02"/>
    <w:rsid w:val="00C2224C"/>
    <w:rsid w:val="00C234FF"/>
    <w:rsid w:val="00C24093"/>
    <w:rsid w:val="00C24FF9"/>
    <w:rsid w:val="00C25200"/>
    <w:rsid w:val="00C255BC"/>
    <w:rsid w:val="00C266BA"/>
    <w:rsid w:val="00C26C6E"/>
    <w:rsid w:val="00C26DF2"/>
    <w:rsid w:val="00C26F0E"/>
    <w:rsid w:val="00C27224"/>
    <w:rsid w:val="00C27453"/>
    <w:rsid w:val="00C331B9"/>
    <w:rsid w:val="00C33E9E"/>
    <w:rsid w:val="00C3412C"/>
    <w:rsid w:val="00C3450B"/>
    <w:rsid w:val="00C34D91"/>
    <w:rsid w:val="00C35746"/>
    <w:rsid w:val="00C35A55"/>
    <w:rsid w:val="00C36952"/>
    <w:rsid w:val="00C373B7"/>
    <w:rsid w:val="00C401C5"/>
    <w:rsid w:val="00C40961"/>
    <w:rsid w:val="00C40C48"/>
    <w:rsid w:val="00C41AB2"/>
    <w:rsid w:val="00C43234"/>
    <w:rsid w:val="00C43DD4"/>
    <w:rsid w:val="00C43F49"/>
    <w:rsid w:val="00C44078"/>
    <w:rsid w:val="00C44668"/>
    <w:rsid w:val="00C45369"/>
    <w:rsid w:val="00C45935"/>
    <w:rsid w:val="00C4692E"/>
    <w:rsid w:val="00C471BC"/>
    <w:rsid w:val="00C477A0"/>
    <w:rsid w:val="00C50D65"/>
    <w:rsid w:val="00C511C9"/>
    <w:rsid w:val="00C52AE9"/>
    <w:rsid w:val="00C53098"/>
    <w:rsid w:val="00C53928"/>
    <w:rsid w:val="00C540AE"/>
    <w:rsid w:val="00C54E54"/>
    <w:rsid w:val="00C55704"/>
    <w:rsid w:val="00C5585B"/>
    <w:rsid w:val="00C55BDB"/>
    <w:rsid w:val="00C56EC5"/>
    <w:rsid w:val="00C57478"/>
    <w:rsid w:val="00C57B11"/>
    <w:rsid w:val="00C60B34"/>
    <w:rsid w:val="00C60E38"/>
    <w:rsid w:val="00C611DC"/>
    <w:rsid w:val="00C611FB"/>
    <w:rsid w:val="00C61347"/>
    <w:rsid w:val="00C617C9"/>
    <w:rsid w:val="00C62A17"/>
    <w:rsid w:val="00C64B2F"/>
    <w:rsid w:val="00C657D0"/>
    <w:rsid w:val="00C65F43"/>
    <w:rsid w:val="00C6666F"/>
    <w:rsid w:val="00C66683"/>
    <w:rsid w:val="00C66A17"/>
    <w:rsid w:val="00C66FA6"/>
    <w:rsid w:val="00C70267"/>
    <w:rsid w:val="00C703CC"/>
    <w:rsid w:val="00C719BF"/>
    <w:rsid w:val="00C71F98"/>
    <w:rsid w:val="00C73696"/>
    <w:rsid w:val="00C74542"/>
    <w:rsid w:val="00C7474F"/>
    <w:rsid w:val="00C74937"/>
    <w:rsid w:val="00C74A30"/>
    <w:rsid w:val="00C74D09"/>
    <w:rsid w:val="00C7611E"/>
    <w:rsid w:val="00C76CF2"/>
    <w:rsid w:val="00C76D65"/>
    <w:rsid w:val="00C771C2"/>
    <w:rsid w:val="00C80804"/>
    <w:rsid w:val="00C815EA"/>
    <w:rsid w:val="00C8202E"/>
    <w:rsid w:val="00C820ED"/>
    <w:rsid w:val="00C82313"/>
    <w:rsid w:val="00C823B4"/>
    <w:rsid w:val="00C825B1"/>
    <w:rsid w:val="00C82F0E"/>
    <w:rsid w:val="00C83055"/>
    <w:rsid w:val="00C8379A"/>
    <w:rsid w:val="00C83904"/>
    <w:rsid w:val="00C83B0F"/>
    <w:rsid w:val="00C850A0"/>
    <w:rsid w:val="00C86483"/>
    <w:rsid w:val="00C869A0"/>
    <w:rsid w:val="00C87674"/>
    <w:rsid w:val="00C8796E"/>
    <w:rsid w:val="00C905A9"/>
    <w:rsid w:val="00C9111F"/>
    <w:rsid w:val="00C919B8"/>
    <w:rsid w:val="00C91C8B"/>
    <w:rsid w:val="00C927CC"/>
    <w:rsid w:val="00C9287A"/>
    <w:rsid w:val="00C9339C"/>
    <w:rsid w:val="00C94282"/>
    <w:rsid w:val="00C94526"/>
    <w:rsid w:val="00C94DCD"/>
    <w:rsid w:val="00C94F21"/>
    <w:rsid w:val="00C95272"/>
    <w:rsid w:val="00C967E5"/>
    <w:rsid w:val="00C9796B"/>
    <w:rsid w:val="00CA0F96"/>
    <w:rsid w:val="00CA10BD"/>
    <w:rsid w:val="00CA3A6B"/>
    <w:rsid w:val="00CA3EBC"/>
    <w:rsid w:val="00CA5345"/>
    <w:rsid w:val="00CA54C4"/>
    <w:rsid w:val="00CA5638"/>
    <w:rsid w:val="00CA5B66"/>
    <w:rsid w:val="00CA7132"/>
    <w:rsid w:val="00CA7BDD"/>
    <w:rsid w:val="00CA7C47"/>
    <w:rsid w:val="00CB0647"/>
    <w:rsid w:val="00CB0713"/>
    <w:rsid w:val="00CB08ED"/>
    <w:rsid w:val="00CB0E98"/>
    <w:rsid w:val="00CB2684"/>
    <w:rsid w:val="00CB32C3"/>
    <w:rsid w:val="00CB40DB"/>
    <w:rsid w:val="00CB4CF3"/>
    <w:rsid w:val="00CB607D"/>
    <w:rsid w:val="00CB60C4"/>
    <w:rsid w:val="00CB7088"/>
    <w:rsid w:val="00CB74F8"/>
    <w:rsid w:val="00CB7879"/>
    <w:rsid w:val="00CC0CB9"/>
    <w:rsid w:val="00CC198E"/>
    <w:rsid w:val="00CC219E"/>
    <w:rsid w:val="00CC2344"/>
    <w:rsid w:val="00CC2BB6"/>
    <w:rsid w:val="00CC356F"/>
    <w:rsid w:val="00CC3C7C"/>
    <w:rsid w:val="00CC44A7"/>
    <w:rsid w:val="00CC45E9"/>
    <w:rsid w:val="00CC5F27"/>
    <w:rsid w:val="00CC6AF6"/>
    <w:rsid w:val="00CC6EE4"/>
    <w:rsid w:val="00CD0028"/>
    <w:rsid w:val="00CD0AB0"/>
    <w:rsid w:val="00CD1545"/>
    <w:rsid w:val="00CD1707"/>
    <w:rsid w:val="00CD1C7C"/>
    <w:rsid w:val="00CD1DC6"/>
    <w:rsid w:val="00CD2C3C"/>
    <w:rsid w:val="00CD2ECC"/>
    <w:rsid w:val="00CD43C2"/>
    <w:rsid w:val="00CD4AB5"/>
    <w:rsid w:val="00CD50F5"/>
    <w:rsid w:val="00CD51A2"/>
    <w:rsid w:val="00CD64C1"/>
    <w:rsid w:val="00CD758F"/>
    <w:rsid w:val="00CD7D0F"/>
    <w:rsid w:val="00CE0D02"/>
    <w:rsid w:val="00CE332B"/>
    <w:rsid w:val="00CE5133"/>
    <w:rsid w:val="00CE538B"/>
    <w:rsid w:val="00CE5453"/>
    <w:rsid w:val="00CE6125"/>
    <w:rsid w:val="00CE74BC"/>
    <w:rsid w:val="00CE78AB"/>
    <w:rsid w:val="00CE7BE1"/>
    <w:rsid w:val="00CF0FC6"/>
    <w:rsid w:val="00CF29F5"/>
    <w:rsid w:val="00CF3715"/>
    <w:rsid w:val="00CF37A1"/>
    <w:rsid w:val="00CF3F20"/>
    <w:rsid w:val="00CF6D3E"/>
    <w:rsid w:val="00CF7C6B"/>
    <w:rsid w:val="00D01293"/>
    <w:rsid w:val="00D01839"/>
    <w:rsid w:val="00D018C8"/>
    <w:rsid w:val="00D02B58"/>
    <w:rsid w:val="00D03357"/>
    <w:rsid w:val="00D05C21"/>
    <w:rsid w:val="00D06194"/>
    <w:rsid w:val="00D07605"/>
    <w:rsid w:val="00D1031C"/>
    <w:rsid w:val="00D10640"/>
    <w:rsid w:val="00D12E78"/>
    <w:rsid w:val="00D13D25"/>
    <w:rsid w:val="00D14892"/>
    <w:rsid w:val="00D14EEC"/>
    <w:rsid w:val="00D154C0"/>
    <w:rsid w:val="00D1565C"/>
    <w:rsid w:val="00D156E3"/>
    <w:rsid w:val="00D15E70"/>
    <w:rsid w:val="00D20CD7"/>
    <w:rsid w:val="00D20DAE"/>
    <w:rsid w:val="00D211A1"/>
    <w:rsid w:val="00D2158A"/>
    <w:rsid w:val="00D2188A"/>
    <w:rsid w:val="00D22018"/>
    <w:rsid w:val="00D23692"/>
    <w:rsid w:val="00D24017"/>
    <w:rsid w:val="00D24A2F"/>
    <w:rsid w:val="00D24F29"/>
    <w:rsid w:val="00D25881"/>
    <w:rsid w:val="00D26373"/>
    <w:rsid w:val="00D26424"/>
    <w:rsid w:val="00D267F1"/>
    <w:rsid w:val="00D27A72"/>
    <w:rsid w:val="00D3057B"/>
    <w:rsid w:val="00D30AC7"/>
    <w:rsid w:val="00D341B7"/>
    <w:rsid w:val="00D343F2"/>
    <w:rsid w:val="00D349AF"/>
    <w:rsid w:val="00D34A68"/>
    <w:rsid w:val="00D34B81"/>
    <w:rsid w:val="00D34CA0"/>
    <w:rsid w:val="00D35475"/>
    <w:rsid w:val="00D3549B"/>
    <w:rsid w:val="00D35DE8"/>
    <w:rsid w:val="00D36824"/>
    <w:rsid w:val="00D371E6"/>
    <w:rsid w:val="00D4093C"/>
    <w:rsid w:val="00D40CC0"/>
    <w:rsid w:val="00D42DD1"/>
    <w:rsid w:val="00D45602"/>
    <w:rsid w:val="00D45933"/>
    <w:rsid w:val="00D505BD"/>
    <w:rsid w:val="00D50A81"/>
    <w:rsid w:val="00D51E71"/>
    <w:rsid w:val="00D5294E"/>
    <w:rsid w:val="00D52DB8"/>
    <w:rsid w:val="00D52EF6"/>
    <w:rsid w:val="00D53289"/>
    <w:rsid w:val="00D53CEA"/>
    <w:rsid w:val="00D5672F"/>
    <w:rsid w:val="00D56D30"/>
    <w:rsid w:val="00D5726F"/>
    <w:rsid w:val="00D577F2"/>
    <w:rsid w:val="00D60183"/>
    <w:rsid w:val="00D602C9"/>
    <w:rsid w:val="00D6061B"/>
    <w:rsid w:val="00D611E4"/>
    <w:rsid w:val="00D61AFB"/>
    <w:rsid w:val="00D61FA4"/>
    <w:rsid w:val="00D62404"/>
    <w:rsid w:val="00D6254F"/>
    <w:rsid w:val="00D64430"/>
    <w:rsid w:val="00D64DB8"/>
    <w:rsid w:val="00D650FA"/>
    <w:rsid w:val="00D6514A"/>
    <w:rsid w:val="00D66101"/>
    <w:rsid w:val="00D66749"/>
    <w:rsid w:val="00D668D2"/>
    <w:rsid w:val="00D66BA5"/>
    <w:rsid w:val="00D67241"/>
    <w:rsid w:val="00D67982"/>
    <w:rsid w:val="00D70B85"/>
    <w:rsid w:val="00D71696"/>
    <w:rsid w:val="00D71835"/>
    <w:rsid w:val="00D722A0"/>
    <w:rsid w:val="00D742E9"/>
    <w:rsid w:val="00D74D37"/>
    <w:rsid w:val="00D75046"/>
    <w:rsid w:val="00D7507C"/>
    <w:rsid w:val="00D75D38"/>
    <w:rsid w:val="00D75EF4"/>
    <w:rsid w:val="00D770B5"/>
    <w:rsid w:val="00D80042"/>
    <w:rsid w:val="00D800F4"/>
    <w:rsid w:val="00D81259"/>
    <w:rsid w:val="00D819D4"/>
    <w:rsid w:val="00D8206E"/>
    <w:rsid w:val="00D843F9"/>
    <w:rsid w:val="00D844FE"/>
    <w:rsid w:val="00D84997"/>
    <w:rsid w:val="00D85992"/>
    <w:rsid w:val="00D85D6F"/>
    <w:rsid w:val="00D866EC"/>
    <w:rsid w:val="00D87421"/>
    <w:rsid w:val="00D87F16"/>
    <w:rsid w:val="00D903FF"/>
    <w:rsid w:val="00D90611"/>
    <w:rsid w:val="00D91E43"/>
    <w:rsid w:val="00D92D13"/>
    <w:rsid w:val="00D93D96"/>
    <w:rsid w:val="00D94474"/>
    <w:rsid w:val="00D948DF"/>
    <w:rsid w:val="00D95765"/>
    <w:rsid w:val="00D95FD0"/>
    <w:rsid w:val="00DA0A6E"/>
    <w:rsid w:val="00DA2C11"/>
    <w:rsid w:val="00DA36AA"/>
    <w:rsid w:val="00DA36D5"/>
    <w:rsid w:val="00DA371D"/>
    <w:rsid w:val="00DA3B6D"/>
    <w:rsid w:val="00DA42D9"/>
    <w:rsid w:val="00DA57CE"/>
    <w:rsid w:val="00DA722E"/>
    <w:rsid w:val="00DA723F"/>
    <w:rsid w:val="00DA76B5"/>
    <w:rsid w:val="00DA7CA3"/>
    <w:rsid w:val="00DB0C81"/>
    <w:rsid w:val="00DB2B75"/>
    <w:rsid w:val="00DB3660"/>
    <w:rsid w:val="00DB383B"/>
    <w:rsid w:val="00DB400C"/>
    <w:rsid w:val="00DB4BE7"/>
    <w:rsid w:val="00DB5313"/>
    <w:rsid w:val="00DB56EB"/>
    <w:rsid w:val="00DB57CA"/>
    <w:rsid w:val="00DB7C7F"/>
    <w:rsid w:val="00DB7F89"/>
    <w:rsid w:val="00DC0171"/>
    <w:rsid w:val="00DC07CD"/>
    <w:rsid w:val="00DC096E"/>
    <w:rsid w:val="00DC1373"/>
    <w:rsid w:val="00DC1FA6"/>
    <w:rsid w:val="00DC23D5"/>
    <w:rsid w:val="00DC3142"/>
    <w:rsid w:val="00DC3658"/>
    <w:rsid w:val="00DC3890"/>
    <w:rsid w:val="00DC3A83"/>
    <w:rsid w:val="00DC526A"/>
    <w:rsid w:val="00DC5661"/>
    <w:rsid w:val="00DC5782"/>
    <w:rsid w:val="00DC5D55"/>
    <w:rsid w:val="00DC7183"/>
    <w:rsid w:val="00DC7FC1"/>
    <w:rsid w:val="00DD096C"/>
    <w:rsid w:val="00DD105F"/>
    <w:rsid w:val="00DD2BD7"/>
    <w:rsid w:val="00DD3370"/>
    <w:rsid w:val="00DD34D7"/>
    <w:rsid w:val="00DD3A71"/>
    <w:rsid w:val="00DD40DC"/>
    <w:rsid w:val="00DD4E79"/>
    <w:rsid w:val="00DD5497"/>
    <w:rsid w:val="00DD619C"/>
    <w:rsid w:val="00DD7554"/>
    <w:rsid w:val="00DD7736"/>
    <w:rsid w:val="00DE177F"/>
    <w:rsid w:val="00DE1A87"/>
    <w:rsid w:val="00DE210C"/>
    <w:rsid w:val="00DE2DB1"/>
    <w:rsid w:val="00DE2F38"/>
    <w:rsid w:val="00DE32E2"/>
    <w:rsid w:val="00DE3D21"/>
    <w:rsid w:val="00DE4530"/>
    <w:rsid w:val="00DE5178"/>
    <w:rsid w:val="00DE5761"/>
    <w:rsid w:val="00DE5B42"/>
    <w:rsid w:val="00DE5BFC"/>
    <w:rsid w:val="00DE647C"/>
    <w:rsid w:val="00DE6A5B"/>
    <w:rsid w:val="00DE6B6D"/>
    <w:rsid w:val="00DE6C55"/>
    <w:rsid w:val="00DE72D0"/>
    <w:rsid w:val="00DE78EC"/>
    <w:rsid w:val="00DF078C"/>
    <w:rsid w:val="00DF1222"/>
    <w:rsid w:val="00DF1351"/>
    <w:rsid w:val="00DF16C1"/>
    <w:rsid w:val="00DF23A8"/>
    <w:rsid w:val="00DF24DA"/>
    <w:rsid w:val="00DF2B26"/>
    <w:rsid w:val="00DF2EB7"/>
    <w:rsid w:val="00DF3289"/>
    <w:rsid w:val="00DF33B2"/>
    <w:rsid w:val="00DF3A51"/>
    <w:rsid w:val="00DF5EAF"/>
    <w:rsid w:val="00DF71A0"/>
    <w:rsid w:val="00DF7D5D"/>
    <w:rsid w:val="00E0082A"/>
    <w:rsid w:val="00E00D6F"/>
    <w:rsid w:val="00E01927"/>
    <w:rsid w:val="00E03645"/>
    <w:rsid w:val="00E03B9D"/>
    <w:rsid w:val="00E04962"/>
    <w:rsid w:val="00E054EE"/>
    <w:rsid w:val="00E05B7F"/>
    <w:rsid w:val="00E05E93"/>
    <w:rsid w:val="00E06A33"/>
    <w:rsid w:val="00E07020"/>
    <w:rsid w:val="00E074FC"/>
    <w:rsid w:val="00E07DA4"/>
    <w:rsid w:val="00E10D7D"/>
    <w:rsid w:val="00E12A2E"/>
    <w:rsid w:val="00E12B00"/>
    <w:rsid w:val="00E1329A"/>
    <w:rsid w:val="00E138A0"/>
    <w:rsid w:val="00E13F8B"/>
    <w:rsid w:val="00E14450"/>
    <w:rsid w:val="00E1471F"/>
    <w:rsid w:val="00E14EEE"/>
    <w:rsid w:val="00E15E5F"/>
    <w:rsid w:val="00E160D7"/>
    <w:rsid w:val="00E1620B"/>
    <w:rsid w:val="00E17C81"/>
    <w:rsid w:val="00E200E2"/>
    <w:rsid w:val="00E20647"/>
    <w:rsid w:val="00E20CE0"/>
    <w:rsid w:val="00E21777"/>
    <w:rsid w:val="00E21AC2"/>
    <w:rsid w:val="00E22686"/>
    <w:rsid w:val="00E227E6"/>
    <w:rsid w:val="00E232C7"/>
    <w:rsid w:val="00E241C4"/>
    <w:rsid w:val="00E242B3"/>
    <w:rsid w:val="00E24DBD"/>
    <w:rsid w:val="00E31DCD"/>
    <w:rsid w:val="00E33CFB"/>
    <w:rsid w:val="00E34494"/>
    <w:rsid w:val="00E358B4"/>
    <w:rsid w:val="00E35FC8"/>
    <w:rsid w:val="00E36468"/>
    <w:rsid w:val="00E368EC"/>
    <w:rsid w:val="00E36951"/>
    <w:rsid w:val="00E36CF5"/>
    <w:rsid w:val="00E37154"/>
    <w:rsid w:val="00E37C4B"/>
    <w:rsid w:val="00E40183"/>
    <w:rsid w:val="00E4041A"/>
    <w:rsid w:val="00E40C04"/>
    <w:rsid w:val="00E40F1B"/>
    <w:rsid w:val="00E41115"/>
    <w:rsid w:val="00E417BC"/>
    <w:rsid w:val="00E41A59"/>
    <w:rsid w:val="00E42D9D"/>
    <w:rsid w:val="00E43692"/>
    <w:rsid w:val="00E43B9B"/>
    <w:rsid w:val="00E44360"/>
    <w:rsid w:val="00E44BA0"/>
    <w:rsid w:val="00E45347"/>
    <w:rsid w:val="00E45F80"/>
    <w:rsid w:val="00E4717F"/>
    <w:rsid w:val="00E47C6E"/>
    <w:rsid w:val="00E47CA6"/>
    <w:rsid w:val="00E50E4B"/>
    <w:rsid w:val="00E52567"/>
    <w:rsid w:val="00E5367C"/>
    <w:rsid w:val="00E53FD7"/>
    <w:rsid w:val="00E54D1B"/>
    <w:rsid w:val="00E55586"/>
    <w:rsid w:val="00E55B37"/>
    <w:rsid w:val="00E579CA"/>
    <w:rsid w:val="00E57D64"/>
    <w:rsid w:val="00E60F58"/>
    <w:rsid w:val="00E6117B"/>
    <w:rsid w:val="00E6237C"/>
    <w:rsid w:val="00E6252C"/>
    <w:rsid w:val="00E62E84"/>
    <w:rsid w:val="00E635CE"/>
    <w:rsid w:val="00E646C9"/>
    <w:rsid w:val="00E64C50"/>
    <w:rsid w:val="00E64EE1"/>
    <w:rsid w:val="00E658B4"/>
    <w:rsid w:val="00E66102"/>
    <w:rsid w:val="00E66B97"/>
    <w:rsid w:val="00E67499"/>
    <w:rsid w:val="00E67CB4"/>
    <w:rsid w:val="00E7060C"/>
    <w:rsid w:val="00E719CA"/>
    <w:rsid w:val="00E7470E"/>
    <w:rsid w:val="00E74862"/>
    <w:rsid w:val="00E7761D"/>
    <w:rsid w:val="00E8306C"/>
    <w:rsid w:val="00E833CD"/>
    <w:rsid w:val="00E834B9"/>
    <w:rsid w:val="00E856D7"/>
    <w:rsid w:val="00E857E3"/>
    <w:rsid w:val="00E85BBB"/>
    <w:rsid w:val="00E91D85"/>
    <w:rsid w:val="00E92FC6"/>
    <w:rsid w:val="00E93C5C"/>
    <w:rsid w:val="00E93EF2"/>
    <w:rsid w:val="00E940A7"/>
    <w:rsid w:val="00E9421C"/>
    <w:rsid w:val="00E949C8"/>
    <w:rsid w:val="00E94CCC"/>
    <w:rsid w:val="00E94F2C"/>
    <w:rsid w:val="00E94FE7"/>
    <w:rsid w:val="00E95383"/>
    <w:rsid w:val="00E95882"/>
    <w:rsid w:val="00E96BDD"/>
    <w:rsid w:val="00EA01C1"/>
    <w:rsid w:val="00EA0AA1"/>
    <w:rsid w:val="00EA0DC1"/>
    <w:rsid w:val="00EA13B7"/>
    <w:rsid w:val="00EA2444"/>
    <w:rsid w:val="00EA2B34"/>
    <w:rsid w:val="00EA2C35"/>
    <w:rsid w:val="00EA3712"/>
    <w:rsid w:val="00EA4A07"/>
    <w:rsid w:val="00EA4B43"/>
    <w:rsid w:val="00EA4C7E"/>
    <w:rsid w:val="00EA4FDA"/>
    <w:rsid w:val="00EA5C5C"/>
    <w:rsid w:val="00EA6760"/>
    <w:rsid w:val="00EA6AF4"/>
    <w:rsid w:val="00EB0C17"/>
    <w:rsid w:val="00EB0CFA"/>
    <w:rsid w:val="00EB120C"/>
    <w:rsid w:val="00EB1C67"/>
    <w:rsid w:val="00EB1DCF"/>
    <w:rsid w:val="00EB226C"/>
    <w:rsid w:val="00EB28CB"/>
    <w:rsid w:val="00EB3A50"/>
    <w:rsid w:val="00EB3BC2"/>
    <w:rsid w:val="00EB3E9F"/>
    <w:rsid w:val="00EB4648"/>
    <w:rsid w:val="00EB503A"/>
    <w:rsid w:val="00EB6896"/>
    <w:rsid w:val="00EB7F5C"/>
    <w:rsid w:val="00EC01E6"/>
    <w:rsid w:val="00EC131E"/>
    <w:rsid w:val="00EC1A26"/>
    <w:rsid w:val="00EC281F"/>
    <w:rsid w:val="00EC2BF2"/>
    <w:rsid w:val="00EC3307"/>
    <w:rsid w:val="00ED2080"/>
    <w:rsid w:val="00ED23C7"/>
    <w:rsid w:val="00ED43BD"/>
    <w:rsid w:val="00ED43C9"/>
    <w:rsid w:val="00ED4A6C"/>
    <w:rsid w:val="00ED4E7A"/>
    <w:rsid w:val="00ED6B05"/>
    <w:rsid w:val="00ED6CD7"/>
    <w:rsid w:val="00ED7C17"/>
    <w:rsid w:val="00EE01DC"/>
    <w:rsid w:val="00EE0C21"/>
    <w:rsid w:val="00EE103A"/>
    <w:rsid w:val="00EE1817"/>
    <w:rsid w:val="00EE199E"/>
    <w:rsid w:val="00EE19A1"/>
    <w:rsid w:val="00EE1DF6"/>
    <w:rsid w:val="00EE30CF"/>
    <w:rsid w:val="00EE3426"/>
    <w:rsid w:val="00EE3B4E"/>
    <w:rsid w:val="00EE428D"/>
    <w:rsid w:val="00EE4415"/>
    <w:rsid w:val="00EE4781"/>
    <w:rsid w:val="00EE48D6"/>
    <w:rsid w:val="00EE5048"/>
    <w:rsid w:val="00EE5FA5"/>
    <w:rsid w:val="00EE6FC5"/>
    <w:rsid w:val="00EE76DC"/>
    <w:rsid w:val="00EF0666"/>
    <w:rsid w:val="00EF1354"/>
    <w:rsid w:val="00EF2C26"/>
    <w:rsid w:val="00EF357C"/>
    <w:rsid w:val="00EF53F6"/>
    <w:rsid w:val="00EF5E5B"/>
    <w:rsid w:val="00EF6A9A"/>
    <w:rsid w:val="00EF724C"/>
    <w:rsid w:val="00EF7330"/>
    <w:rsid w:val="00EF78A0"/>
    <w:rsid w:val="00EF7A93"/>
    <w:rsid w:val="00EF7DD0"/>
    <w:rsid w:val="00EF7E86"/>
    <w:rsid w:val="00F0060E"/>
    <w:rsid w:val="00F00AFF"/>
    <w:rsid w:val="00F016BD"/>
    <w:rsid w:val="00F0216A"/>
    <w:rsid w:val="00F032C6"/>
    <w:rsid w:val="00F0390C"/>
    <w:rsid w:val="00F04183"/>
    <w:rsid w:val="00F04C2A"/>
    <w:rsid w:val="00F04FE8"/>
    <w:rsid w:val="00F05E0E"/>
    <w:rsid w:val="00F069D8"/>
    <w:rsid w:val="00F06BDE"/>
    <w:rsid w:val="00F06C30"/>
    <w:rsid w:val="00F072A0"/>
    <w:rsid w:val="00F07A52"/>
    <w:rsid w:val="00F07F0A"/>
    <w:rsid w:val="00F11FA1"/>
    <w:rsid w:val="00F1278F"/>
    <w:rsid w:val="00F1395C"/>
    <w:rsid w:val="00F13ED9"/>
    <w:rsid w:val="00F154BA"/>
    <w:rsid w:val="00F16038"/>
    <w:rsid w:val="00F1739C"/>
    <w:rsid w:val="00F17FD6"/>
    <w:rsid w:val="00F22C2C"/>
    <w:rsid w:val="00F22DC6"/>
    <w:rsid w:val="00F232D8"/>
    <w:rsid w:val="00F246B8"/>
    <w:rsid w:val="00F24848"/>
    <w:rsid w:val="00F255B2"/>
    <w:rsid w:val="00F25D3C"/>
    <w:rsid w:val="00F26811"/>
    <w:rsid w:val="00F27DB3"/>
    <w:rsid w:val="00F305B0"/>
    <w:rsid w:val="00F33F30"/>
    <w:rsid w:val="00F341C4"/>
    <w:rsid w:val="00F3443E"/>
    <w:rsid w:val="00F35657"/>
    <w:rsid w:val="00F35944"/>
    <w:rsid w:val="00F359AE"/>
    <w:rsid w:val="00F362C5"/>
    <w:rsid w:val="00F364FD"/>
    <w:rsid w:val="00F36C25"/>
    <w:rsid w:val="00F379DE"/>
    <w:rsid w:val="00F40F7C"/>
    <w:rsid w:val="00F42F35"/>
    <w:rsid w:val="00F4361E"/>
    <w:rsid w:val="00F447EB"/>
    <w:rsid w:val="00F45D04"/>
    <w:rsid w:val="00F45D8A"/>
    <w:rsid w:val="00F50CC0"/>
    <w:rsid w:val="00F50F62"/>
    <w:rsid w:val="00F53C66"/>
    <w:rsid w:val="00F546E3"/>
    <w:rsid w:val="00F56A7F"/>
    <w:rsid w:val="00F56B94"/>
    <w:rsid w:val="00F56C67"/>
    <w:rsid w:val="00F572A4"/>
    <w:rsid w:val="00F57750"/>
    <w:rsid w:val="00F57CDA"/>
    <w:rsid w:val="00F60C68"/>
    <w:rsid w:val="00F61202"/>
    <w:rsid w:val="00F6138E"/>
    <w:rsid w:val="00F614AC"/>
    <w:rsid w:val="00F62205"/>
    <w:rsid w:val="00F6345F"/>
    <w:rsid w:val="00F65F8C"/>
    <w:rsid w:val="00F6690E"/>
    <w:rsid w:val="00F67C0F"/>
    <w:rsid w:val="00F70DE5"/>
    <w:rsid w:val="00F710E4"/>
    <w:rsid w:val="00F71316"/>
    <w:rsid w:val="00F71AE7"/>
    <w:rsid w:val="00F71D4B"/>
    <w:rsid w:val="00F72586"/>
    <w:rsid w:val="00F73F00"/>
    <w:rsid w:val="00F74109"/>
    <w:rsid w:val="00F74CE4"/>
    <w:rsid w:val="00F760B0"/>
    <w:rsid w:val="00F761AD"/>
    <w:rsid w:val="00F7696B"/>
    <w:rsid w:val="00F76E7A"/>
    <w:rsid w:val="00F77445"/>
    <w:rsid w:val="00F776EB"/>
    <w:rsid w:val="00F801D7"/>
    <w:rsid w:val="00F80619"/>
    <w:rsid w:val="00F81BF1"/>
    <w:rsid w:val="00F81D6F"/>
    <w:rsid w:val="00F826E6"/>
    <w:rsid w:val="00F82C80"/>
    <w:rsid w:val="00F840BA"/>
    <w:rsid w:val="00F842EF"/>
    <w:rsid w:val="00F849EC"/>
    <w:rsid w:val="00F852AE"/>
    <w:rsid w:val="00F858DB"/>
    <w:rsid w:val="00F869F2"/>
    <w:rsid w:val="00F870B7"/>
    <w:rsid w:val="00F870EF"/>
    <w:rsid w:val="00F87CA1"/>
    <w:rsid w:val="00F907DA"/>
    <w:rsid w:val="00F90BFD"/>
    <w:rsid w:val="00F91E79"/>
    <w:rsid w:val="00F93025"/>
    <w:rsid w:val="00F93110"/>
    <w:rsid w:val="00F93D4A"/>
    <w:rsid w:val="00F9509E"/>
    <w:rsid w:val="00F958B8"/>
    <w:rsid w:val="00F96118"/>
    <w:rsid w:val="00F96286"/>
    <w:rsid w:val="00F968EE"/>
    <w:rsid w:val="00F96E2A"/>
    <w:rsid w:val="00F9700A"/>
    <w:rsid w:val="00F97121"/>
    <w:rsid w:val="00F972FE"/>
    <w:rsid w:val="00F97E85"/>
    <w:rsid w:val="00FA01C9"/>
    <w:rsid w:val="00FA0AFE"/>
    <w:rsid w:val="00FA10FD"/>
    <w:rsid w:val="00FA1615"/>
    <w:rsid w:val="00FA1E49"/>
    <w:rsid w:val="00FA31DA"/>
    <w:rsid w:val="00FA41F2"/>
    <w:rsid w:val="00FA476D"/>
    <w:rsid w:val="00FA4B52"/>
    <w:rsid w:val="00FA5041"/>
    <w:rsid w:val="00FA5205"/>
    <w:rsid w:val="00FA5381"/>
    <w:rsid w:val="00FA541F"/>
    <w:rsid w:val="00FA58B8"/>
    <w:rsid w:val="00FA68E0"/>
    <w:rsid w:val="00FA7B8B"/>
    <w:rsid w:val="00FB01F2"/>
    <w:rsid w:val="00FB0E61"/>
    <w:rsid w:val="00FB2BBC"/>
    <w:rsid w:val="00FB2CEA"/>
    <w:rsid w:val="00FB2E39"/>
    <w:rsid w:val="00FB3488"/>
    <w:rsid w:val="00FB3E77"/>
    <w:rsid w:val="00FB41EE"/>
    <w:rsid w:val="00FB5A57"/>
    <w:rsid w:val="00FB61DF"/>
    <w:rsid w:val="00FB66A4"/>
    <w:rsid w:val="00FC0B89"/>
    <w:rsid w:val="00FC213D"/>
    <w:rsid w:val="00FC25A7"/>
    <w:rsid w:val="00FC2E10"/>
    <w:rsid w:val="00FC32F8"/>
    <w:rsid w:val="00FC3633"/>
    <w:rsid w:val="00FC394B"/>
    <w:rsid w:val="00FC39CA"/>
    <w:rsid w:val="00FC3EA4"/>
    <w:rsid w:val="00FC453A"/>
    <w:rsid w:val="00FC455D"/>
    <w:rsid w:val="00FC47EA"/>
    <w:rsid w:val="00FC4FD9"/>
    <w:rsid w:val="00FC5E0B"/>
    <w:rsid w:val="00FC70A5"/>
    <w:rsid w:val="00FC7357"/>
    <w:rsid w:val="00FC779D"/>
    <w:rsid w:val="00FD21BA"/>
    <w:rsid w:val="00FD3AD9"/>
    <w:rsid w:val="00FD46DD"/>
    <w:rsid w:val="00FD486D"/>
    <w:rsid w:val="00FD559D"/>
    <w:rsid w:val="00FD575B"/>
    <w:rsid w:val="00FD5B17"/>
    <w:rsid w:val="00FD60D5"/>
    <w:rsid w:val="00FD7895"/>
    <w:rsid w:val="00FE1AB0"/>
    <w:rsid w:val="00FE1E90"/>
    <w:rsid w:val="00FE2905"/>
    <w:rsid w:val="00FE32B5"/>
    <w:rsid w:val="00FE3E13"/>
    <w:rsid w:val="00FE5C22"/>
    <w:rsid w:val="00FE5D83"/>
    <w:rsid w:val="00FE6197"/>
    <w:rsid w:val="00FE7B0E"/>
    <w:rsid w:val="00FF062B"/>
    <w:rsid w:val="00FF0A0F"/>
    <w:rsid w:val="00FF0A35"/>
    <w:rsid w:val="00FF0DFE"/>
    <w:rsid w:val="00FF1151"/>
    <w:rsid w:val="00FF1713"/>
    <w:rsid w:val="00FF22BC"/>
    <w:rsid w:val="00FF288B"/>
    <w:rsid w:val="00FF2DF3"/>
    <w:rsid w:val="00FF3024"/>
    <w:rsid w:val="00FF32F6"/>
    <w:rsid w:val="00FF4A19"/>
    <w:rsid w:val="00FF4B0F"/>
    <w:rsid w:val="00FF50EB"/>
    <w:rsid w:val="00FF5212"/>
    <w:rsid w:val="00FF5774"/>
    <w:rsid w:val="00FF5C1C"/>
    <w:rsid w:val="00FF6220"/>
    <w:rsid w:val="00FF77DA"/>
    <w:rsid w:val="00FF795D"/>
    <w:rsid w:val="02D06960"/>
    <w:rsid w:val="08D37943"/>
    <w:rsid w:val="0A034D3B"/>
    <w:rsid w:val="13DC12FC"/>
    <w:rsid w:val="1F633DF3"/>
    <w:rsid w:val="28245022"/>
    <w:rsid w:val="292317A9"/>
    <w:rsid w:val="2DFF3CFD"/>
    <w:rsid w:val="334518AE"/>
    <w:rsid w:val="36452078"/>
    <w:rsid w:val="46C56297"/>
    <w:rsid w:val="4BEE0D3E"/>
    <w:rsid w:val="4C15146D"/>
    <w:rsid w:val="4C487346"/>
    <w:rsid w:val="5A2949F5"/>
    <w:rsid w:val="61EB2C9E"/>
    <w:rsid w:val="6EB574D7"/>
    <w:rsid w:val="74B12B96"/>
    <w:rsid w:val="754347A2"/>
    <w:rsid w:val="77B93A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宋体" w:cs="Times New Roman"/>
      <w:kern w:val="2"/>
      <w:sz w:val="24"/>
      <w:lang w:val="en-US" w:eastAsia="zh-CN" w:bidi="ar-SA"/>
    </w:rPr>
  </w:style>
  <w:style w:type="paragraph" w:styleId="2">
    <w:name w:val="heading 1"/>
    <w:basedOn w:val="1"/>
    <w:next w:val="1"/>
    <w:link w:val="165"/>
    <w:qFormat/>
    <w:uiPriority w:val="0"/>
    <w:pPr>
      <w:kinsoku w:val="0"/>
      <w:overflowPunct w:val="0"/>
      <w:autoSpaceDE w:val="0"/>
      <w:autoSpaceDN w:val="0"/>
      <w:adjustRightInd w:val="0"/>
      <w:snapToGrid w:val="0"/>
      <w:spacing w:before="40"/>
      <w:outlineLvl w:val="0"/>
    </w:pPr>
    <w:rPr>
      <w:rFonts w:ascii="黑体" w:eastAsia="黑体"/>
      <w:b/>
      <w:kern w:val="44"/>
      <w:sz w:val="28"/>
    </w:rPr>
  </w:style>
  <w:style w:type="paragraph" w:styleId="3">
    <w:name w:val="heading 2"/>
    <w:basedOn w:val="1"/>
    <w:next w:val="4"/>
    <w:qFormat/>
    <w:uiPriority w:val="0"/>
    <w:pPr>
      <w:kinsoku w:val="0"/>
      <w:overflowPunct w:val="0"/>
      <w:autoSpaceDE w:val="0"/>
      <w:autoSpaceDN w:val="0"/>
      <w:adjustRightInd w:val="0"/>
      <w:snapToGrid w:val="0"/>
      <w:outlineLvl w:val="1"/>
    </w:pPr>
    <w:rPr>
      <w:sz w:val="28"/>
    </w:rPr>
  </w:style>
  <w:style w:type="paragraph" w:styleId="5">
    <w:name w:val="heading 3"/>
    <w:basedOn w:val="1"/>
    <w:next w:val="1"/>
    <w:link w:val="73"/>
    <w:qFormat/>
    <w:uiPriority w:val="0"/>
    <w:pPr>
      <w:keepNext/>
      <w:keepLines/>
      <w:spacing w:before="260" w:after="260" w:line="416" w:lineRule="auto"/>
      <w:outlineLvl w:val="2"/>
    </w:pPr>
    <w:rPr>
      <w:b/>
      <w:bCs/>
      <w:sz w:val="32"/>
      <w:szCs w:val="32"/>
      <w:lang w:val="zh-CN"/>
    </w:rPr>
  </w:style>
  <w:style w:type="paragraph" w:styleId="6">
    <w:name w:val="heading 4"/>
    <w:basedOn w:val="1"/>
    <w:next w:val="1"/>
    <w:link w:val="87"/>
    <w:qFormat/>
    <w:uiPriority w:val="0"/>
    <w:pPr>
      <w:keepNext/>
      <w:keepLines/>
      <w:numPr>
        <w:ilvl w:val="0"/>
        <w:numId w:val="1"/>
      </w:numPr>
      <w:tabs>
        <w:tab w:val="left" w:pos="900"/>
      </w:tabs>
      <w:spacing w:before="280" w:after="290" w:line="372" w:lineRule="auto"/>
      <w:outlineLvl w:val="3"/>
    </w:pPr>
    <w:rPr>
      <w:rFonts w:ascii="Arial" w:hAnsi="Arial" w:eastAsia="黑体"/>
      <w:b/>
      <w:bCs/>
      <w:sz w:val="28"/>
      <w:szCs w:val="28"/>
      <w:lang w:val="zh-CN"/>
    </w:rPr>
  </w:style>
  <w:style w:type="paragraph" w:styleId="7">
    <w:name w:val="heading 5"/>
    <w:basedOn w:val="1"/>
    <w:next w:val="1"/>
    <w:link w:val="88"/>
    <w:qFormat/>
    <w:uiPriority w:val="0"/>
    <w:pPr>
      <w:keepNext/>
      <w:keepLines/>
      <w:tabs>
        <w:tab w:val="left" w:pos="420"/>
        <w:tab w:val="left" w:pos="900"/>
      </w:tabs>
      <w:spacing w:before="280" w:after="290" w:line="372" w:lineRule="auto"/>
      <w:ind w:left="420" w:hanging="420"/>
      <w:outlineLvl w:val="4"/>
    </w:pPr>
    <w:rPr>
      <w:rFonts w:ascii="Times New Roman" w:hAnsi="Times New Roman"/>
      <w:b/>
      <w:bCs/>
      <w:sz w:val="28"/>
      <w:szCs w:val="28"/>
      <w:lang w:val="zh-CN"/>
    </w:rPr>
  </w:style>
  <w:style w:type="paragraph" w:styleId="8">
    <w:name w:val="heading 6"/>
    <w:basedOn w:val="1"/>
    <w:next w:val="1"/>
    <w:link w:val="89"/>
    <w:qFormat/>
    <w:uiPriority w:val="0"/>
    <w:pPr>
      <w:keepNext/>
      <w:keepLines/>
      <w:tabs>
        <w:tab w:val="left" w:pos="420"/>
        <w:tab w:val="left" w:pos="900"/>
      </w:tabs>
      <w:spacing w:before="240" w:after="64" w:line="317" w:lineRule="auto"/>
      <w:ind w:left="420" w:hanging="420"/>
      <w:outlineLvl w:val="5"/>
    </w:pPr>
    <w:rPr>
      <w:rFonts w:ascii="Arial" w:hAnsi="Arial" w:eastAsia="黑体"/>
      <w:b/>
      <w:bCs/>
      <w:szCs w:val="24"/>
      <w:lang w:val="zh-CN"/>
    </w:rPr>
  </w:style>
  <w:style w:type="paragraph" w:styleId="9">
    <w:name w:val="heading 7"/>
    <w:basedOn w:val="1"/>
    <w:next w:val="1"/>
    <w:link w:val="90"/>
    <w:qFormat/>
    <w:uiPriority w:val="0"/>
    <w:pPr>
      <w:keepNext/>
      <w:keepLines/>
      <w:tabs>
        <w:tab w:val="left" w:pos="420"/>
        <w:tab w:val="left" w:pos="900"/>
      </w:tabs>
      <w:spacing w:before="240" w:after="64" w:line="317" w:lineRule="auto"/>
      <w:ind w:left="420" w:hanging="420"/>
      <w:outlineLvl w:val="6"/>
    </w:pPr>
    <w:rPr>
      <w:rFonts w:ascii="Times New Roman" w:hAnsi="Times New Roman"/>
      <w:b/>
      <w:bCs/>
      <w:szCs w:val="24"/>
      <w:lang w:val="zh-CN"/>
    </w:rPr>
  </w:style>
  <w:style w:type="paragraph" w:styleId="10">
    <w:name w:val="heading 8"/>
    <w:basedOn w:val="1"/>
    <w:next w:val="1"/>
    <w:link w:val="91"/>
    <w:qFormat/>
    <w:uiPriority w:val="0"/>
    <w:pPr>
      <w:keepNext/>
      <w:keepLines/>
      <w:tabs>
        <w:tab w:val="left" w:pos="420"/>
        <w:tab w:val="left" w:pos="900"/>
      </w:tabs>
      <w:spacing w:before="240" w:after="64" w:line="317" w:lineRule="auto"/>
      <w:ind w:left="420" w:hanging="420"/>
      <w:outlineLvl w:val="7"/>
    </w:pPr>
    <w:rPr>
      <w:rFonts w:ascii="Arial" w:hAnsi="Arial" w:eastAsia="黑体"/>
      <w:szCs w:val="24"/>
      <w:lang w:val="zh-CN"/>
    </w:rPr>
  </w:style>
  <w:style w:type="paragraph" w:styleId="11">
    <w:name w:val="heading 9"/>
    <w:basedOn w:val="1"/>
    <w:next w:val="1"/>
    <w:link w:val="92"/>
    <w:qFormat/>
    <w:uiPriority w:val="0"/>
    <w:pPr>
      <w:keepNext/>
      <w:keepLines/>
      <w:tabs>
        <w:tab w:val="left" w:pos="420"/>
        <w:tab w:val="left" w:pos="900"/>
      </w:tabs>
      <w:spacing w:before="240" w:after="64" w:line="317" w:lineRule="auto"/>
      <w:ind w:left="420" w:hanging="420"/>
      <w:outlineLvl w:val="8"/>
    </w:pPr>
    <w:rPr>
      <w:rFonts w:ascii="Arial" w:hAnsi="Arial" w:eastAsia="黑体"/>
      <w:sz w:val="21"/>
      <w:szCs w:val="21"/>
      <w:lang w:val="zh-CN"/>
    </w:rPr>
  </w:style>
  <w:style w:type="character" w:default="1" w:styleId="39">
    <w:name w:val="Default Paragraph Font"/>
    <w:semiHidden/>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4">
    <w:name w:val="Normal Indent"/>
    <w:basedOn w:val="1"/>
    <w:qFormat/>
    <w:uiPriority w:val="0"/>
    <w:pPr>
      <w:ind w:firstLine="420"/>
    </w:pPr>
  </w:style>
  <w:style w:type="paragraph" w:styleId="12">
    <w:name w:val="toc 7"/>
    <w:basedOn w:val="13"/>
    <w:next w:val="1"/>
    <w:qFormat/>
    <w:uiPriority w:val="39"/>
  </w:style>
  <w:style w:type="paragraph" w:styleId="13">
    <w:name w:val="toc 6"/>
    <w:basedOn w:val="14"/>
    <w:next w:val="1"/>
    <w:qFormat/>
    <w:uiPriority w:val="39"/>
  </w:style>
  <w:style w:type="paragraph" w:styleId="14">
    <w:name w:val="toc 5"/>
    <w:basedOn w:val="15"/>
    <w:next w:val="1"/>
    <w:qFormat/>
    <w:uiPriority w:val="39"/>
  </w:style>
  <w:style w:type="paragraph" w:styleId="15">
    <w:name w:val="toc 4"/>
    <w:basedOn w:val="16"/>
    <w:next w:val="1"/>
    <w:qFormat/>
    <w:uiPriority w:val="39"/>
  </w:style>
  <w:style w:type="paragraph" w:styleId="16">
    <w:name w:val="toc 3"/>
    <w:basedOn w:val="17"/>
    <w:next w:val="1"/>
    <w:qFormat/>
    <w:uiPriority w:val="39"/>
    <w:pPr>
      <w:widowControl/>
      <w:ind w:left="0" w:leftChars="0"/>
    </w:pPr>
    <w:rPr>
      <w:rFonts w:hAnsi="Times New Roman"/>
      <w:kern w:val="0"/>
      <w:sz w:val="21"/>
    </w:rPr>
  </w:style>
  <w:style w:type="paragraph" w:styleId="17">
    <w:name w:val="toc 2"/>
    <w:basedOn w:val="1"/>
    <w:next w:val="1"/>
    <w:qFormat/>
    <w:uiPriority w:val="39"/>
    <w:pPr>
      <w:ind w:left="420" w:leftChars="200"/>
    </w:pPr>
  </w:style>
  <w:style w:type="paragraph" w:styleId="18">
    <w:name w:val="caption"/>
    <w:basedOn w:val="1"/>
    <w:next w:val="1"/>
    <w:link w:val="74"/>
    <w:qFormat/>
    <w:uiPriority w:val="0"/>
    <w:pPr>
      <w:kinsoku w:val="0"/>
      <w:overflowPunct w:val="0"/>
      <w:autoSpaceDE w:val="0"/>
      <w:autoSpaceDN w:val="0"/>
      <w:adjustRightInd w:val="0"/>
      <w:snapToGrid w:val="0"/>
    </w:pPr>
    <w:rPr>
      <w:rFonts w:ascii="Arial" w:hAnsi="Arial"/>
      <w:lang w:val="zh-CN"/>
    </w:rPr>
  </w:style>
  <w:style w:type="paragraph" w:styleId="19">
    <w:name w:val="Document Map"/>
    <w:basedOn w:val="1"/>
    <w:link w:val="146"/>
    <w:qFormat/>
    <w:uiPriority w:val="0"/>
    <w:pPr>
      <w:shd w:val="clear" w:color="auto" w:fill="000080"/>
    </w:pPr>
    <w:rPr>
      <w:lang w:val="zh-CN"/>
    </w:rPr>
  </w:style>
  <w:style w:type="paragraph" w:styleId="20">
    <w:name w:val="annotation text"/>
    <w:basedOn w:val="1"/>
    <w:link w:val="69"/>
    <w:qFormat/>
    <w:uiPriority w:val="0"/>
    <w:pPr>
      <w:jc w:val="left"/>
    </w:pPr>
    <w:rPr>
      <w:lang w:val="zh-CN"/>
    </w:rPr>
  </w:style>
  <w:style w:type="paragraph" w:styleId="21">
    <w:name w:val="Body Text"/>
    <w:basedOn w:val="1"/>
    <w:link w:val="154"/>
    <w:qFormat/>
    <w:uiPriority w:val="0"/>
    <w:pPr>
      <w:spacing w:after="120"/>
    </w:pPr>
    <w:rPr>
      <w:lang w:val="zh-CN"/>
    </w:rPr>
  </w:style>
  <w:style w:type="paragraph" w:styleId="22">
    <w:name w:val="HTML Address"/>
    <w:basedOn w:val="1"/>
    <w:link w:val="130"/>
    <w:qFormat/>
    <w:uiPriority w:val="0"/>
    <w:pPr>
      <w:tabs>
        <w:tab w:val="left" w:pos="420"/>
        <w:tab w:val="left" w:pos="900"/>
      </w:tabs>
      <w:ind w:left="420" w:hanging="420"/>
    </w:pPr>
    <w:rPr>
      <w:rFonts w:ascii="Times New Roman" w:hAnsi="Times New Roman"/>
      <w:i/>
      <w:iCs/>
      <w:sz w:val="21"/>
      <w:szCs w:val="24"/>
      <w:lang w:val="zh-CN"/>
    </w:rPr>
  </w:style>
  <w:style w:type="paragraph" w:styleId="23">
    <w:name w:val="toc 8"/>
    <w:basedOn w:val="12"/>
    <w:next w:val="1"/>
    <w:qFormat/>
    <w:uiPriority w:val="39"/>
  </w:style>
  <w:style w:type="paragraph" w:styleId="24">
    <w:name w:val="Date"/>
    <w:basedOn w:val="1"/>
    <w:next w:val="1"/>
    <w:link w:val="107"/>
    <w:qFormat/>
    <w:uiPriority w:val="0"/>
    <w:pPr>
      <w:tabs>
        <w:tab w:val="left" w:pos="420"/>
      </w:tabs>
      <w:ind w:left="100" w:leftChars="2500" w:hanging="420"/>
    </w:pPr>
    <w:rPr>
      <w:rFonts w:ascii="Times New Roman" w:hAnsi="Times New Roman"/>
      <w:sz w:val="21"/>
      <w:szCs w:val="24"/>
      <w:lang w:val="zh-CN"/>
    </w:rPr>
  </w:style>
  <w:style w:type="paragraph" w:styleId="25">
    <w:name w:val="Balloon Text"/>
    <w:basedOn w:val="1"/>
    <w:link w:val="95"/>
    <w:qFormat/>
    <w:uiPriority w:val="0"/>
    <w:rPr>
      <w:sz w:val="18"/>
      <w:szCs w:val="18"/>
      <w:lang w:val="zh-CN"/>
    </w:rPr>
  </w:style>
  <w:style w:type="paragraph" w:styleId="26">
    <w:name w:val="footer"/>
    <w:basedOn w:val="1"/>
    <w:link w:val="163"/>
    <w:qFormat/>
    <w:uiPriority w:val="99"/>
    <w:pPr>
      <w:pBdr>
        <w:top w:val="single" w:color="auto" w:sz="4" w:space="1"/>
      </w:pBdr>
      <w:tabs>
        <w:tab w:val="center" w:pos="4153"/>
        <w:tab w:val="right" w:pos="8306"/>
      </w:tabs>
      <w:snapToGrid w:val="0"/>
      <w:jc w:val="left"/>
    </w:pPr>
    <w:rPr>
      <w:sz w:val="18"/>
      <w:szCs w:val="18"/>
      <w:lang w:val="zh-CN"/>
    </w:rPr>
  </w:style>
  <w:style w:type="paragraph" w:styleId="27">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28">
    <w:name w:val="toc 1"/>
    <w:basedOn w:val="1"/>
    <w:next w:val="1"/>
    <w:qFormat/>
    <w:uiPriority w:val="39"/>
  </w:style>
  <w:style w:type="paragraph" w:styleId="29">
    <w:name w:val="Subtitle"/>
    <w:basedOn w:val="1"/>
    <w:qFormat/>
    <w:uiPriority w:val="0"/>
    <w:pPr>
      <w:spacing w:before="240" w:after="60" w:line="312" w:lineRule="auto"/>
      <w:jc w:val="center"/>
      <w:outlineLvl w:val="1"/>
    </w:pPr>
    <w:rPr>
      <w:rFonts w:ascii="Arial" w:hAnsi="Arial" w:cs="Arial"/>
      <w:b/>
      <w:bCs/>
      <w:kern w:val="28"/>
      <w:sz w:val="32"/>
      <w:szCs w:val="32"/>
    </w:rPr>
  </w:style>
  <w:style w:type="paragraph" w:styleId="30">
    <w:name w:val="footnote text"/>
    <w:basedOn w:val="1"/>
    <w:link w:val="115"/>
    <w:qFormat/>
    <w:uiPriority w:val="0"/>
    <w:pPr>
      <w:tabs>
        <w:tab w:val="left" w:pos="420"/>
        <w:tab w:val="left" w:pos="900"/>
      </w:tabs>
      <w:snapToGrid w:val="0"/>
      <w:ind w:left="420" w:hanging="420"/>
      <w:jc w:val="left"/>
    </w:pPr>
    <w:rPr>
      <w:rFonts w:ascii="Times New Roman" w:hAnsi="Times New Roman"/>
      <w:sz w:val="18"/>
      <w:szCs w:val="18"/>
      <w:lang w:val="zh-CN"/>
    </w:rPr>
  </w:style>
  <w:style w:type="paragraph" w:styleId="31">
    <w:name w:val="toc 9"/>
    <w:basedOn w:val="23"/>
    <w:next w:val="1"/>
    <w:qFormat/>
    <w:uiPriority w:val="39"/>
  </w:style>
  <w:style w:type="paragraph" w:styleId="32">
    <w:name w:val="Body Text 2"/>
    <w:basedOn w:val="1"/>
    <w:link w:val="153"/>
    <w:qFormat/>
    <w:uiPriority w:val="0"/>
    <w:pPr>
      <w:spacing w:after="120" w:line="480" w:lineRule="auto"/>
    </w:pPr>
    <w:rPr>
      <w:lang w:val="zh-CN"/>
    </w:rPr>
  </w:style>
  <w:style w:type="paragraph" w:styleId="33">
    <w:name w:val="HTML Preformatted"/>
    <w:basedOn w:val="1"/>
    <w:link w:val="136"/>
    <w:qFormat/>
    <w:uiPriority w:val="0"/>
    <w:pPr>
      <w:tabs>
        <w:tab w:val="left" w:pos="420"/>
        <w:tab w:val="left" w:pos="900"/>
      </w:tabs>
      <w:ind w:left="420" w:hanging="420"/>
    </w:pPr>
    <w:rPr>
      <w:rFonts w:ascii="Courier New" w:hAnsi="Courier New"/>
      <w:sz w:val="20"/>
      <w:lang w:val="zh-CN"/>
    </w:rPr>
  </w:style>
  <w:style w:type="paragraph" w:styleId="34">
    <w:name w:val="Normal (Web)"/>
    <w:basedOn w:val="1"/>
    <w:unhideWhenUsed/>
    <w:qFormat/>
    <w:uiPriority w:val="99"/>
    <w:pPr>
      <w:widowControl/>
      <w:spacing w:before="100" w:beforeAutospacing="1" w:after="100" w:afterAutospacing="1"/>
      <w:jc w:val="left"/>
    </w:pPr>
    <w:rPr>
      <w:rFonts w:cs="宋体"/>
      <w:kern w:val="0"/>
      <w:szCs w:val="24"/>
    </w:rPr>
  </w:style>
  <w:style w:type="paragraph" w:styleId="35">
    <w:name w:val="Title"/>
    <w:basedOn w:val="1"/>
    <w:link w:val="125"/>
    <w:qFormat/>
    <w:uiPriority w:val="0"/>
    <w:pPr>
      <w:tabs>
        <w:tab w:val="left" w:pos="420"/>
        <w:tab w:val="left" w:pos="900"/>
      </w:tabs>
      <w:spacing w:before="240" w:after="60"/>
      <w:ind w:left="420" w:hanging="420"/>
      <w:jc w:val="center"/>
      <w:outlineLvl w:val="0"/>
    </w:pPr>
    <w:rPr>
      <w:rFonts w:ascii="Arial" w:hAnsi="Arial"/>
      <w:b/>
      <w:bCs/>
      <w:sz w:val="32"/>
      <w:szCs w:val="32"/>
      <w:lang w:val="zh-CN"/>
    </w:rPr>
  </w:style>
  <w:style w:type="paragraph" w:styleId="36">
    <w:name w:val="annotation subject"/>
    <w:basedOn w:val="20"/>
    <w:next w:val="20"/>
    <w:link w:val="70"/>
    <w:qFormat/>
    <w:uiPriority w:val="0"/>
    <w:rPr>
      <w:b/>
      <w:bCs/>
    </w:rPr>
  </w:style>
  <w:style w:type="table" w:styleId="38">
    <w:name w:val="Table Grid"/>
    <w:basedOn w:val="3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0">
    <w:name w:val="Strong"/>
    <w:qFormat/>
    <w:uiPriority w:val="0"/>
    <w:rPr>
      <w:b/>
      <w:bCs/>
    </w:rPr>
  </w:style>
  <w:style w:type="character" w:styleId="41">
    <w:name w:val="page number"/>
    <w:basedOn w:val="39"/>
    <w:qFormat/>
    <w:uiPriority w:val="0"/>
  </w:style>
  <w:style w:type="character" w:styleId="42">
    <w:name w:val="HTML Definition"/>
    <w:qFormat/>
    <w:uiPriority w:val="0"/>
    <w:rPr>
      <w:i/>
      <w:iCs/>
    </w:rPr>
  </w:style>
  <w:style w:type="character" w:styleId="43">
    <w:name w:val="HTML Typewriter"/>
    <w:qFormat/>
    <w:uiPriority w:val="0"/>
    <w:rPr>
      <w:rFonts w:ascii="Courier New" w:hAnsi="Courier New"/>
      <w:sz w:val="20"/>
      <w:szCs w:val="20"/>
    </w:rPr>
  </w:style>
  <w:style w:type="character" w:styleId="44">
    <w:name w:val="HTML Acronym"/>
    <w:basedOn w:val="39"/>
    <w:qFormat/>
    <w:uiPriority w:val="0"/>
  </w:style>
  <w:style w:type="character" w:styleId="45">
    <w:name w:val="HTML Variable"/>
    <w:qFormat/>
    <w:uiPriority w:val="0"/>
    <w:rPr>
      <w:i/>
      <w:iCs/>
    </w:rPr>
  </w:style>
  <w:style w:type="character" w:styleId="46">
    <w:name w:val="Hyperlink"/>
    <w:qFormat/>
    <w:uiPriority w:val="99"/>
    <w:rPr>
      <w:color w:val="0000FF"/>
      <w:u w:val="single"/>
    </w:rPr>
  </w:style>
  <w:style w:type="character" w:styleId="47">
    <w:name w:val="HTML Code"/>
    <w:qFormat/>
    <w:uiPriority w:val="0"/>
    <w:rPr>
      <w:rFonts w:ascii="Courier New" w:hAnsi="Courier New"/>
      <w:sz w:val="20"/>
      <w:szCs w:val="20"/>
    </w:rPr>
  </w:style>
  <w:style w:type="character" w:styleId="48">
    <w:name w:val="annotation reference"/>
    <w:qFormat/>
    <w:uiPriority w:val="0"/>
    <w:rPr>
      <w:sz w:val="21"/>
      <w:szCs w:val="21"/>
    </w:rPr>
  </w:style>
  <w:style w:type="character" w:styleId="49">
    <w:name w:val="HTML Cite"/>
    <w:qFormat/>
    <w:uiPriority w:val="0"/>
    <w:rPr>
      <w:i/>
      <w:iCs/>
    </w:rPr>
  </w:style>
  <w:style w:type="character" w:styleId="50">
    <w:name w:val="footnote reference"/>
    <w:qFormat/>
    <w:uiPriority w:val="0"/>
    <w:rPr>
      <w:vertAlign w:val="superscript"/>
    </w:rPr>
  </w:style>
  <w:style w:type="character" w:styleId="51">
    <w:name w:val="HTML Keyboard"/>
    <w:qFormat/>
    <w:uiPriority w:val="0"/>
    <w:rPr>
      <w:rFonts w:ascii="Courier New" w:hAnsi="Courier New"/>
      <w:sz w:val="20"/>
      <w:szCs w:val="20"/>
    </w:rPr>
  </w:style>
  <w:style w:type="character" w:styleId="52">
    <w:name w:val="HTML Sample"/>
    <w:qFormat/>
    <w:uiPriority w:val="0"/>
    <w:rPr>
      <w:rFonts w:ascii="Courier New" w:hAnsi="Courier New"/>
    </w:rPr>
  </w:style>
  <w:style w:type="paragraph" w:customStyle="1" w:styleId="53">
    <w:name w:val="前言、引言标题"/>
    <w:next w:val="1"/>
    <w:qFormat/>
    <w:uiPriority w:val="0"/>
    <w:pPr>
      <w:numPr>
        <w:ilvl w:val="0"/>
        <w:numId w:val="2"/>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54">
    <w:name w:val="章标题"/>
    <w:next w:val="55"/>
    <w:qFormat/>
    <w:uiPriority w:val="0"/>
    <w:pPr>
      <w:numPr>
        <w:ilvl w:val="1"/>
        <w:numId w:val="2"/>
      </w:numPr>
      <w:spacing w:beforeLines="50" w:afterLines="50"/>
      <w:jc w:val="both"/>
      <w:outlineLvl w:val="1"/>
    </w:pPr>
    <w:rPr>
      <w:rFonts w:ascii="黑体" w:hAnsi="Times New Roman" w:eastAsia="黑体" w:cs="Times New Roman"/>
      <w:sz w:val="21"/>
      <w:lang w:val="en-US" w:eastAsia="zh-CN" w:bidi="ar-SA"/>
    </w:rPr>
  </w:style>
  <w:style w:type="paragraph" w:customStyle="1" w:styleId="55">
    <w:name w:val="段"/>
    <w:link w:val="76"/>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6">
    <w:name w:val="一级条标题"/>
    <w:basedOn w:val="54"/>
    <w:next w:val="55"/>
    <w:qFormat/>
    <w:uiPriority w:val="0"/>
    <w:pPr>
      <w:numPr>
        <w:ilvl w:val="2"/>
      </w:numPr>
      <w:tabs>
        <w:tab w:val="left" w:pos="1260"/>
      </w:tabs>
      <w:spacing w:beforeLines="0" w:afterLines="0"/>
      <w:ind w:left="1260" w:hanging="420"/>
      <w:outlineLvl w:val="2"/>
    </w:pPr>
  </w:style>
  <w:style w:type="paragraph" w:customStyle="1" w:styleId="57">
    <w:name w:val="二级条标题"/>
    <w:basedOn w:val="56"/>
    <w:next w:val="55"/>
    <w:qFormat/>
    <w:uiPriority w:val="0"/>
    <w:pPr>
      <w:numPr>
        <w:ilvl w:val="3"/>
      </w:numPr>
      <w:tabs>
        <w:tab w:val="left" w:pos="1680"/>
      </w:tabs>
      <w:ind w:left="1680" w:hanging="420"/>
      <w:outlineLvl w:val="3"/>
    </w:pPr>
  </w:style>
  <w:style w:type="paragraph" w:customStyle="1" w:styleId="58">
    <w:name w:val="三级条标题"/>
    <w:basedOn w:val="57"/>
    <w:next w:val="55"/>
    <w:qFormat/>
    <w:uiPriority w:val="0"/>
    <w:pPr>
      <w:numPr>
        <w:ilvl w:val="4"/>
      </w:numPr>
      <w:tabs>
        <w:tab w:val="left" w:pos="2100"/>
      </w:tabs>
      <w:ind w:left="2100" w:hanging="420"/>
      <w:outlineLvl w:val="4"/>
    </w:pPr>
  </w:style>
  <w:style w:type="paragraph" w:customStyle="1" w:styleId="59">
    <w:name w:val="四级条标题"/>
    <w:basedOn w:val="58"/>
    <w:next w:val="55"/>
    <w:qFormat/>
    <w:uiPriority w:val="0"/>
    <w:pPr>
      <w:numPr>
        <w:ilvl w:val="5"/>
      </w:numPr>
      <w:tabs>
        <w:tab w:val="left" w:pos="2520"/>
      </w:tabs>
      <w:ind w:left="2520" w:hanging="420"/>
      <w:outlineLvl w:val="5"/>
    </w:pPr>
  </w:style>
  <w:style w:type="paragraph" w:customStyle="1" w:styleId="60">
    <w:name w:val="五级条标题"/>
    <w:basedOn w:val="59"/>
    <w:next w:val="55"/>
    <w:qFormat/>
    <w:uiPriority w:val="0"/>
    <w:pPr>
      <w:numPr>
        <w:ilvl w:val="6"/>
      </w:numPr>
      <w:tabs>
        <w:tab w:val="left" w:pos="2940"/>
      </w:tabs>
      <w:ind w:left="2940" w:hanging="420"/>
      <w:outlineLvl w:val="6"/>
    </w:pPr>
  </w:style>
  <w:style w:type="paragraph" w:customStyle="1" w:styleId="61">
    <w:name w:val="正文表标题"/>
    <w:next w:val="55"/>
    <w:qFormat/>
    <w:uiPriority w:val="0"/>
    <w:pPr>
      <w:numPr>
        <w:ilvl w:val="0"/>
        <w:numId w:val="3"/>
      </w:numPr>
      <w:jc w:val="center"/>
    </w:pPr>
    <w:rPr>
      <w:rFonts w:ascii="黑体" w:hAnsi="Times New Roman" w:eastAsia="黑体" w:cs="Times New Roman"/>
      <w:sz w:val="21"/>
      <w:lang w:val="en-US" w:eastAsia="zh-CN" w:bidi="ar-SA"/>
    </w:rPr>
  </w:style>
  <w:style w:type="paragraph" w:customStyle="1" w:styleId="62">
    <w:name w:val="普通正文"/>
    <w:basedOn w:val="1"/>
    <w:link w:val="85"/>
    <w:qFormat/>
    <w:uiPriority w:val="0"/>
    <w:pPr>
      <w:widowControl/>
      <w:spacing w:line="360" w:lineRule="auto"/>
    </w:pPr>
    <w:rPr>
      <w:rFonts w:ascii="Times New Roman" w:hAnsi="Times New Roman"/>
      <w:kern w:val="21"/>
      <w:sz w:val="21"/>
    </w:rPr>
  </w:style>
  <w:style w:type="paragraph" w:customStyle="1" w:styleId="63">
    <w:name w:val="Char Char Char"/>
    <w:basedOn w:val="1"/>
    <w:qFormat/>
    <w:uiPriority w:val="0"/>
    <w:rPr>
      <w:rFonts w:ascii="Tahoma" w:hAnsi="Tahoma"/>
    </w:rPr>
  </w:style>
  <w:style w:type="paragraph" w:customStyle="1" w:styleId="64">
    <w:name w:val="文档正文"/>
    <w:basedOn w:val="1"/>
    <w:qFormat/>
    <w:uiPriority w:val="0"/>
    <w:pPr>
      <w:adjustRightInd w:val="0"/>
      <w:spacing w:line="560" w:lineRule="exact"/>
      <w:jc w:val="right"/>
      <w:textAlignment w:val="baseline"/>
    </w:pPr>
    <w:rPr>
      <w:rFonts w:ascii="Times New Roman"/>
      <w:kern w:val="0"/>
    </w:rPr>
  </w:style>
  <w:style w:type="paragraph" w:customStyle="1" w:styleId="65">
    <w:name w:val="默认段落字体 Para Char Char Char Char Char Char Char Char Char Char Char Char Char Char"/>
    <w:basedOn w:val="19"/>
    <w:qFormat/>
    <w:uiPriority w:val="0"/>
    <w:rPr>
      <w:rFonts w:ascii="Tahoma" w:hAnsi="Tahoma" w:eastAsia="仿宋_GB2312"/>
      <w:szCs w:val="28"/>
    </w:rPr>
  </w:style>
  <w:style w:type="paragraph" w:customStyle="1" w:styleId="66">
    <w:name w:val="Char2"/>
    <w:basedOn w:val="19"/>
    <w:qFormat/>
    <w:uiPriority w:val="0"/>
    <w:pPr>
      <w:adjustRightInd w:val="0"/>
      <w:spacing w:line="436" w:lineRule="exact"/>
      <w:ind w:left="357"/>
      <w:jc w:val="left"/>
      <w:outlineLvl w:val="3"/>
    </w:pPr>
    <w:rPr>
      <w:rFonts w:ascii="Tahoma" w:hAnsi="Tahoma"/>
      <w:b/>
      <w:szCs w:val="24"/>
    </w:rPr>
  </w:style>
  <w:style w:type="paragraph" w:customStyle="1" w:styleId="67">
    <w:name w:val="Char"/>
    <w:basedOn w:val="1"/>
    <w:qFormat/>
    <w:uiPriority w:val="0"/>
    <w:pPr>
      <w:spacing w:line="360" w:lineRule="auto"/>
      <w:ind w:left="420"/>
      <w:textAlignment w:val="baseline"/>
    </w:pPr>
    <w:rPr>
      <w:rFonts w:ascii="Times New Roman" w:hAnsi="Times New Roman"/>
      <w:sz w:val="21"/>
      <w:szCs w:val="24"/>
    </w:rPr>
  </w:style>
  <w:style w:type="paragraph" w:customStyle="1" w:styleId="68">
    <w:name w:val="列表段落1"/>
    <w:basedOn w:val="1"/>
    <w:qFormat/>
    <w:uiPriority w:val="0"/>
    <w:pPr>
      <w:ind w:firstLine="420" w:firstLineChars="200"/>
    </w:pPr>
    <w:rPr>
      <w:rFonts w:ascii="Calibri" w:hAnsi="Calibri"/>
      <w:sz w:val="21"/>
      <w:szCs w:val="22"/>
    </w:rPr>
  </w:style>
  <w:style w:type="character" w:customStyle="1" w:styleId="69">
    <w:name w:val="批注文字 字符"/>
    <w:link w:val="20"/>
    <w:qFormat/>
    <w:uiPriority w:val="0"/>
    <w:rPr>
      <w:rFonts w:ascii="宋体" w:hAnsi="宋体"/>
      <w:kern w:val="2"/>
      <w:sz w:val="24"/>
    </w:rPr>
  </w:style>
  <w:style w:type="character" w:customStyle="1" w:styleId="70">
    <w:name w:val="批注主题 字符"/>
    <w:link w:val="36"/>
    <w:qFormat/>
    <w:uiPriority w:val="0"/>
    <w:rPr>
      <w:rFonts w:ascii="宋体" w:hAnsi="宋体"/>
      <w:b/>
      <w:bCs/>
      <w:kern w:val="2"/>
      <w:sz w:val="24"/>
    </w:rPr>
  </w:style>
  <w:style w:type="paragraph" w:customStyle="1" w:styleId="71">
    <w:name w:val="封面主标题"/>
    <w:basedOn w:val="1"/>
    <w:qFormat/>
    <w:uiPriority w:val="0"/>
    <w:pPr>
      <w:spacing w:before="156" w:after="156"/>
      <w:jc w:val="center"/>
    </w:pPr>
    <w:rPr>
      <w:rFonts w:ascii="黑体" w:hAnsi="Times New Roman" w:eastAsia="黑体" w:cs="宋体"/>
      <w:b/>
      <w:bCs/>
      <w:color w:val="000000"/>
      <w:sz w:val="4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72">
    <w:name w:val="Char Char Char Char"/>
    <w:basedOn w:val="1"/>
    <w:qFormat/>
    <w:uiPriority w:val="0"/>
    <w:rPr>
      <w:rFonts w:ascii="Tahoma" w:hAnsi="Tahoma"/>
    </w:rPr>
  </w:style>
  <w:style w:type="character" w:customStyle="1" w:styleId="73">
    <w:name w:val="标题 3 字符"/>
    <w:link w:val="5"/>
    <w:semiHidden/>
    <w:qFormat/>
    <w:uiPriority w:val="0"/>
    <w:rPr>
      <w:rFonts w:ascii="宋体" w:hAnsi="宋体"/>
      <w:b/>
      <w:bCs/>
      <w:kern w:val="2"/>
      <w:sz w:val="32"/>
      <w:szCs w:val="32"/>
    </w:rPr>
  </w:style>
  <w:style w:type="character" w:customStyle="1" w:styleId="74">
    <w:name w:val="题注 字符"/>
    <w:link w:val="18"/>
    <w:qFormat/>
    <w:uiPriority w:val="0"/>
    <w:rPr>
      <w:rFonts w:ascii="Arial" w:hAnsi="Arial" w:cs="Arial"/>
      <w:kern w:val="2"/>
      <w:sz w:val="24"/>
    </w:rPr>
  </w:style>
  <w:style w:type="paragraph" w:customStyle="1" w:styleId="75">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character" w:customStyle="1" w:styleId="76">
    <w:name w:val="段 Char"/>
    <w:link w:val="55"/>
    <w:qFormat/>
    <w:uiPriority w:val="0"/>
    <w:rPr>
      <w:rFonts w:ascii="宋体"/>
      <w:sz w:val="21"/>
      <w:lang w:val="en-US" w:eastAsia="zh-CN" w:bidi="ar-SA"/>
    </w:rPr>
  </w:style>
  <w:style w:type="paragraph" w:customStyle="1" w:styleId="77">
    <w:name w:val="附录标识"/>
    <w:basedOn w:val="53"/>
    <w:qFormat/>
    <w:uiPriority w:val="0"/>
    <w:pPr>
      <w:numPr>
        <w:ilvl w:val="0"/>
        <w:numId w:val="4"/>
      </w:numPr>
      <w:tabs>
        <w:tab w:val="left" w:pos="6405"/>
      </w:tabs>
      <w:spacing w:after="200"/>
    </w:pPr>
    <w:rPr>
      <w:sz w:val="21"/>
    </w:rPr>
  </w:style>
  <w:style w:type="paragraph" w:customStyle="1" w:styleId="78">
    <w:name w:val="附录章标题"/>
    <w:next w:val="55"/>
    <w:qFormat/>
    <w:uiPriority w:val="0"/>
    <w:pPr>
      <w:numPr>
        <w:ilvl w:val="1"/>
        <w:numId w:val="4"/>
      </w:num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79">
    <w:name w:val="附录一级条标题"/>
    <w:basedOn w:val="78"/>
    <w:next w:val="55"/>
    <w:qFormat/>
    <w:uiPriority w:val="0"/>
    <w:pPr>
      <w:numPr>
        <w:ilvl w:val="2"/>
      </w:numPr>
      <w:autoSpaceDN w:val="0"/>
      <w:spacing w:beforeLines="0" w:afterLines="0"/>
      <w:outlineLvl w:val="2"/>
    </w:pPr>
  </w:style>
  <w:style w:type="paragraph" w:customStyle="1" w:styleId="80">
    <w:name w:val="附录二级条标题"/>
    <w:basedOn w:val="79"/>
    <w:next w:val="55"/>
    <w:qFormat/>
    <w:uiPriority w:val="0"/>
    <w:pPr>
      <w:numPr>
        <w:ilvl w:val="3"/>
      </w:numPr>
      <w:outlineLvl w:val="3"/>
    </w:pPr>
  </w:style>
  <w:style w:type="paragraph" w:customStyle="1" w:styleId="81">
    <w:name w:val="附录三级条标题"/>
    <w:basedOn w:val="80"/>
    <w:next w:val="55"/>
    <w:qFormat/>
    <w:uiPriority w:val="0"/>
    <w:pPr>
      <w:numPr>
        <w:ilvl w:val="4"/>
      </w:numPr>
      <w:outlineLvl w:val="4"/>
    </w:pPr>
  </w:style>
  <w:style w:type="paragraph" w:customStyle="1" w:styleId="82">
    <w:name w:val="附录四级条标题"/>
    <w:basedOn w:val="81"/>
    <w:next w:val="55"/>
    <w:qFormat/>
    <w:uiPriority w:val="0"/>
    <w:pPr>
      <w:numPr>
        <w:ilvl w:val="5"/>
      </w:numPr>
      <w:outlineLvl w:val="5"/>
    </w:pPr>
  </w:style>
  <w:style w:type="paragraph" w:customStyle="1" w:styleId="83">
    <w:name w:val="附录五级条标题"/>
    <w:basedOn w:val="82"/>
    <w:next w:val="55"/>
    <w:qFormat/>
    <w:uiPriority w:val="0"/>
    <w:pPr>
      <w:numPr>
        <w:ilvl w:val="6"/>
      </w:numPr>
      <w:outlineLvl w:val="6"/>
    </w:pPr>
  </w:style>
  <w:style w:type="paragraph" w:customStyle="1" w:styleId="84">
    <w:name w:val="正文图标题"/>
    <w:next w:val="55"/>
    <w:qFormat/>
    <w:uiPriority w:val="0"/>
    <w:pPr>
      <w:numPr>
        <w:ilvl w:val="0"/>
        <w:numId w:val="5"/>
      </w:numPr>
      <w:jc w:val="center"/>
    </w:pPr>
    <w:rPr>
      <w:rFonts w:ascii="黑体" w:hAnsi="Times New Roman" w:eastAsia="黑体" w:cs="Times New Roman"/>
      <w:sz w:val="21"/>
      <w:lang w:val="en-US" w:eastAsia="zh-CN" w:bidi="ar-SA"/>
    </w:rPr>
  </w:style>
  <w:style w:type="character" w:customStyle="1" w:styleId="85">
    <w:name w:val="普通正文 Char"/>
    <w:link w:val="62"/>
    <w:qFormat/>
    <w:locked/>
    <w:uiPriority w:val="0"/>
    <w:rPr>
      <w:rFonts w:eastAsia="宋体"/>
      <w:kern w:val="21"/>
      <w:sz w:val="21"/>
      <w:lang w:val="en-US" w:eastAsia="zh-CN" w:bidi="ar-SA"/>
    </w:rPr>
  </w:style>
  <w:style w:type="paragraph" w:customStyle="1" w:styleId="86">
    <w:name w:val="附录表标题"/>
    <w:next w:val="55"/>
    <w:qFormat/>
    <w:uiPriority w:val="0"/>
    <w:pPr>
      <w:numPr>
        <w:ilvl w:val="0"/>
        <w:numId w:val="6"/>
      </w:numPr>
      <w:tabs>
        <w:tab w:val="left" w:pos="360"/>
        <w:tab w:val="clear" w:pos="630"/>
      </w:tabs>
      <w:jc w:val="center"/>
      <w:textAlignment w:val="baseline"/>
    </w:pPr>
    <w:rPr>
      <w:rFonts w:ascii="黑体" w:hAnsi="Times New Roman" w:eastAsia="黑体" w:cs="Times New Roman"/>
      <w:kern w:val="21"/>
      <w:sz w:val="21"/>
      <w:lang w:val="en-US" w:eastAsia="zh-CN" w:bidi="ar-SA"/>
    </w:rPr>
  </w:style>
  <w:style w:type="character" w:customStyle="1" w:styleId="87">
    <w:name w:val="标题 4 字符"/>
    <w:link w:val="6"/>
    <w:qFormat/>
    <w:uiPriority w:val="0"/>
    <w:rPr>
      <w:rFonts w:ascii="Arial" w:hAnsi="Arial" w:eastAsia="黑体"/>
      <w:b/>
      <w:bCs/>
      <w:kern w:val="2"/>
      <w:sz w:val="28"/>
      <w:szCs w:val="28"/>
    </w:rPr>
  </w:style>
  <w:style w:type="character" w:customStyle="1" w:styleId="88">
    <w:name w:val="标题 5 字符"/>
    <w:link w:val="7"/>
    <w:qFormat/>
    <w:uiPriority w:val="0"/>
    <w:rPr>
      <w:b/>
      <w:bCs/>
      <w:kern w:val="2"/>
      <w:sz w:val="28"/>
      <w:szCs w:val="28"/>
    </w:rPr>
  </w:style>
  <w:style w:type="character" w:customStyle="1" w:styleId="89">
    <w:name w:val="标题 6 字符"/>
    <w:link w:val="8"/>
    <w:qFormat/>
    <w:uiPriority w:val="0"/>
    <w:rPr>
      <w:rFonts w:ascii="Arial" w:hAnsi="Arial" w:eastAsia="黑体"/>
      <w:b/>
      <w:bCs/>
      <w:kern w:val="2"/>
      <w:sz w:val="24"/>
      <w:szCs w:val="24"/>
    </w:rPr>
  </w:style>
  <w:style w:type="character" w:customStyle="1" w:styleId="90">
    <w:name w:val="标题 7 字符"/>
    <w:link w:val="9"/>
    <w:qFormat/>
    <w:uiPriority w:val="0"/>
    <w:rPr>
      <w:b/>
      <w:bCs/>
      <w:kern w:val="2"/>
      <w:sz w:val="24"/>
      <w:szCs w:val="24"/>
    </w:rPr>
  </w:style>
  <w:style w:type="character" w:customStyle="1" w:styleId="91">
    <w:name w:val="标题 8 字符"/>
    <w:link w:val="10"/>
    <w:qFormat/>
    <w:uiPriority w:val="0"/>
    <w:rPr>
      <w:rFonts w:ascii="Arial" w:hAnsi="Arial" w:eastAsia="黑体"/>
      <w:kern w:val="2"/>
      <w:sz w:val="24"/>
      <w:szCs w:val="24"/>
    </w:rPr>
  </w:style>
  <w:style w:type="character" w:customStyle="1" w:styleId="92">
    <w:name w:val="标题 9 字符"/>
    <w:link w:val="11"/>
    <w:qFormat/>
    <w:uiPriority w:val="0"/>
    <w:rPr>
      <w:rFonts w:ascii="Arial" w:hAnsi="Arial" w:eastAsia="黑体"/>
      <w:kern w:val="2"/>
      <w:sz w:val="21"/>
      <w:szCs w:val="21"/>
    </w:rPr>
  </w:style>
  <w:style w:type="character" w:customStyle="1" w:styleId="93">
    <w:name w:val="发布"/>
    <w:qFormat/>
    <w:uiPriority w:val="0"/>
    <w:rPr>
      <w:rFonts w:ascii="黑体" w:eastAsia="黑体"/>
      <w:spacing w:val="22"/>
      <w:w w:val="100"/>
      <w:position w:val="3"/>
      <w:sz w:val="28"/>
    </w:rPr>
  </w:style>
  <w:style w:type="character" w:customStyle="1" w:styleId="94">
    <w:name w:val="EmailStyle611"/>
    <w:qFormat/>
    <w:uiPriority w:val="0"/>
    <w:rPr>
      <w:rFonts w:ascii="Arial" w:hAnsi="Arial" w:eastAsia="宋体" w:cs="Arial"/>
      <w:color w:val="auto"/>
      <w:sz w:val="20"/>
    </w:rPr>
  </w:style>
  <w:style w:type="character" w:customStyle="1" w:styleId="95">
    <w:name w:val="批注框文本 字符"/>
    <w:link w:val="25"/>
    <w:qFormat/>
    <w:uiPriority w:val="0"/>
    <w:rPr>
      <w:rFonts w:ascii="宋体" w:hAnsi="宋体"/>
      <w:kern w:val="2"/>
      <w:sz w:val="18"/>
      <w:szCs w:val="18"/>
    </w:rPr>
  </w:style>
  <w:style w:type="character" w:customStyle="1" w:styleId="96">
    <w:name w:val="EmailStyle621"/>
    <w:qFormat/>
    <w:uiPriority w:val="0"/>
    <w:rPr>
      <w:rFonts w:ascii="Arial" w:hAnsi="Arial" w:eastAsia="宋体" w:cs="Arial"/>
      <w:color w:val="auto"/>
      <w:sz w:val="20"/>
    </w:rPr>
  </w:style>
  <w:style w:type="paragraph" w:customStyle="1" w:styleId="97">
    <w:name w:val="标准标志"/>
    <w:next w:val="1"/>
    <w:qFormat/>
    <w:uiPriority w:val="0"/>
    <w:pPr>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98">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99">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100">
    <w:name w:val="条文脚注"/>
    <w:basedOn w:val="30"/>
    <w:qFormat/>
    <w:uiPriority w:val="0"/>
    <w:pPr>
      <w:tabs>
        <w:tab w:val="clear" w:pos="420"/>
      </w:tabs>
      <w:ind w:left="780" w:leftChars="200" w:hanging="360" w:hangingChars="200"/>
      <w:jc w:val="both"/>
    </w:pPr>
    <w:rPr>
      <w:rFonts w:ascii="宋体"/>
    </w:rPr>
  </w:style>
  <w:style w:type="paragraph" w:customStyle="1" w:styleId="101">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02">
    <w:name w:val="文献分类号"/>
    <w:qFormat/>
    <w:uiPriority w:val="0"/>
    <w:pPr>
      <w:widowControl w:val="0"/>
      <w:textAlignment w:val="center"/>
    </w:pPr>
    <w:rPr>
      <w:rFonts w:ascii="Times New Roman" w:hAnsi="Times New Roman" w:eastAsia="黑体" w:cs="Times New Roman"/>
      <w:sz w:val="21"/>
      <w:lang w:val="en-US" w:eastAsia="zh-CN" w:bidi="ar-SA"/>
    </w:rPr>
  </w:style>
  <w:style w:type="paragraph" w:customStyle="1" w:styleId="103">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04">
    <w:name w:val="实施日期"/>
    <w:basedOn w:val="105"/>
    <w:qFormat/>
    <w:uiPriority w:val="0"/>
    <w:pPr>
      <w:numPr>
        <w:ilvl w:val="4"/>
        <w:numId w:val="7"/>
      </w:numPr>
      <w:jc w:val="right"/>
    </w:pPr>
  </w:style>
  <w:style w:type="paragraph" w:customStyle="1" w:styleId="105">
    <w:name w:val="发布日期"/>
    <w:qFormat/>
    <w:uiPriority w:val="0"/>
    <w:rPr>
      <w:rFonts w:ascii="Times New Roman" w:hAnsi="Times New Roman" w:eastAsia="黑体" w:cs="Times New Roman"/>
      <w:sz w:val="28"/>
      <w:lang w:val="en-US" w:eastAsia="zh-CN" w:bidi="ar-SA"/>
    </w:rPr>
  </w:style>
  <w:style w:type="paragraph" w:customStyle="1" w:styleId="106">
    <w:name w:val="示例"/>
    <w:next w:val="55"/>
    <w:qFormat/>
    <w:uiPriority w:val="0"/>
    <w:pPr>
      <w:jc w:val="both"/>
    </w:pPr>
    <w:rPr>
      <w:rFonts w:ascii="宋体" w:hAnsi="Times New Roman" w:eastAsia="宋体" w:cs="Times New Roman"/>
      <w:sz w:val="18"/>
      <w:lang w:val="en-US" w:eastAsia="zh-CN" w:bidi="ar-SA"/>
    </w:rPr>
  </w:style>
  <w:style w:type="character" w:customStyle="1" w:styleId="107">
    <w:name w:val="日期 字符"/>
    <w:link w:val="24"/>
    <w:qFormat/>
    <w:uiPriority w:val="0"/>
    <w:rPr>
      <w:kern w:val="2"/>
      <w:sz w:val="21"/>
      <w:szCs w:val="24"/>
    </w:rPr>
  </w:style>
  <w:style w:type="paragraph" w:customStyle="1" w:styleId="108">
    <w:name w:val="注："/>
    <w:next w:val="55"/>
    <w:qFormat/>
    <w:uiPriority w:val="0"/>
    <w:pPr>
      <w:widowControl w:val="0"/>
      <w:autoSpaceDE w:val="0"/>
      <w:autoSpaceDN w:val="0"/>
      <w:jc w:val="both"/>
    </w:pPr>
    <w:rPr>
      <w:rFonts w:ascii="宋体" w:hAnsi="Times New Roman" w:eastAsia="宋体" w:cs="Times New Roman"/>
      <w:sz w:val="18"/>
      <w:lang w:val="en-US" w:eastAsia="zh-CN" w:bidi="ar-SA"/>
    </w:rPr>
  </w:style>
  <w:style w:type="paragraph" w:customStyle="1" w:styleId="109">
    <w:name w:val="封面标准号2"/>
    <w:basedOn w:val="110"/>
    <w:qFormat/>
    <w:uiPriority w:val="0"/>
    <w:pPr>
      <w:adjustRightInd w:val="0"/>
      <w:spacing w:before="357" w:line="280" w:lineRule="exact"/>
    </w:pPr>
  </w:style>
  <w:style w:type="paragraph" w:customStyle="1" w:styleId="110">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111">
    <w:name w:val="标准书脚_奇数页"/>
    <w:qFormat/>
    <w:uiPriority w:val="0"/>
    <w:pPr>
      <w:spacing w:before="120"/>
      <w:jc w:val="right"/>
    </w:pPr>
    <w:rPr>
      <w:rFonts w:ascii="Times New Roman" w:hAnsi="Times New Roman" w:eastAsia="宋体" w:cs="Times New Roman"/>
      <w:sz w:val="18"/>
      <w:lang w:val="en-US" w:eastAsia="zh-CN" w:bidi="ar-SA"/>
    </w:rPr>
  </w:style>
  <w:style w:type="paragraph" w:customStyle="1" w:styleId="112">
    <w:name w:val="示例×："/>
    <w:basedOn w:val="54"/>
    <w:qFormat/>
    <w:uiPriority w:val="0"/>
    <w:pPr>
      <w:numPr>
        <w:ilvl w:val="0"/>
        <w:numId w:val="0"/>
      </w:numPr>
      <w:spacing w:beforeLines="0" w:afterLines="0"/>
      <w:outlineLvl w:val="9"/>
    </w:pPr>
    <w:rPr>
      <w:rFonts w:ascii="宋体" w:eastAsia="宋体"/>
      <w:sz w:val="18"/>
      <w:szCs w:val="18"/>
    </w:rPr>
  </w:style>
  <w:style w:type="paragraph" w:customStyle="1" w:styleId="113">
    <w:name w:val="封面正文"/>
    <w:qFormat/>
    <w:uiPriority w:val="0"/>
    <w:pPr>
      <w:jc w:val="both"/>
    </w:pPr>
    <w:rPr>
      <w:rFonts w:ascii="Times New Roman" w:hAnsi="Times New Roman" w:eastAsia="宋体" w:cs="Times New Roman"/>
      <w:lang w:val="en-US" w:eastAsia="zh-CN" w:bidi="ar-SA"/>
    </w:rPr>
  </w:style>
  <w:style w:type="paragraph" w:customStyle="1" w:styleId="114">
    <w:name w:val="标准书眉一"/>
    <w:qFormat/>
    <w:uiPriority w:val="0"/>
    <w:pPr>
      <w:jc w:val="both"/>
    </w:pPr>
    <w:rPr>
      <w:rFonts w:ascii="Times New Roman" w:hAnsi="Times New Roman" w:eastAsia="宋体" w:cs="Times New Roman"/>
      <w:lang w:val="en-US" w:eastAsia="zh-CN" w:bidi="ar-SA"/>
    </w:rPr>
  </w:style>
  <w:style w:type="character" w:customStyle="1" w:styleId="115">
    <w:name w:val="脚注文本 字符"/>
    <w:link w:val="30"/>
    <w:qFormat/>
    <w:uiPriority w:val="0"/>
    <w:rPr>
      <w:kern w:val="2"/>
      <w:sz w:val="18"/>
      <w:szCs w:val="18"/>
    </w:rPr>
  </w:style>
  <w:style w:type="paragraph" w:customStyle="1" w:styleId="116">
    <w:name w:val="目次、标准名称标题"/>
    <w:basedOn w:val="53"/>
    <w:next w:val="55"/>
    <w:qFormat/>
    <w:uiPriority w:val="0"/>
    <w:pPr>
      <w:numPr>
        <w:numId w:val="0"/>
      </w:numPr>
      <w:spacing w:line="460" w:lineRule="exact"/>
    </w:pPr>
  </w:style>
  <w:style w:type="paragraph" w:customStyle="1" w:styleId="117">
    <w:name w:val="注×："/>
    <w:qFormat/>
    <w:uiPriority w:val="0"/>
    <w:pPr>
      <w:widowControl w:val="0"/>
      <w:tabs>
        <w:tab w:val="left" w:pos="630"/>
      </w:tabs>
      <w:autoSpaceDE w:val="0"/>
      <w:autoSpaceDN w:val="0"/>
      <w:jc w:val="both"/>
    </w:pPr>
    <w:rPr>
      <w:rFonts w:ascii="宋体" w:hAnsi="Times New Roman" w:eastAsia="宋体" w:cs="Times New Roman"/>
      <w:sz w:val="18"/>
      <w:lang w:val="en-US" w:eastAsia="zh-CN" w:bidi="ar-SA"/>
    </w:rPr>
  </w:style>
  <w:style w:type="paragraph" w:customStyle="1" w:styleId="118">
    <w:name w:val="封面标准代替信息"/>
    <w:basedOn w:val="109"/>
    <w:qFormat/>
    <w:uiPriority w:val="0"/>
    <w:pPr>
      <w:kinsoku/>
      <w:overflowPunct/>
      <w:autoSpaceDE/>
      <w:autoSpaceDN/>
      <w:adjustRightInd/>
      <w:spacing w:before="0" w:line="240" w:lineRule="auto"/>
      <w:jc w:val="both"/>
      <w:textAlignment w:val="auto"/>
    </w:pPr>
    <w:rPr>
      <w:rFonts w:ascii="宋体" w:hAnsi="宋体"/>
      <w:kern w:val="2"/>
      <w:sz w:val="24"/>
    </w:rPr>
  </w:style>
  <w:style w:type="paragraph" w:customStyle="1" w:styleId="119">
    <w:name w:val="标准书脚_偶数页"/>
    <w:qFormat/>
    <w:uiPriority w:val="0"/>
    <w:pPr>
      <w:spacing w:before="120"/>
    </w:pPr>
    <w:rPr>
      <w:rFonts w:ascii="Times New Roman" w:hAnsi="Times New Roman" w:eastAsia="宋体" w:cs="Times New Roman"/>
      <w:sz w:val="18"/>
      <w:lang w:val="en-US" w:eastAsia="zh-CN" w:bidi="ar-SA"/>
    </w:rPr>
  </w:style>
  <w:style w:type="paragraph" w:customStyle="1" w:styleId="120">
    <w:name w:val="列项●（二级）"/>
    <w:qFormat/>
    <w:uiPriority w:val="0"/>
    <w:pPr>
      <w:tabs>
        <w:tab w:val="left" w:pos="840"/>
      </w:tabs>
      <w:jc w:val="both"/>
    </w:pPr>
    <w:rPr>
      <w:rFonts w:ascii="宋体" w:hAnsi="Times New Roman" w:eastAsia="宋体" w:cs="Times New Roman"/>
      <w:sz w:val="21"/>
      <w:lang w:val="en-US" w:eastAsia="zh-CN" w:bidi="ar-SA"/>
    </w:rPr>
  </w:style>
  <w:style w:type="paragraph" w:customStyle="1" w:styleId="121">
    <w:name w:val="数字编号列项（二级）"/>
    <w:qFormat/>
    <w:uiPriority w:val="0"/>
    <w:pPr>
      <w:ind w:left="1260" w:leftChars="400" w:hanging="420" w:hangingChars="200"/>
      <w:jc w:val="both"/>
    </w:pPr>
    <w:rPr>
      <w:rFonts w:ascii="宋体" w:hAnsi="Times New Roman" w:eastAsia="宋体" w:cs="Times New Roman"/>
      <w:sz w:val="21"/>
      <w:lang w:val="en-US" w:eastAsia="zh-CN" w:bidi="ar-SA"/>
    </w:rPr>
  </w:style>
  <w:style w:type="paragraph" w:customStyle="1" w:styleId="122">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123">
    <w:name w:val="列项◆（三级）"/>
    <w:qFormat/>
    <w:uiPriority w:val="0"/>
    <w:pPr>
      <w:tabs>
        <w:tab w:val="left" w:pos="960"/>
      </w:tabs>
      <w:ind w:left="3261"/>
    </w:pPr>
    <w:rPr>
      <w:rFonts w:ascii="宋体" w:hAnsi="Times New Roman" w:eastAsia="宋体" w:cs="Times New Roman"/>
      <w:sz w:val="21"/>
      <w:lang w:val="en-US" w:eastAsia="zh-CN" w:bidi="ar-SA"/>
    </w:rPr>
  </w:style>
  <w:style w:type="paragraph" w:customStyle="1" w:styleId="124">
    <w:name w:val="标准称谓"/>
    <w:next w:val="1"/>
    <w:qFormat/>
    <w:uiPriority w:val="0"/>
    <w:pPr>
      <w:widowControl w:val="0"/>
      <w:kinsoku w:val="0"/>
      <w:overflowPunct w:val="0"/>
      <w:autoSpaceDE w:val="0"/>
      <w:autoSpaceDN w:val="0"/>
      <w:spacing w:line="0" w:lineRule="atLeast"/>
      <w:jc w:val="distribute"/>
    </w:pPr>
    <w:rPr>
      <w:rFonts w:ascii="宋体" w:hAnsi="Times New Roman" w:eastAsia="宋体" w:cs="Times New Roman"/>
      <w:b/>
      <w:bCs/>
      <w:spacing w:val="20"/>
      <w:w w:val="148"/>
      <w:sz w:val="52"/>
      <w:lang w:val="en-US" w:eastAsia="zh-CN" w:bidi="ar-SA"/>
    </w:rPr>
  </w:style>
  <w:style w:type="character" w:customStyle="1" w:styleId="125">
    <w:name w:val="标题 字符"/>
    <w:link w:val="35"/>
    <w:qFormat/>
    <w:uiPriority w:val="0"/>
    <w:rPr>
      <w:rFonts w:ascii="Arial" w:hAnsi="Arial" w:cs="Arial"/>
      <w:b/>
      <w:bCs/>
      <w:kern w:val="2"/>
      <w:sz w:val="32"/>
      <w:szCs w:val="32"/>
    </w:rPr>
  </w:style>
  <w:style w:type="paragraph" w:customStyle="1" w:styleId="126">
    <w:name w:val="标准书眉_奇数页"/>
    <w:next w:val="1"/>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127">
    <w:name w:val="列项——（一级）"/>
    <w:qFormat/>
    <w:uiPriority w:val="0"/>
    <w:pPr>
      <w:widowControl w:val="0"/>
      <w:numPr>
        <w:ilvl w:val="0"/>
        <w:numId w:val="8"/>
      </w:numPr>
      <w:tabs>
        <w:tab w:val="left" w:pos="1140"/>
        <w:tab w:val="clear" w:pos="840"/>
      </w:tabs>
      <w:jc w:val="both"/>
    </w:pPr>
    <w:rPr>
      <w:rFonts w:ascii="宋体" w:hAnsi="Times New Roman" w:eastAsia="宋体" w:cs="Times New Roman"/>
      <w:sz w:val="21"/>
      <w:lang w:val="en-US" w:eastAsia="zh-CN" w:bidi="ar-SA"/>
    </w:rPr>
  </w:style>
  <w:style w:type="paragraph" w:customStyle="1" w:styleId="128">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9">
    <w:name w:val="参考文献、索引标题"/>
    <w:basedOn w:val="53"/>
    <w:next w:val="1"/>
    <w:qFormat/>
    <w:uiPriority w:val="0"/>
    <w:pPr>
      <w:numPr>
        <w:numId w:val="0"/>
      </w:numPr>
      <w:spacing w:after="200"/>
    </w:pPr>
    <w:rPr>
      <w:sz w:val="21"/>
    </w:rPr>
  </w:style>
  <w:style w:type="character" w:customStyle="1" w:styleId="130">
    <w:name w:val="HTML 地址 字符"/>
    <w:link w:val="22"/>
    <w:qFormat/>
    <w:uiPriority w:val="0"/>
    <w:rPr>
      <w:i/>
      <w:iCs/>
      <w:kern w:val="2"/>
      <w:sz w:val="21"/>
      <w:szCs w:val="24"/>
    </w:rPr>
  </w:style>
  <w:style w:type="paragraph" w:customStyle="1" w:styleId="131">
    <w:name w:val="图表脚注"/>
    <w:next w:val="55"/>
    <w:qFormat/>
    <w:uiPriority w:val="0"/>
    <w:pPr>
      <w:ind w:left="300" w:leftChars="200" w:hanging="100" w:hangingChars="100"/>
      <w:jc w:val="both"/>
    </w:pPr>
    <w:rPr>
      <w:rFonts w:ascii="宋体" w:hAnsi="Times New Roman" w:eastAsia="宋体" w:cs="Times New Roman"/>
      <w:sz w:val="18"/>
      <w:lang w:val="en-US" w:eastAsia="zh-CN" w:bidi="ar-SA"/>
    </w:rPr>
  </w:style>
  <w:style w:type="paragraph" w:customStyle="1" w:styleId="132">
    <w:name w:val="其他发布部门"/>
    <w:basedOn w:val="133"/>
    <w:qFormat/>
    <w:uiPriority w:val="0"/>
    <w:pPr>
      <w:spacing w:line="0" w:lineRule="atLeast"/>
    </w:pPr>
    <w:rPr>
      <w:rFonts w:ascii="黑体" w:eastAsia="黑体"/>
      <w:b w:val="0"/>
    </w:rPr>
  </w:style>
  <w:style w:type="paragraph" w:customStyle="1" w:styleId="133">
    <w:name w:val="发布部门"/>
    <w:next w:val="55"/>
    <w:qFormat/>
    <w:uiPriority w:val="0"/>
    <w:pPr>
      <w:jc w:val="center"/>
    </w:pPr>
    <w:rPr>
      <w:rFonts w:ascii="宋体" w:hAnsi="Times New Roman" w:eastAsia="宋体" w:cs="Times New Roman"/>
      <w:b/>
      <w:spacing w:val="20"/>
      <w:w w:val="135"/>
      <w:sz w:val="36"/>
      <w:lang w:val="en-US" w:eastAsia="zh-CN" w:bidi="ar-SA"/>
    </w:rPr>
  </w:style>
  <w:style w:type="paragraph" w:customStyle="1" w:styleId="134">
    <w:name w:val="编号列项（三级）"/>
    <w:qFormat/>
    <w:uiPriority w:val="0"/>
    <w:pPr>
      <w:ind w:left="800" w:leftChars="600" w:hanging="200" w:hangingChars="200"/>
    </w:pPr>
    <w:rPr>
      <w:rFonts w:ascii="宋体" w:hAnsi="Times New Roman" w:eastAsia="宋体" w:cs="Times New Roman"/>
      <w:sz w:val="21"/>
      <w:lang w:val="en-US" w:eastAsia="zh-CN" w:bidi="ar-SA"/>
    </w:rPr>
  </w:style>
  <w:style w:type="paragraph" w:customStyle="1" w:styleId="135">
    <w:name w:val="标准书眉_偶数页"/>
    <w:basedOn w:val="126"/>
    <w:next w:val="1"/>
    <w:qFormat/>
    <w:uiPriority w:val="0"/>
    <w:pPr>
      <w:jc w:val="left"/>
    </w:pPr>
  </w:style>
  <w:style w:type="character" w:customStyle="1" w:styleId="136">
    <w:name w:val="HTML 预设格式 字符"/>
    <w:link w:val="33"/>
    <w:qFormat/>
    <w:uiPriority w:val="0"/>
    <w:rPr>
      <w:rFonts w:ascii="Courier New" w:hAnsi="Courier New" w:cs="Courier New"/>
      <w:kern w:val="2"/>
    </w:rPr>
  </w:style>
  <w:style w:type="paragraph" w:customStyle="1" w:styleId="137">
    <w:name w:val="字母编号列项（一级）"/>
    <w:qFormat/>
    <w:uiPriority w:val="0"/>
    <w:pPr>
      <w:ind w:left="840" w:leftChars="200" w:hanging="420" w:hangingChars="200"/>
      <w:jc w:val="both"/>
    </w:pPr>
    <w:rPr>
      <w:rFonts w:ascii="宋体" w:hAnsi="Times New Roman" w:eastAsia="宋体" w:cs="Times New Roman"/>
      <w:sz w:val="21"/>
      <w:lang w:val="en-US" w:eastAsia="zh-CN" w:bidi="ar-SA"/>
    </w:rPr>
  </w:style>
  <w:style w:type="paragraph" w:customStyle="1" w:styleId="138">
    <w:name w:val="附录图标题"/>
    <w:next w:val="55"/>
    <w:qFormat/>
    <w:uiPriority w:val="0"/>
    <w:pPr>
      <w:numPr>
        <w:ilvl w:val="0"/>
        <w:numId w:val="9"/>
      </w:numPr>
      <w:tabs>
        <w:tab w:val="left" w:pos="360"/>
        <w:tab w:val="clear" w:pos="765"/>
      </w:tabs>
      <w:jc w:val="center"/>
    </w:pPr>
    <w:rPr>
      <w:rFonts w:ascii="黑体" w:hAnsi="Times New Roman" w:eastAsia="黑体" w:cs="Times New Roman"/>
      <w:sz w:val="21"/>
      <w:lang w:val="en-US" w:eastAsia="zh-CN" w:bidi="ar-SA"/>
    </w:rPr>
  </w:style>
  <w:style w:type="paragraph" w:customStyle="1" w:styleId="139">
    <w:name w:val="二级无标题条"/>
    <w:basedOn w:val="1"/>
    <w:qFormat/>
    <w:uiPriority w:val="0"/>
    <w:pPr>
      <w:numPr>
        <w:ilvl w:val="3"/>
        <w:numId w:val="10"/>
      </w:numPr>
    </w:pPr>
    <w:rPr>
      <w:rFonts w:ascii="Times New Roman" w:hAnsi="Times New Roman"/>
      <w:sz w:val="21"/>
      <w:szCs w:val="24"/>
    </w:rPr>
  </w:style>
  <w:style w:type="paragraph" w:customStyle="1" w:styleId="140">
    <w:name w:val="三级无标题条"/>
    <w:basedOn w:val="1"/>
    <w:qFormat/>
    <w:uiPriority w:val="0"/>
    <w:pPr>
      <w:numPr>
        <w:ilvl w:val="4"/>
        <w:numId w:val="10"/>
      </w:numPr>
    </w:pPr>
    <w:rPr>
      <w:rFonts w:ascii="Times New Roman" w:hAnsi="Times New Roman"/>
      <w:sz w:val="21"/>
      <w:szCs w:val="24"/>
    </w:rPr>
  </w:style>
  <w:style w:type="paragraph" w:customStyle="1" w:styleId="141">
    <w:name w:val="四级无标题条"/>
    <w:basedOn w:val="1"/>
    <w:qFormat/>
    <w:uiPriority w:val="0"/>
    <w:pPr>
      <w:numPr>
        <w:ilvl w:val="5"/>
        <w:numId w:val="10"/>
      </w:numPr>
    </w:pPr>
    <w:rPr>
      <w:rFonts w:ascii="Times New Roman" w:hAnsi="Times New Roman"/>
      <w:sz w:val="21"/>
      <w:szCs w:val="24"/>
    </w:rPr>
  </w:style>
  <w:style w:type="paragraph" w:customStyle="1" w:styleId="142">
    <w:name w:val="五级无标题条"/>
    <w:basedOn w:val="1"/>
    <w:qFormat/>
    <w:uiPriority w:val="0"/>
    <w:pPr>
      <w:numPr>
        <w:ilvl w:val="6"/>
        <w:numId w:val="10"/>
      </w:numPr>
    </w:pPr>
    <w:rPr>
      <w:rFonts w:ascii="Times New Roman" w:hAnsi="Times New Roman"/>
      <w:sz w:val="21"/>
      <w:szCs w:val="24"/>
    </w:rPr>
  </w:style>
  <w:style w:type="paragraph" w:customStyle="1" w:styleId="143">
    <w:name w:val="一级无标题条"/>
    <w:basedOn w:val="1"/>
    <w:qFormat/>
    <w:uiPriority w:val="0"/>
    <w:pPr>
      <w:numPr>
        <w:ilvl w:val="2"/>
        <w:numId w:val="10"/>
      </w:numPr>
    </w:pPr>
    <w:rPr>
      <w:rFonts w:ascii="Times New Roman" w:hAnsi="Times New Roman"/>
      <w:sz w:val="21"/>
      <w:szCs w:val="24"/>
    </w:rPr>
  </w:style>
  <w:style w:type="character" w:customStyle="1" w:styleId="144">
    <w:name w:val="普通正文 Char1"/>
    <w:qFormat/>
    <w:uiPriority w:val="0"/>
    <w:rPr>
      <w:rFonts w:eastAsia="宋体"/>
      <w:kern w:val="21"/>
      <w:sz w:val="21"/>
      <w:lang w:val="en-US" w:eastAsia="zh-CN" w:bidi="ar-SA"/>
    </w:rPr>
  </w:style>
  <w:style w:type="paragraph" w:customStyle="1" w:styleId="145">
    <w:name w:val="默认段落字体 Para Char"/>
    <w:basedOn w:val="1"/>
    <w:qFormat/>
    <w:uiPriority w:val="0"/>
    <w:pPr>
      <w:keepNext/>
      <w:tabs>
        <w:tab w:val="left" w:pos="5040"/>
      </w:tabs>
      <w:autoSpaceDE w:val="0"/>
      <w:autoSpaceDN w:val="0"/>
      <w:adjustRightInd w:val="0"/>
      <w:ind w:left="5040" w:hanging="360"/>
      <w:jc w:val="left"/>
    </w:pPr>
    <w:rPr>
      <w:rFonts w:ascii="Times New Roman" w:hAnsi="Times New Roman" w:eastAsia="Times New Roman"/>
      <w:kern w:val="0"/>
      <w:sz w:val="20"/>
    </w:rPr>
  </w:style>
  <w:style w:type="character" w:customStyle="1" w:styleId="146">
    <w:name w:val="文档结构图 字符"/>
    <w:link w:val="19"/>
    <w:qFormat/>
    <w:uiPriority w:val="0"/>
    <w:rPr>
      <w:rFonts w:ascii="宋体" w:hAnsi="宋体"/>
      <w:kern w:val="2"/>
      <w:sz w:val="24"/>
      <w:shd w:val="clear" w:color="auto" w:fill="000080"/>
    </w:rPr>
  </w:style>
  <w:style w:type="paragraph" w:customStyle="1" w:styleId="147">
    <w:name w:val="封面抬头标题"/>
    <w:basedOn w:val="32"/>
    <w:qFormat/>
    <w:uiPriority w:val="0"/>
    <w:pPr>
      <w:spacing w:after="0" w:line="240" w:lineRule="auto"/>
    </w:pPr>
    <w:rPr>
      <w:rFonts w:ascii="Times New Roman" w:hAnsi="Times New Roman" w:eastAsia="黑体"/>
      <w:b/>
      <w:bCs/>
      <w:spacing w:val="160"/>
      <w:sz w:val="52"/>
      <w:szCs w:val="24"/>
    </w:rPr>
  </w:style>
  <w:style w:type="paragraph" w:customStyle="1" w:styleId="148">
    <w:name w:val="标准编号"/>
    <w:basedOn w:val="1"/>
    <w:qFormat/>
    <w:uiPriority w:val="0"/>
    <w:pPr>
      <w:jc w:val="center"/>
    </w:pPr>
    <w:rPr>
      <w:rFonts w:ascii="黑体" w:hAnsi="Times New Roman" w:eastAsia="黑体"/>
      <w:b/>
      <w:bCs/>
      <w:sz w:val="30"/>
      <w:szCs w:val="24"/>
    </w:rPr>
  </w:style>
  <w:style w:type="paragraph" w:customStyle="1" w:styleId="149">
    <w:name w:val="封面中文名称"/>
    <w:basedOn w:val="21"/>
    <w:qFormat/>
    <w:uiPriority w:val="0"/>
    <w:pPr>
      <w:jc w:val="center"/>
    </w:pPr>
    <w:rPr>
      <w:rFonts w:ascii="黑体" w:hAnsi="Times New Roman" w:eastAsia="黑体"/>
      <w:b/>
      <w:spacing w:val="80"/>
      <w:sz w:val="44"/>
      <w:szCs w:val="24"/>
    </w:rPr>
  </w:style>
  <w:style w:type="paragraph" w:customStyle="1" w:styleId="150">
    <w:name w:val="封面英文名称"/>
    <w:basedOn w:val="21"/>
    <w:qFormat/>
    <w:uiPriority w:val="0"/>
    <w:pPr>
      <w:jc w:val="center"/>
    </w:pPr>
    <w:rPr>
      <w:rFonts w:ascii="黑体" w:hAnsi="Times New Roman"/>
      <w:b/>
      <w:spacing w:val="60"/>
      <w:sz w:val="28"/>
      <w:szCs w:val="24"/>
    </w:rPr>
  </w:style>
  <w:style w:type="paragraph" w:customStyle="1" w:styleId="151">
    <w:name w:val="封面版本号"/>
    <w:basedOn w:val="32"/>
    <w:qFormat/>
    <w:uiPriority w:val="0"/>
    <w:pPr>
      <w:spacing w:after="0" w:line="240" w:lineRule="auto"/>
      <w:jc w:val="center"/>
    </w:pPr>
    <w:rPr>
      <w:rFonts w:ascii="黑体" w:hAnsi="Times New Roman" w:eastAsia="黑体"/>
      <w:b/>
      <w:spacing w:val="40"/>
      <w:szCs w:val="24"/>
    </w:rPr>
  </w:style>
  <w:style w:type="paragraph" w:customStyle="1" w:styleId="152">
    <w:name w:val="QB正文"/>
    <w:basedOn w:val="55"/>
    <w:qFormat/>
    <w:uiPriority w:val="0"/>
  </w:style>
  <w:style w:type="character" w:customStyle="1" w:styleId="153">
    <w:name w:val="正文文本 2 字符"/>
    <w:link w:val="32"/>
    <w:qFormat/>
    <w:uiPriority w:val="0"/>
    <w:rPr>
      <w:rFonts w:ascii="宋体" w:hAnsi="宋体"/>
      <w:kern w:val="2"/>
      <w:sz w:val="24"/>
    </w:rPr>
  </w:style>
  <w:style w:type="character" w:customStyle="1" w:styleId="154">
    <w:name w:val="正文文本 字符"/>
    <w:link w:val="21"/>
    <w:qFormat/>
    <w:uiPriority w:val="0"/>
    <w:rPr>
      <w:rFonts w:ascii="宋体" w:hAnsi="宋体"/>
      <w:kern w:val="2"/>
      <w:sz w:val="24"/>
    </w:rPr>
  </w:style>
  <w:style w:type="paragraph" w:customStyle="1" w:styleId="155">
    <w:name w:val="发布实施"/>
    <w:basedOn w:val="151"/>
    <w:qFormat/>
    <w:uiPriority w:val="0"/>
  </w:style>
  <w:style w:type="paragraph" w:customStyle="1" w:styleId="156">
    <w:name w:val="封面公司名称"/>
    <w:basedOn w:val="1"/>
    <w:qFormat/>
    <w:uiPriority w:val="0"/>
    <w:rPr>
      <w:rFonts w:ascii="黑体" w:hAnsi="Times New Roman" w:eastAsia="黑体"/>
      <w:b/>
      <w:bCs/>
      <w:sz w:val="36"/>
      <w:szCs w:val="24"/>
    </w:rPr>
  </w:style>
  <w:style w:type="paragraph" w:customStyle="1" w:styleId="157">
    <w:name w:val="QB前沿"/>
    <w:basedOn w:val="1"/>
    <w:qFormat/>
    <w:uiPriority w:val="0"/>
    <w:pPr>
      <w:keepNext/>
      <w:keepLines/>
      <w:spacing w:before="340" w:after="330" w:line="578" w:lineRule="auto"/>
      <w:jc w:val="center"/>
      <w:outlineLvl w:val="0"/>
    </w:pPr>
    <w:rPr>
      <w:rFonts w:ascii="黑体" w:hAnsi="Times New Roman" w:eastAsia="黑体"/>
      <w:bCs/>
      <w:kern w:val="44"/>
      <w:sz w:val="32"/>
      <w:szCs w:val="21"/>
    </w:rPr>
  </w:style>
  <w:style w:type="paragraph" w:customStyle="1" w:styleId="158">
    <w:name w:val="QB前言正文"/>
    <w:basedOn w:val="152"/>
    <w:qFormat/>
    <w:uiPriority w:val="0"/>
    <w:pPr>
      <w:spacing w:line="360" w:lineRule="auto"/>
    </w:pPr>
    <w:rPr>
      <w:sz w:val="24"/>
      <w:szCs w:val="24"/>
    </w:rPr>
  </w:style>
  <w:style w:type="paragraph" w:customStyle="1" w:styleId="159">
    <w:name w:val="QB标题2"/>
    <w:basedOn w:val="3"/>
    <w:qFormat/>
    <w:uiPriority w:val="0"/>
    <w:pPr>
      <w:keepNext/>
      <w:keepLines/>
      <w:tabs>
        <w:tab w:val="left" w:pos="567"/>
      </w:tabs>
      <w:kinsoku/>
      <w:overflowPunct/>
      <w:autoSpaceDE/>
      <w:autoSpaceDN/>
      <w:adjustRightInd/>
      <w:snapToGrid/>
      <w:spacing w:before="260" w:after="260" w:line="416" w:lineRule="auto"/>
      <w:ind w:left="567" w:hanging="567"/>
    </w:pPr>
    <w:rPr>
      <w:rFonts w:ascii="Arial" w:hAnsi="Arial" w:eastAsia="黑体"/>
      <w:bCs/>
      <w:sz w:val="21"/>
      <w:szCs w:val="21"/>
    </w:rPr>
  </w:style>
  <w:style w:type="paragraph" w:customStyle="1" w:styleId="160">
    <w:name w:val="样式1"/>
    <w:basedOn w:val="1"/>
    <w:qFormat/>
    <w:uiPriority w:val="0"/>
    <w:pPr>
      <w:autoSpaceDE w:val="0"/>
      <w:autoSpaceDN w:val="0"/>
      <w:adjustRightInd w:val="0"/>
      <w:spacing w:line="480" w:lineRule="exact"/>
      <w:jc w:val="center"/>
      <w:textAlignment w:val="baseline"/>
    </w:pPr>
    <w:rPr>
      <w:rFonts w:eastAsia="仿宋_GB2312"/>
      <w:kern w:val="0"/>
      <w:sz w:val="28"/>
      <w:szCs w:val="16"/>
    </w:rPr>
  </w:style>
  <w:style w:type="paragraph" w:customStyle="1" w:styleId="161">
    <w:name w:val="TOC 标题1"/>
    <w:basedOn w:val="2"/>
    <w:next w:val="1"/>
    <w:qFormat/>
    <w:uiPriority w:val="39"/>
    <w:pPr>
      <w:keepNext/>
      <w:keepLines/>
      <w:widowControl/>
      <w:kinsoku/>
      <w:overflowPunct/>
      <w:autoSpaceDE/>
      <w:autoSpaceDN/>
      <w:adjustRightInd/>
      <w:snapToGrid/>
      <w:spacing w:before="480" w:line="276" w:lineRule="auto"/>
      <w:jc w:val="left"/>
      <w:outlineLvl w:val="9"/>
    </w:pPr>
    <w:rPr>
      <w:rFonts w:ascii="Cambria" w:hAnsi="Cambria" w:eastAsia="宋体"/>
      <w:bCs/>
      <w:color w:val="365F91"/>
      <w:kern w:val="0"/>
      <w:szCs w:val="28"/>
    </w:rPr>
  </w:style>
  <w:style w:type="paragraph" w:customStyle="1" w:styleId="162">
    <w:name w:val="正文1"/>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character" w:customStyle="1" w:styleId="163">
    <w:name w:val="页脚 字符"/>
    <w:link w:val="26"/>
    <w:qFormat/>
    <w:uiPriority w:val="99"/>
    <w:rPr>
      <w:rFonts w:ascii="宋体" w:hAnsi="宋体"/>
      <w:kern w:val="2"/>
      <w:sz w:val="18"/>
      <w:szCs w:val="18"/>
    </w:rPr>
  </w:style>
  <w:style w:type="paragraph" w:customStyle="1" w:styleId="164">
    <w:name w:val="正文2"/>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character" w:customStyle="1" w:styleId="165">
    <w:name w:val="标题 1 字符"/>
    <w:link w:val="2"/>
    <w:qFormat/>
    <w:uiPriority w:val="0"/>
    <w:rPr>
      <w:rFonts w:ascii="黑体" w:hAnsi="宋体" w:eastAsia="黑体"/>
      <w:b/>
      <w:kern w:val="44"/>
      <w:sz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6" Type="http://schemas.openxmlformats.org/officeDocument/2006/relationships/fontTable" Target="fontTable.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51.jpeg"/><Relationship Id="rId62" Type="http://schemas.openxmlformats.org/officeDocument/2006/relationships/image" Target="media/image50.jpeg"/><Relationship Id="rId61" Type="http://schemas.openxmlformats.org/officeDocument/2006/relationships/image" Target="media/image49.jpeg"/><Relationship Id="rId60" Type="http://schemas.openxmlformats.org/officeDocument/2006/relationships/image" Target="media/image48.jpeg"/><Relationship Id="rId6" Type="http://schemas.openxmlformats.org/officeDocument/2006/relationships/footer" Target="footer2.xml"/><Relationship Id="rId59" Type="http://schemas.openxmlformats.org/officeDocument/2006/relationships/image" Target="media/image47.jpeg"/><Relationship Id="rId58" Type="http://schemas.openxmlformats.org/officeDocument/2006/relationships/image" Target="media/image46.jpeg"/><Relationship Id="rId57" Type="http://schemas.openxmlformats.org/officeDocument/2006/relationships/image" Target="media/image45.jpeg"/><Relationship Id="rId56" Type="http://schemas.openxmlformats.org/officeDocument/2006/relationships/image" Target="media/image44.jpeg"/><Relationship Id="rId55" Type="http://schemas.openxmlformats.org/officeDocument/2006/relationships/image" Target="media/image43.png"/><Relationship Id="rId54" Type="http://schemas.openxmlformats.org/officeDocument/2006/relationships/image" Target="media/image42.jpeg"/><Relationship Id="rId53" Type="http://schemas.openxmlformats.org/officeDocument/2006/relationships/image" Target="media/image41.jpeg"/><Relationship Id="rId52" Type="http://schemas.openxmlformats.org/officeDocument/2006/relationships/image" Target="media/image40.jpeg"/><Relationship Id="rId51" Type="http://schemas.openxmlformats.org/officeDocument/2006/relationships/image" Target="media/image39.jpeg"/><Relationship Id="rId50" Type="http://schemas.openxmlformats.org/officeDocument/2006/relationships/image" Target="media/image38.jpeg"/><Relationship Id="rId5" Type="http://schemas.openxmlformats.org/officeDocument/2006/relationships/header" Target="header2.xml"/><Relationship Id="rId49" Type="http://schemas.openxmlformats.org/officeDocument/2006/relationships/image" Target="media/image37.jpeg"/><Relationship Id="rId48" Type="http://schemas.openxmlformats.org/officeDocument/2006/relationships/image" Target="media/image36.png"/><Relationship Id="rId47" Type="http://schemas.openxmlformats.org/officeDocument/2006/relationships/image" Target="media/image35.jpeg"/><Relationship Id="rId46" Type="http://schemas.openxmlformats.org/officeDocument/2006/relationships/image" Target="media/image34.jpeg"/><Relationship Id="rId45" Type="http://schemas.openxmlformats.org/officeDocument/2006/relationships/image" Target="media/image33.jpeg"/><Relationship Id="rId44" Type="http://schemas.openxmlformats.org/officeDocument/2006/relationships/image" Target="media/image32.jpeg"/><Relationship Id="rId43" Type="http://schemas.openxmlformats.org/officeDocument/2006/relationships/image" Target="media/image31.jpeg"/><Relationship Id="rId42" Type="http://schemas.openxmlformats.org/officeDocument/2006/relationships/image" Target="media/image30.jpeg"/><Relationship Id="rId41" Type="http://schemas.openxmlformats.org/officeDocument/2006/relationships/image" Target="media/image29.jpeg"/><Relationship Id="rId40" Type="http://schemas.openxmlformats.org/officeDocument/2006/relationships/image" Target="media/image28.jpeg"/><Relationship Id="rId4" Type="http://schemas.openxmlformats.org/officeDocument/2006/relationships/footer" Target="footer1.xml"/><Relationship Id="rId39" Type="http://schemas.openxmlformats.org/officeDocument/2006/relationships/image" Target="media/image27.jpeg"/><Relationship Id="rId38" Type="http://schemas.openxmlformats.org/officeDocument/2006/relationships/image" Target="media/image26.jpeg"/><Relationship Id="rId37" Type="http://schemas.openxmlformats.org/officeDocument/2006/relationships/image" Target="media/image25.jpeg"/><Relationship Id="rId36" Type="http://schemas.openxmlformats.org/officeDocument/2006/relationships/image" Target="media/image24.jpeg"/><Relationship Id="rId35" Type="http://schemas.openxmlformats.org/officeDocument/2006/relationships/image" Target="media/image23.jpeg"/><Relationship Id="rId34" Type="http://schemas.openxmlformats.org/officeDocument/2006/relationships/oleObject" Target="embeddings/oleObject2.bin"/><Relationship Id="rId33" Type="http://schemas.openxmlformats.org/officeDocument/2006/relationships/image" Target="media/image22.emf"/><Relationship Id="rId32" Type="http://schemas.openxmlformats.org/officeDocument/2006/relationships/oleObject" Target="embeddings/oleObject1.bin"/><Relationship Id="rId31" Type="http://schemas.openxmlformats.org/officeDocument/2006/relationships/image" Target="media/image21.png"/><Relationship Id="rId30" Type="http://schemas.openxmlformats.org/officeDocument/2006/relationships/image" Target="media/image20.jpeg"/><Relationship Id="rId3" Type="http://schemas.openxmlformats.org/officeDocument/2006/relationships/header" Target="header1.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png"/><Relationship Id="rId12" Type="http://schemas.openxmlformats.org/officeDocument/2006/relationships/image" Target="media/image2.jpe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中讯邮电咨询设计院</Company>
  <Pages>40</Pages>
  <Words>3119</Words>
  <Characters>17784</Characters>
  <Lines>148</Lines>
  <Paragraphs>41</Paragraphs>
  <TotalTime>0</TotalTime>
  <ScaleCrop>false</ScaleCrop>
  <LinksUpToDate>false</LinksUpToDate>
  <CharactersWithSpaces>20862</CharactersWithSpaces>
  <Application>WPS Office_11.1.0.10168_F1E327BC-269C-435d-A152-05C5408002CA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2019-08-20T01:11:00Z</dcterms:created>
  <dc:creator>lht</dc:creator>
  <cp:lastModifiedBy>李洪栋-网研院</cp:lastModifiedBy>
  <cp:lastPrinted>2014-04-04T05:00:00Z</cp:lastPrinted>
  <dcterms:modified xsi:type="dcterms:W3CDTF">2021-03-25T01:09:50Z</dcterms:modified>
  <dc:title>中国电信企业产品标准</dc:title>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2052-11.1.0.10168</vt:lpwstr>
  </property>
</Properties>
</file>